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 w:firstLine="880" w:firstLineChars="2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柳城县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龙头镇人民政府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 w:firstLine="880" w:firstLineChars="2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年政府信息公开工作年度报告</w:t>
      </w:r>
    </w:p>
    <w:p>
      <w:pPr>
        <w:widowControl w:val="0"/>
        <w:wordWrap/>
        <w:adjustRightInd/>
        <w:snapToGrid/>
        <w:spacing w:line="560" w:lineRule="exact"/>
        <w:ind w:right="0" w:firstLine="640" w:firstLineChars="200"/>
        <w:jc w:val="both"/>
        <w:textAlignment w:val="auto"/>
        <w:outlineLvl w:val="9"/>
        <w:rPr>
          <w:rFonts w:hint="eastAsia" w:ascii="仿宋_GB2312" w:hAnsi="宋体" w:eastAsia="仿宋_GB2312" w:cs="Times New Roman"/>
          <w:sz w:val="32"/>
          <w:szCs w:val="32"/>
        </w:rPr>
      </w:pPr>
    </w:p>
    <w:p>
      <w:pPr>
        <w:widowControl w:val="0"/>
        <w:wordWrap/>
        <w:adjustRightInd/>
        <w:snapToGrid/>
        <w:spacing w:line="560" w:lineRule="exact"/>
        <w:ind w:right="0" w:firstLine="640" w:firstLineChars="200"/>
        <w:jc w:val="both"/>
        <w:textAlignment w:val="auto"/>
        <w:outlineLvl w:val="9"/>
        <w:rPr>
          <w:rFonts w:hint="eastAsia"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方正仿宋_GBK" w:eastAsia="仿宋_GB2312" w:cs="Times New Roman"/>
          <w:sz w:val="32"/>
          <w:szCs w:val="32"/>
          <w:lang w:val="en-US" w:eastAsia="zh-CN"/>
        </w:rPr>
        <w:t>2022年，我镇</w:t>
      </w:r>
      <w:r>
        <w:rPr>
          <w:rFonts w:hint="eastAsia" w:ascii="仿宋_GB2312" w:hAnsi="宋体" w:eastAsia="仿宋_GB2312" w:cs="Times New Roman"/>
          <w:sz w:val="32"/>
          <w:szCs w:val="32"/>
        </w:rPr>
        <w:t>根据《中华人民共和国政府信息公开条例》规定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《广西壮族自治区人民政府办公厅关于做好〈2022年政府信息公开工作年度报告发布和报送工作〉的通知》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的</w:t>
      </w:r>
      <w:r>
        <w:rPr>
          <w:rFonts w:hint="eastAsia" w:ascii="仿宋_GB2312" w:hAnsi="宋体" w:eastAsia="仿宋_GB2312" w:cs="Times New Roman"/>
          <w:sz w:val="32"/>
          <w:szCs w:val="32"/>
        </w:rPr>
        <w:t>要求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Times New Roman"/>
          <w:sz w:val="32"/>
          <w:szCs w:val="32"/>
        </w:rPr>
        <w:t>结合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我局</w:t>
      </w:r>
      <w:r>
        <w:rPr>
          <w:rFonts w:hint="eastAsia" w:ascii="仿宋_GB2312" w:hAnsi="宋体" w:eastAsia="仿宋_GB2312" w:cs="Times New Roman"/>
          <w:sz w:val="32"/>
          <w:szCs w:val="32"/>
        </w:rPr>
        <w:t>工作实际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编制</w:t>
      </w:r>
      <w:r>
        <w:rPr>
          <w:rFonts w:hint="eastAsia" w:ascii="仿宋_GB2312" w:hAnsi="宋体" w:eastAsia="仿宋_GB2312" w:cs="Times New Roman"/>
          <w:sz w:val="32"/>
          <w:szCs w:val="32"/>
        </w:rPr>
        <w:t>，现将20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22</w:t>
      </w:r>
      <w:r>
        <w:rPr>
          <w:rFonts w:hint="eastAsia" w:ascii="仿宋_GB2312" w:hAnsi="宋体" w:eastAsia="仿宋_GB2312" w:cs="Times New Roman"/>
          <w:sz w:val="32"/>
          <w:szCs w:val="32"/>
        </w:rPr>
        <w:t>年政府信息公开工作情况报告如下：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总体情况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 w:firstLine="643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（一）主动公开政府信息公开情况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方正仿宋_GBK" w:eastAsia="仿宋_GB2312" w:cs="Times New Roman"/>
          <w:sz w:val="32"/>
          <w:szCs w:val="32"/>
        </w:rPr>
        <w:t>按照《条例》第二十条、二十一条</w:t>
      </w:r>
      <w:r>
        <w:rPr>
          <w:rFonts w:hint="eastAsia" w:ascii="仿宋_GB2312" w:hAnsi="方正仿宋_GBK" w:eastAsia="仿宋_GB2312" w:cs="Times New Roman"/>
          <w:sz w:val="32"/>
          <w:szCs w:val="32"/>
          <w:lang w:eastAsia="zh-CN"/>
        </w:rPr>
        <w:t>的</w:t>
      </w:r>
      <w:r>
        <w:rPr>
          <w:rFonts w:hint="eastAsia" w:ascii="仿宋_GB2312" w:hAnsi="方正仿宋_GBK" w:eastAsia="仿宋_GB2312" w:cs="Times New Roman"/>
          <w:sz w:val="32"/>
          <w:szCs w:val="32"/>
        </w:rPr>
        <w:t>规定</w:t>
      </w:r>
      <w:r>
        <w:rPr>
          <w:rFonts w:hint="eastAsia" w:ascii="仿宋_GB2312" w:hAnsi="方正仿宋_GBK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Times New Roman"/>
          <w:sz w:val="32"/>
          <w:szCs w:val="32"/>
        </w:rPr>
        <w:t>坚持以公开为常态、不公开为例外的原则，</w:t>
      </w:r>
      <w:r>
        <w:rPr>
          <w:rFonts w:hint="eastAsia" w:ascii="仿宋_GB2312" w:hAnsi="方正仿宋_GBK" w:eastAsia="仿宋_GB2312" w:cs="Times New Roman"/>
          <w:sz w:val="32"/>
          <w:szCs w:val="32"/>
        </w:rPr>
        <w:t>不断增加主动公开的内容，法定主动公开内容公开到位。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今年以来，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在县政府门户网站主动公开各类政府信息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107</w:t>
      </w:r>
      <w:r>
        <w:rPr>
          <w:rFonts w:hint="eastAsia" w:ascii="仿宋_GB2312" w:hAnsi="仿宋_GB2312" w:eastAsia="仿宋_GB2312" w:cs="仿宋_GB2312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宋体" w:eastAsia="仿宋_GB2312" w:cs="仿宋_GB2312"/>
          <w:b w:val="0"/>
          <w:bCs w:val="0"/>
          <w:color w:val="000000"/>
          <w:sz w:val="32"/>
          <w:szCs w:val="32"/>
        </w:rPr>
        <w:t>（</w:t>
      </w:r>
      <w:r>
        <w:rPr>
          <w:rFonts w:hint="eastAsia" w:ascii="仿宋_GB2312" w:hAnsi="宋体" w:eastAsia="仿宋_GB2312" w:cs="仿宋_GB2312"/>
          <w:b w:val="0"/>
          <w:bCs w:val="0"/>
          <w:color w:val="000000" w:themeColor="text1"/>
          <w:sz w:val="32"/>
          <w:szCs w:val="32"/>
          <w:highlight w:val="red"/>
          <w14:textFill>
            <w14:solidFill>
              <w14:schemeClr w14:val="tx1"/>
            </w14:solidFill>
          </w14:textFill>
        </w:rPr>
        <w:t>其中</w:t>
      </w:r>
      <w:r>
        <w:rPr>
          <w:rFonts w:hint="eastAsia" w:ascii="仿宋_GB2312" w:hAnsi="宋体" w:eastAsia="仿宋_GB2312" w:cs="仿宋_GB2312"/>
          <w:b w:val="0"/>
          <w:bCs w:val="0"/>
          <w:color w:val="000000" w:themeColor="text1"/>
          <w:sz w:val="32"/>
          <w:szCs w:val="32"/>
          <w:highlight w:val="red"/>
          <w:lang w:val="en-US" w:eastAsia="zh-CN"/>
          <w14:textFill>
            <w14:solidFill>
              <w14:schemeClr w14:val="tx1"/>
            </w14:solidFill>
          </w14:textFill>
        </w:rPr>
        <w:t>机构概况0条，权责清单1条</w:t>
      </w:r>
      <w:r>
        <w:rPr>
          <w:rFonts w:hint="eastAsia" w:ascii="仿宋_GB2312" w:hAnsi="宋体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，行政许可26条，为民办实事1条，文件类信息公开27条，公务活动40条，年度信息工作报告1条，信息公开目录和指南1条，其他重要信息公开10条</w:t>
      </w:r>
      <w:r>
        <w:rPr>
          <w:rFonts w:hint="eastAsia" w:ascii="仿宋_GB2312" w:hAnsi="宋体" w:eastAsia="仿宋_GB2312" w:cs="仿宋_GB2312"/>
          <w:b w:val="0"/>
          <w:bCs w:val="0"/>
          <w:color w:val="000000"/>
          <w:sz w:val="32"/>
          <w:szCs w:val="32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 w:firstLine="643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（二）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依申请公开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方正仿宋_GBK" w:eastAsia="仿宋_GB2312" w:cs="Times New Roman"/>
          <w:sz w:val="32"/>
          <w:szCs w:val="32"/>
        </w:rPr>
      </w:pPr>
      <w:r>
        <w:rPr>
          <w:rFonts w:hint="eastAsia" w:ascii="仿宋_GB2312" w:hAnsi="方正仿宋_GBK" w:eastAsia="仿宋_GB2312" w:cs="Times New Roman"/>
          <w:sz w:val="32"/>
          <w:szCs w:val="32"/>
          <w:lang w:val="en-US" w:eastAsia="zh-CN"/>
        </w:rPr>
        <w:t>2022年，未收到</w:t>
      </w:r>
      <w:r>
        <w:rPr>
          <w:rFonts w:hint="eastAsia" w:ascii="仿宋_GB2312" w:hAnsi="方正仿宋_GBK" w:eastAsia="仿宋_GB2312" w:cs="Times New Roman"/>
          <w:sz w:val="32"/>
          <w:szCs w:val="32"/>
        </w:rPr>
        <w:t>群众</w:t>
      </w:r>
      <w:r>
        <w:rPr>
          <w:rFonts w:hint="eastAsia" w:ascii="仿宋_GB2312" w:hAnsi="方正仿宋_GBK" w:eastAsia="仿宋_GB2312" w:cs="Times New Roman"/>
          <w:sz w:val="32"/>
          <w:szCs w:val="32"/>
          <w:lang w:eastAsia="zh-CN"/>
        </w:rPr>
        <w:t>当场或采用信件、数据电文在内的书面形式向我</w:t>
      </w:r>
      <w:r>
        <w:rPr>
          <w:rFonts w:hint="eastAsia" w:ascii="仿宋_GB2312" w:hAnsi="方正仿宋_GBK" w:eastAsia="仿宋_GB2312" w:cs="Times New Roman"/>
          <w:sz w:val="32"/>
          <w:szCs w:val="32"/>
          <w:lang w:val="en-US" w:eastAsia="zh-CN"/>
        </w:rPr>
        <w:t>镇</w:t>
      </w:r>
      <w:r>
        <w:rPr>
          <w:rFonts w:hint="eastAsia" w:ascii="仿宋_GB2312" w:hAnsi="方正仿宋_GBK" w:eastAsia="仿宋_GB2312" w:cs="Times New Roman"/>
          <w:sz w:val="32"/>
          <w:szCs w:val="32"/>
        </w:rPr>
        <w:t>申请公开政府信息。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 w:firstLine="643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（三）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政府信息管理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情况</w:t>
      </w:r>
    </w:p>
    <w:p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我镇高度重视政府信息公开工作，实行专人负责制，由专人负责统筹协调撰写信息。根据政府信息公开审查机制，按照“先审查，后公开”“一事一审”原则及保密审查的要求，经审查依法应当公开的事项，及时准确向社会公开，确保政府信息规范管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 w:firstLine="643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（四）</w:t>
      </w: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政府信息公开平台建设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。</w:t>
      </w:r>
    </w:p>
    <w:p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2022年我镇充分运用政务公开栏、网站和微信等多种形式进行信息公开，尤其是微信公众平台的搭建，极大的方便了群众了解政府工作动态及重要政策信息。同时在政务服务中心更新设置了政府信息公开查询区，在区域内配备了相应的查询电脑以及查询记录本。让广大民众更全面、更方便地了解我镇信息。我镇每月按时报送发文登记本，及时更新政府门户网站信息，发现问题马上整改。</w:t>
      </w:r>
      <w:r>
        <w:rPr>
          <w:rFonts w:hint="eastAsia" w:ascii="仿宋_GB2312" w:hAnsi="仿宋_GB2312" w:eastAsia="仿宋_GB2312" w:cs="仿宋_GB2312"/>
          <w:sz w:val="32"/>
          <w:szCs w:val="32"/>
        </w:rPr>
        <w:t>通过常态化的日常自查自纠，推动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我镇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政府信息公开工作健康有序推进。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　　（五）</w:t>
      </w: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监督保障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FFFFF" w:sz="4" w:space="15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微软雅黑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微软雅黑" w:eastAsia="仿宋_GB2312"/>
          <w:sz w:val="32"/>
          <w:szCs w:val="32"/>
          <w:lang w:eastAsia="zh-CN"/>
        </w:rPr>
        <w:t>为确保政府信息公开工作落到实处，我镇严格按照《条例》及上级部门的总体要求，对政府信息公开内容进行部门细化分解，明确各自责任，“以公开为原则，不公开为例外”的总体要求，做到应公开、能公开的信息，都及时、主动公开，并不断扩大信息公开量，不断充实和完善信息公开内容，逐步实现信息公开内容涉及范围广、便民服务效果好；</w:t>
      </w:r>
      <w:r>
        <w:rPr>
          <w:rFonts w:hint="eastAsia" w:ascii="仿宋_GB2312" w:hAnsi="宋体" w:eastAsia="仿宋_GB2312" w:cs="仿宋_GB2312"/>
          <w:b w:val="0"/>
          <w:bCs w:val="0"/>
          <w:sz w:val="32"/>
          <w:szCs w:val="32"/>
          <w:shd w:val="clear" w:fill="FFFFFF"/>
        </w:rPr>
        <w:t>配备</w:t>
      </w:r>
      <w:r>
        <w:rPr>
          <w:rFonts w:hint="eastAsia" w:ascii="仿宋_GB2312" w:eastAsia="仿宋_GB2312" w:cs="仿宋_GB2312"/>
          <w:b w:val="0"/>
          <w:bCs w:val="0"/>
          <w:sz w:val="32"/>
          <w:szCs w:val="32"/>
          <w:shd w:val="clear" w:fill="FFFFFF"/>
        </w:rPr>
        <w:t>2</w:t>
      </w:r>
      <w:r>
        <w:rPr>
          <w:rFonts w:hint="eastAsia" w:ascii="仿宋_GB2312" w:hAnsi="宋体" w:eastAsia="仿宋_GB2312" w:cs="仿宋_GB2312"/>
          <w:b w:val="0"/>
          <w:bCs w:val="0"/>
          <w:sz w:val="32"/>
          <w:szCs w:val="32"/>
          <w:shd w:val="clear" w:fill="FFFFFF"/>
        </w:rPr>
        <w:t>名同志（兼职）负责政府信息公开工作管理和政府信息公开系统维护以及信息收集、梳理、审核、网上录入、上传发布。</w:t>
      </w:r>
      <w:r>
        <w:rPr>
          <w:rFonts w:hint="eastAsia" w:ascii="仿宋_GB2312" w:hAnsi="微软雅黑" w:eastAsia="仿宋_GB2312"/>
          <w:sz w:val="32"/>
          <w:szCs w:val="32"/>
          <w:lang w:eastAsia="zh-CN"/>
        </w:rPr>
        <w:t xml:space="preserve"> </w:t>
      </w:r>
    </w:p>
    <w:p>
      <w:pPr>
        <w:pStyle w:val="7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snapToGrid w:val="0"/>
          <w:kern w:val="2"/>
          <w:sz w:val="32"/>
          <w:szCs w:val="32"/>
          <w:shd w:val="clear" w:color="auto" w:fill="FFFFFF"/>
        </w:rPr>
      </w:pPr>
      <w:r>
        <w:rPr>
          <w:rFonts w:hint="default" w:ascii="黑体" w:hAnsi="黑体" w:eastAsia="黑体" w:cs="黑体"/>
          <w:snapToGrid w:val="0"/>
          <w:kern w:val="2"/>
          <w:sz w:val="32"/>
          <w:szCs w:val="32"/>
          <w:shd w:val="clear" w:color="auto" w:fill="FFFFFF"/>
        </w:rPr>
        <w:t>二、主动公开政府信息情况</w:t>
      </w:r>
    </w:p>
    <w:tbl>
      <w:tblPr>
        <w:tblStyle w:val="9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2268"/>
        <w:gridCol w:w="2268"/>
        <w:gridCol w:w="2268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9072" w:type="dxa"/>
            <w:gridSpan w:val="4"/>
            <w:shd w:val="clear" w:color="auto" w:fill="C6D9F1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黑体_GBK" w:eastAsia="方正黑体_GBK"/>
                <w:snapToGrid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napToGrid w:val="0"/>
                <w:sz w:val="21"/>
                <w:szCs w:val="21"/>
                <w:lang w:bidi="ar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2268" w:type="dxa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bidi="ar"/>
              </w:rPr>
              <w:t>信息内容</w:t>
            </w:r>
          </w:p>
        </w:tc>
        <w:tc>
          <w:tcPr>
            <w:tcW w:w="2268" w:type="dxa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bidi="ar"/>
              </w:rPr>
              <w:t>本年制发件数</w:t>
            </w:r>
          </w:p>
        </w:tc>
        <w:tc>
          <w:tcPr>
            <w:tcW w:w="2268" w:type="dxa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bidi="ar"/>
              </w:rPr>
              <w:t>本年废止件数</w:t>
            </w:r>
          </w:p>
        </w:tc>
        <w:tc>
          <w:tcPr>
            <w:tcW w:w="2268" w:type="dxa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bidi="ar"/>
              </w:rPr>
              <w:t>现行有效件数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2268" w:type="dxa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bidi="ar"/>
              </w:rPr>
              <w:t>规章</w:t>
            </w:r>
          </w:p>
        </w:tc>
        <w:tc>
          <w:tcPr>
            <w:tcW w:w="2268" w:type="dxa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268" w:type="dxa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268" w:type="dxa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2268" w:type="dxa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bidi="ar"/>
              </w:rPr>
              <w:t>行政规范性文件</w:t>
            </w:r>
          </w:p>
        </w:tc>
        <w:tc>
          <w:tcPr>
            <w:tcW w:w="2268" w:type="dxa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268" w:type="dxa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268" w:type="dxa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9072" w:type="dxa"/>
            <w:gridSpan w:val="4"/>
            <w:shd w:val="clear" w:color="auto" w:fill="C6D9F1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黑体_GBK" w:eastAsia="方正黑体_GBK"/>
                <w:snapToGrid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napToGrid w:val="0"/>
                <w:sz w:val="21"/>
                <w:szCs w:val="21"/>
                <w:lang w:bidi="ar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2268" w:type="dxa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bidi="ar"/>
              </w:rPr>
              <w:t>信息内容</w:t>
            </w:r>
          </w:p>
        </w:tc>
        <w:tc>
          <w:tcPr>
            <w:tcW w:w="6804" w:type="dxa"/>
            <w:gridSpan w:val="3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2268" w:type="dxa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bidi="ar"/>
              </w:rPr>
              <w:t>行政许可</w:t>
            </w:r>
          </w:p>
        </w:tc>
        <w:tc>
          <w:tcPr>
            <w:tcW w:w="6804" w:type="dxa"/>
            <w:gridSpan w:val="3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方正书宋_GBK" w:eastAsia="方正书宋_GBK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166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9072" w:type="dxa"/>
            <w:gridSpan w:val="4"/>
            <w:shd w:val="clear" w:color="auto" w:fill="C6D9F1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黑体_GBK" w:eastAsia="方正黑体_GBK"/>
                <w:snapToGrid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napToGrid w:val="0"/>
                <w:sz w:val="21"/>
                <w:szCs w:val="21"/>
                <w:lang w:bidi="ar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2268" w:type="dxa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bidi="ar"/>
              </w:rPr>
              <w:t>信息内容</w:t>
            </w:r>
          </w:p>
        </w:tc>
        <w:tc>
          <w:tcPr>
            <w:tcW w:w="6804" w:type="dxa"/>
            <w:gridSpan w:val="3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2268" w:type="dxa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bidi="ar"/>
              </w:rPr>
              <w:t>行政处罚</w:t>
            </w:r>
          </w:p>
        </w:tc>
        <w:tc>
          <w:tcPr>
            <w:tcW w:w="6804" w:type="dxa"/>
            <w:gridSpan w:val="3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2268" w:type="dxa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bidi="ar"/>
              </w:rPr>
              <w:t>行政强制</w:t>
            </w:r>
          </w:p>
        </w:tc>
        <w:tc>
          <w:tcPr>
            <w:tcW w:w="6804" w:type="dxa"/>
            <w:gridSpan w:val="3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9072" w:type="dxa"/>
            <w:gridSpan w:val="4"/>
            <w:shd w:val="clear" w:color="auto" w:fill="C6D9F1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黑体_GBK" w:eastAsia="方正黑体_GBK"/>
                <w:snapToGrid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napToGrid w:val="0"/>
                <w:sz w:val="21"/>
                <w:szCs w:val="21"/>
                <w:lang w:bidi="ar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2268" w:type="dxa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bidi="ar"/>
              </w:rPr>
              <w:t>信息内容</w:t>
            </w:r>
          </w:p>
        </w:tc>
        <w:tc>
          <w:tcPr>
            <w:tcW w:w="6804" w:type="dxa"/>
            <w:gridSpan w:val="3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bidi="ar"/>
              </w:rPr>
              <w:t>本年收费金额（单位：万元）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2268" w:type="dxa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bidi="ar"/>
              </w:rPr>
              <w:t>行政事业性收费</w:t>
            </w:r>
          </w:p>
        </w:tc>
        <w:tc>
          <w:tcPr>
            <w:tcW w:w="6804" w:type="dxa"/>
            <w:gridSpan w:val="3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pStyle w:val="7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napToGrid w:val="0"/>
          <w:kern w:val="2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napToGrid w:val="0"/>
          <w:kern w:val="2"/>
          <w:sz w:val="32"/>
          <w:szCs w:val="32"/>
          <w:shd w:val="clear" w:color="auto" w:fill="FFFFFF"/>
        </w:rPr>
        <w:t>三、收到和处理政府信息公开申请情况</w:t>
      </w:r>
    </w:p>
    <w:tbl>
      <w:tblPr>
        <w:tblStyle w:val="9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704"/>
        <w:gridCol w:w="858"/>
        <w:gridCol w:w="3023"/>
        <w:gridCol w:w="641"/>
        <w:gridCol w:w="641"/>
        <w:gridCol w:w="641"/>
        <w:gridCol w:w="641"/>
        <w:gridCol w:w="641"/>
        <w:gridCol w:w="641"/>
        <w:gridCol w:w="6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40" w:hRule="atLeast"/>
          <w:tblHeader/>
          <w:jc w:val="center"/>
        </w:trPr>
        <w:tc>
          <w:tcPr>
            <w:tcW w:w="4585" w:type="dxa"/>
            <w:gridSpan w:val="3"/>
            <w:vMerge w:val="restart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黑体_GBK" w:eastAsia="方正黑体_GBK"/>
                <w:snapToGrid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napToGrid w:val="0"/>
                <w:sz w:val="21"/>
                <w:szCs w:val="21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487" w:type="dxa"/>
            <w:gridSpan w:val="7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黑体_GBK" w:eastAsia="方正黑体_GBK"/>
                <w:snapToGrid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napToGrid w:val="0"/>
                <w:sz w:val="21"/>
                <w:szCs w:val="21"/>
                <w:lang w:bidi="ar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40" w:hRule="atLeast"/>
          <w:tblHeader/>
          <w:jc w:val="center"/>
        </w:trPr>
        <w:tc>
          <w:tcPr>
            <w:tcW w:w="4585" w:type="dxa"/>
            <w:gridSpan w:val="3"/>
            <w:vMerge w:val="continue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黑体_GBK" w:eastAsia="方正黑体_GBK"/>
                <w:snapToGrid w:val="0"/>
                <w:sz w:val="21"/>
                <w:szCs w:val="21"/>
              </w:rPr>
            </w:pPr>
          </w:p>
        </w:tc>
        <w:tc>
          <w:tcPr>
            <w:tcW w:w="641" w:type="dxa"/>
            <w:vMerge w:val="restart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黑体_GBK" w:eastAsia="方正黑体_GBK"/>
                <w:snapToGrid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napToGrid w:val="0"/>
                <w:sz w:val="21"/>
                <w:szCs w:val="21"/>
                <w:lang w:bidi="ar"/>
              </w:rPr>
              <w:t>自然人</w:t>
            </w:r>
          </w:p>
        </w:tc>
        <w:tc>
          <w:tcPr>
            <w:tcW w:w="3205" w:type="dxa"/>
            <w:gridSpan w:val="5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黑体_GBK" w:eastAsia="方正黑体_GBK"/>
                <w:snapToGrid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napToGrid w:val="0"/>
                <w:sz w:val="21"/>
                <w:szCs w:val="21"/>
                <w:lang w:bidi="ar"/>
              </w:rPr>
              <w:t>法人或其他组织</w:t>
            </w:r>
          </w:p>
        </w:tc>
        <w:tc>
          <w:tcPr>
            <w:tcW w:w="641" w:type="dxa"/>
            <w:vMerge w:val="restart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黑体_GBK" w:eastAsia="方正黑体_GBK"/>
                <w:snapToGrid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napToGrid w:val="0"/>
                <w:sz w:val="21"/>
                <w:szCs w:val="21"/>
                <w:lang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40" w:hRule="atLeast"/>
          <w:tblHeader/>
          <w:jc w:val="center"/>
        </w:trPr>
        <w:tc>
          <w:tcPr>
            <w:tcW w:w="4585" w:type="dxa"/>
            <w:gridSpan w:val="3"/>
            <w:vMerge w:val="continue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黑体_GBK" w:eastAsia="方正黑体_GBK"/>
                <w:snapToGrid w:val="0"/>
                <w:sz w:val="21"/>
                <w:szCs w:val="21"/>
              </w:rPr>
            </w:pPr>
          </w:p>
        </w:tc>
        <w:tc>
          <w:tcPr>
            <w:tcW w:w="641" w:type="dxa"/>
            <w:vMerge w:val="continue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黑体_GBK" w:eastAsia="方正黑体_GBK"/>
                <w:snapToGrid w:val="0"/>
                <w:sz w:val="21"/>
                <w:szCs w:val="21"/>
              </w:rPr>
            </w:pP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黑体_GBK" w:eastAsia="方正黑体_GBK"/>
                <w:snapToGrid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napToGrid w:val="0"/>
                <w:sz w:val="21"/>
                <w:szCs w:val="21"/>
                <w:lang w:bidi="ar"/>
              </w:rPr>
              <w:t>商业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黑体_GBK" w:eastAsia="方正黑体_GBK"/>
                <w:snapToGrid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napToGrid w:val="0"/>
                <w:sz w:val="21"/>
                <w:szCs w:val="21"/>
                <w:lang w:bidi="ar"/>
              </w:rPr>
              <w:t>企业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黑体_GBK" w:eastAsia="方正黑体_GBK"/>
                <w:snapToGrid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napToGrid w:val="0"/>
                <w:sz w:val="21"/>
                <w:szCs w:val="21"/>
                <w:lang w:bidi="ar"/>
              </w:rPr>
              <w:t>科研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黑体_GBK" w:eastAsia="方正黑体_GBK"/>
                <w:snapToGrid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napToGrid w:val="0"/>
                <w:sz w:val="21"/>
                <w:szCs w:val="21"/>
                <w:lang w:bidi="ar"/>
              </w:rPr>
              <w:t>机构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黑体_GBK" w:eastAsia="方正黑体_GBK"/>
                <w:snapToGrid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napToGrid w:val="0"/>
                <w:sz w:val="21"/>
                <w:szCs w:val="21"/>
                <w:lang w:bidi="ar"/>
              </w:rPr>
              <w:t>社会公益组织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黑体_GBK" w:eastAsia="方正黑体_GBK"/>
                <w:snapToGrid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napToGrid w:val="0"/>
                <w:sz w:val="21"/>
                <w:szCs w:val="21"/>
                <w:lang w:bidi="ar"/>
              </w:rPr>
              <w:t>法律服务机构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黑体_GBK" w:eastAsia="方正黑体_GBK"/>
                <w:snapToGrid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napToGrid w:val="0"/>
                <w:sz w:val="21"/>
                <w:szCs w:val="21"/>
                <w:lang w:bidi="ar"/>
              </w:rPr>
              <w:t>其他</w:t>
            </w:r>
          </w:p>
        </w:tc>
        <w:tc>
          <w:tcPr>
            <w:tcW w:w="641" w:type="dxa"/>
            <w:vMerge w:val="continue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黑体_GBK" w:eastAsia="方正黑体_GBK"/>
                <w:snapToGrid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4585" w:type="dxa"/>
            <w:gridSpan w:val="3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bidi="ar"/>
              </w:rPr>
              <w:t>一、本年新收政府信息公开申请数量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top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4585" w:type="dxa"/>
            <w:gridSpan w:val="3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bidi="ar"/>
              </w:rPr>
              <w:t>二、上年结转政府信息公开申请数量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方正书宋_GBK" w:eastAsia="方正书宋_GBK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top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vMerge w:val="restart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bidi="ar"/>
              </w:rPr>
              <w:t>三、本年度办理结果</w:t>
            </w:r>
          </w:p>
        </w:tc>
        <w:tc>
          <w:tcPr>
            <w:tcW w:w="3881" w:type="dxa"/>
            <w:gridSpan w:val="2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bidi="ar"/>
              </w:rPr>
              <w:t>（一）予以公开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top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vMerge w:val="continue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</w:p>
        </w:tc>
        <w:tc>
          <w:tcPr>
            <w:tcW w:w="3881" w:type="dxa"/>
            <w:gridSpan w:val="2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bidi="ar"/>
              </w:rPr>
              <w:t>（二）部分公开（区分处理的，只计这一情形，不计其他情形）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top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vMerge w:val="continue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</w:p>
        </w:tc>
        <w:tc>
          <w:tcPr>
            <w:tcW w:w="858" w:type="dxa"/>
            <w:vMerge w:val="restart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bidi="ar"/>
              </w:rPr>
              <w:t>（三）不予公开</w:t>
            </w:r>
          </w:p>
        </w:tc>
        <w:tc>
          <w:tcPr>
            <w:tcW w:w="3023" w:type="dxa"/>
            <w:noWrap w:val="0"/>
            <w:tcMar>
              <w:left w:w="28" w:type="dxa"/>
              <w:right w:w="33" w:type="dxa"/>
            </w:tcMar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bidi="ar"/>
              </w:rPr>
              <w:t>1.属于国家秘密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top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top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top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top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top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top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top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vMerge w:val="continue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</w:p>
        </w:tc>
        <w:tc>
          <w:tcPr>
            <w:tcW w:w="858" w:type="dxa"/>
            <w:vMerge w:val="continue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</w:p>
        </w:tc>
        <w:tc>
          <w:tcPr>
            <w:tcW w:w="3023" w:type="dxa"/>
            <w:noWrap w:val="0"/>
            <w:tcMar>
              <w:left w:w="28" w:type="dxa"/>
              <w:right w:w="33" w:type="dxa"/>
            </w:tcMar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bidi="ar"/>
              </w:rPr>
              <w:t>2.其他法律行政法规禁止公开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top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top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top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top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top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top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top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vMerge w:val="continue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</w:p>
        </w:tc>
        <w:tc>
          <w:tcPr>
            <w:tcW w:w="858" w:type="dxa"/>
            <w:vMerge w:val="continue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</w:p>
        </w:tc>
        <w:tc>
          <w:tcPr>
            <w:tcW w:w="3023" w:type="dxa"/>
            <w:noWrap w:val="0"/>
            <w:tcMar>
              <w:left w:w="28" w:type="dxa"/>
              <w:right w:w="33" w:type="dxa"/>
            </w:tcMar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bidi="ar"/>
              </w:rPr>
              <w:t>3.危及“三安全一稳定”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top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top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top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top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top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top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top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vMerge w:val="continue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</w:p>
        </w:tc>
        <w:tc>
          <w:tcPr>
            <w:tcW w:w="858" w:type="dxa"/>
            <w:vMerge w:val="continue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</w:p>
        </w:tc>
        <w:tc>
          <w:tcPr>
            <w:tcW w:w="3023" w:type="dxa"/>
            <w:noWrap w:val="0"/>
            <w:tcMar>
              <w:left w:w="28" w:type="dxa"/>
              <w:right w:w="33" w:type="dxa"/>
            </w:tcMar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bidi="ar"/>
              </w:rPr>
              <w:t>4.保护第三方合法权益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top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top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top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top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top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top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top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vMerge w:val="continue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</w:p>
        </w:tc>
        <w:tc>
          <w:tcPr>
            <w:tcW w:w="858" w:type="dxa"/>
            <w:vMerge w:val="continue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</w:p>
        </w:tc>
        <w:tc>
          <w:tcPr>
            <w:tcW w:w="3023" w:type="dxa"/>
            <w:noWrap w:val="0"/>
            <w:tcMar>
              <w:left w:w="28" w:type="dxa"/>
              <w:right w:w="33" w:type="dxa"/>
            </w:tcMar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bidi="ar"/>
              </w:rPr>
              <w:t>5.属于三类内部事务信息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top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top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top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top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top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top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top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vMerge w:val="continue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</w:p>
        </w:tc>
        <w:tc>
          <w:tcPr>
            <w:tcW w:w="858" w:type="dxa"/>
            <w:vMerge w:val="continue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</w:p>
        </w:tc>
        <w:tc>
          <w:tcPr>
            <w:tcW w:w="3023" w:type="dxa"/>
            <w:noWrap w:val="0"/>
            <w:tcMar>
              <w:left w:w="28" w:type="dxa"/>
              <w:right w:w="33" w:type="dxa"/>
            </w:tcMar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bidi="ar"/>
              </w:rPr>
              <w:t>6.属于四类过程性信息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top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top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top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top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top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top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top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vMerge w:val="continue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</w:p>
        </w:tc>
        <w:tc>
          <w:tcPr>
            <w:tcW w:w="858" w:type="dxa"/>
            <w:vMerge w:val="continue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</w:p>
        </w:tc>
        <w:tc>
          <w:tcPr>
            <w:tcW w:w="3023" w:type="dxa"/>
            <w:noWrap w:val="0"/>
            <w:tcMar>
              <w:left w:w="28" w:type="dxa"/>
              <w:right w:w="33" w:type="dxa"/>
            </w:tcMar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bidi="ar"/>
              </w:rPr>
              <w:t>7.属于行政执法案卷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top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top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top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top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top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top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top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vMerge w:val="continue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</w:p>
        </w:tc>
        <w:tc>
          <w:tcPr>
            <w:tcW w:w="858" w:type="dxa"/>
            <w:vMerge w:val="continue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</w:p>
        </w:tc>
        <w:tc>
          <w:tcPr>
            <w:tcW w:w="3023" w:type="dxa"/>
            <w:noWrap w:val="0"/>
            <w:tcMar>
              <w:left w:w="28" w:type="dxa"/>
              <w:right w:w="33" w:type="dxa"/>
            </w:tcMar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bidi="ar"/>
              </w:rPr>
              <w:t>8.属于行政查询事项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top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top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top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top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top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top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top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vMerge w:val="continue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</w:p>
        </w:tc>
        <w:tc>
          <w:tcPr>
            <w:tcW w:w="858" w:type="dxa"/>
            <w:vMerge w:val="restart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bidi="ar"/>
              </w:rPr>
              <w:t>（四）无法提供</w:t>
            </w:r>
          </w:p>
        </w:tc>
        <w:tc>
          <w:tcPr>
            <w:tcW w:w="3023" w:type="dxa"/>
            <w:noWrap w:val="0"/>
            <w:tcMar>
              <w:left w:w="28" w:type="dxa"/>
              <w:right w:w="33" w:type="dxa"/>
            </w:tcMar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bidi="ar"/>
              </w:rPr>
              <w:t>1.本机关不掌握相关政府信息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top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top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top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top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top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top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top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vMerge w:val="continue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</w:p>
        </w:tc>
        <w:tc>
          <w:tcPr>
            <w:tcW w:w="858" w:type="dxa"/>
            <w:vMerge w:val="continue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</w:p>
        </w:tc>
        <w:tc>
          <w:tcPr>
            <w:tcW w:w="3023" w:type="dxa"/>
            <w:noWrap w:val="0"/>
            <w:tcMar>
              <w:left w:w="28" w:type="dxa"/>
              <w:right w:w="33" w:type="dxa"/>
            </w:tcMar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bidi="ar"/>
              </w:rPr>
              <w:t>2.没有现成信息需要另行制作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top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top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top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top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top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top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top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vMerge w:val="continue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</w:p>
        </w:tc>
        <w:tc>
          <w:tcPr>
            <w:tcW w:w="858" w:type="dxa"/>
            <w:vMerge w:val="continue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</w:p>
        </w:tc>
        <w:tc>
          <w:tcPr>
            <w:tcW w:w="3023" w:type="dxa"/>
            <w:noWrap w:val="0"/>
            <w:tcMar>
              <w:left w:w="28" w:type="dxa"/>
              <w:right w:w="33" w:type="dxa"/>
            </w:tcMar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bidi="ar"/>
              </w:rPr>
              <w:t>3.补正后申请内容仍不明确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top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top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top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top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top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top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top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vMerge w:val="continue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</w:p>
        </w:tc>
        <w:tc>
          <w:tcPr>
            <w:tcW w:w="858" w:type="dxa"/>
            <w:vMerge w:val="restart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bidi="ar"/>
              </w:rPr>
              <w:t>（五）不予处理</w:t>
            </w:r>
          </w:p>
        </w:tc>
        <w:tc>
          <w:tcPr>
            <w:tcW w:w="3023" w:type="dxa"/>
            <w:noWrap w:val="0"/>
            <w:tcMar>
              <w:left w:w="28" w:type="dxa"/>
              <w:right w:w="33" w:type="dxa"/>
            </w:tcMar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bidi="ar"/>
              </w:rPr>
              <w:t>1.信访举报投诉类申请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top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top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top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top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top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top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top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vMerge w:val="continue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</w:p>
        </w:tc>
        <w:tc>
          <w:tcPr>
            <w:tcW w:w="858" w:type="dxa"/>
            <w:vMerge w:val="continue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</w:p>
        </w:tc>
        <w:tc>
          <w:tcPr>
            <w:tcW w:w="3023" w:type="dxa"/>
            <w:noWrap w:val="0"/>
            <w:tcMar>
              <w:left w:w="28" w:type="dxa"/>
              <w:right w:w="33" w:type="dxa"/>
            </w:tcMar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bidi="ar"/>
              </w:rPr>
              <w:t>2.重复申请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top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top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top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top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top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top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top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vMerge w:val="continue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</w:p>
        </w:tc>
        <w:tc>
          <w:tcPr>
            <w:tcW w:w="858" w:type="dxa"/>
            <w:vMerge w:val="continue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</w:p>
        </w:tc>
        <w:tc>
          <w:tcPr>
            <w:tcW w:w="3023" w:type="dxa"/>
            <w:noWrap w:val="0"/>
            <w:tcMar>
              <w:left w:w="28" w:type="dxa"/>
              <w:right w:w="33" w:type="dxa"/>
            </w:tcMar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bidi="ar"/>
              </w:rPr>
              <w:t>3.要求提供公开出版物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top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top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top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top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top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top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top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vMerge w:val="continue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</w:p>
        </w:tc>
        <w:tc>
          <w:tcPr>
            <w:tcW w:w="858" w:type="dxa"/>
            <w:vMerge w:val="continue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</w:p>
        </w:tc>
        <w:tc>
          <w:tcPr>
            <w:tcW w:w="3023" w:type="dxa"/>
            <w:noWrap w:val="0"/>
            <w:tcMar>
              <w:left w:w="28" w:type="dxa"/>
              <w:right w:w="33" w:type="dxa"/>
            </w:tcMar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bidi="ar"/>
              </w:rPr>
              <w:t>4.无正当理由大量反复申请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top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top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top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top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top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top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top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vMerge w:val="continue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</w:p>
        </w:tc>
        <w:tc>
          <w:tcPr>
            <w:tcW w:w="858" w:type="dxa"/>
            <w:vMerge w:val="continue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</w:p>
        </w:tc>
        <w:tc>
          <w:tcPr>
            <w:tcW w:w="3023" w:type="dxa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bidi="ar"/>
              </w:rPr>
              <w:t>5.要求行政机关确认或重新出具已获取信息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top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top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top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top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top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top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top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vMerge w:val="continue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</w:p>
        </w:tc>
        <w:tc>
          <w:tcPr>
            <w:tcW w:w="858" w:type="dxa"/>
            <w:vMerge w:val="restart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bidi="ar"/>
              </w:rPr>
              <w:t>（六）其他处理</w:t>
            </w:r>
          </w:p>
        </w:tc>
        <w:tc>
          <w:tcPr>
            <w:tcW w:w="3023" w:type="dxa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top"/>
          </w:tcPr>
          <w:p>
            <w:pPr>
              <w:pStyle w:val="4"/>
              <w:rPr>
                <w:rFonts w:hint="default"/>
                <w:lang w:val="en-US" w:eastAsia="zh-CN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vMerge w:val="continue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</w:p>
        </w:tc>
        <w:tc>
          <w:tcPr>
            <w:tcW w:w="858" w:type="dxa"/>
            <w:vMerge w:val="continue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</w:p>
        </w:tc>
        <w:tc>
          <w:tcPr>
            <w:tcW w:w="3023" w:type="dxa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top"/>
          </w:tcPr>
          <w:p>
            <w:pPr>
              <w:pStyle w:val="4"/>
              <w:rPr>
                <w:rFonts w:hint="default"/>
                <w:lang w:val="en-US" w:eastAsia="zh-CN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vMerge w:val="continue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</w:p>
        </w:tc>
        <w:tc>
          <w:tcPr>
            <w:tcW w:w="858" w:type="dxa"/>
            <w:vMerge w:val="continue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</w:p>
        </w:tc>
        <w:tc>
          <w:tcPr>
            <w:tcW w:w="3023" w:type="dxa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bidi="ar"/>
              </w:rPr>
              <w:t>3.其他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top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vMerge w:val="continue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</w:p>
        </w:tc>
        <w:tc>
          <w:tcPr>
            <w:tcW w:w="3881" w:type="dxa"/>
            <w:gridSpan w:val="2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bidi="ar"/>
              </w:rPr>
              <w:t>（七）总计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top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4585" w:type="dxa"/>
            <w:gridSpan w:val="3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bidi="ar"/>
              </w:rPr>
              <w:t>四、结转下年度继续办理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top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shd w:val="clear" w:color="auto" w:fill="FFFFFF"/>
        <w:adjustRightInd w:val="0"/>
        <w:snapToGrid w:val="0"/>
        <w:spacing w:line="590" w:lineRule="exact"/>
        <w:rPr>
          <w:rFonts w:eastAsia="方正仿宋_GBK"/>
          <w:snapToGrid w:val="0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napToGrid w:val="0"/>
          <w:kern w:val="2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napToGrid w:val="0"/>
          <w:kern w:val="2"/>
          <w:sz w:val="32"/>
          <w:szCs w:val="32"/>
          <w:shd w:val="clear" w:color="auto" w:fill="FFFFFF"/>
        </w:rPr>
        <w:t>四、政府信息公开行政复议、行政诉讼情况</w:t>
      </w:r>
    </w:p>
    <w:tbl>
      <w:tblPr>
        <w:tblStyle w:val="9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605"/>
        <w:gridCol w:w="605"/>
        <w:gridCol w:w="605"/>
        <w:gridCol w:w="605"/>
        <w:gridCol w:w="604"/>
        <w:gridCol w:w="604"/>
        <w:gridCol w:w="604"/>
        <w:gridCol w:w="605"/>
        <w:gridCol w:w="605"/>
        <w:gridCol w:w="605"/>
        <w:gridCol w:w="605"/>
        <w:gridCol w:w="605"/>
        <w:gridCol w:w="605"/>
        <w:gridCol w:w="605"/>
        <w:gridCol w:w="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3210" w:type="dxa"/>
            <w:gridSpan w:val="5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黑体_GBK" w:eastAsia="方正黑体_GBK"/>
                <w:snapToGrid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napToGrid w:val="0"/>
                <w:sz w:val="21"/>
                <w:szCs w:val="21"/>
                <w:lang w:bidi="ar"/>
              </w:rPr>
              <w:t>行政复议</w:t>
            </w:r>
          </w:p>
        </w:tc>
        <w:tc>
          <w:tcPr>
            <w:tcW w:w="6428" w:type="dxa"/>
            <w:gridSpan w:val="10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黑体_GBK" w:eastAsia="方正黑体_GBK"/>
                <w:snapToGrid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napToGrid w:val="0"/>
                <w:sz w:val="21"/>
                <w:szCs w:val="21"/>
                <w:lang w:bidi="ar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642" w:type="dxa"/>
            <w:vMerge w:val="restart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黑体_GBK" w:eastAsia="方正黑体_GBK"/>
                <w:snapToGrid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napToGrid w:val="0"/>
                <w:sz w:val="21"/>
                <w:szCs w:val="21"/>
                <w:lang w:bidi="ar"/>
              </w:rPr>
              <w:t>结果维持</w:t>
            </w:r>
          </w:p>
        </w:tc>
        <w:tc>
          <w:tcPr>
            <w:tcW w:w="642" w:type="dxa"/>
            <w:vMerge w:val="restart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黑体_GBK" w:eastAsia="方正黑体_GBK"/>
                <w:snapToGrid w:val="0"/>
                <w:sz w:val="21"/>
                <w:szCs w:val="21"/>
                <w:lang w:eastAsia="zh-CN" w:bidi="ar"/>
              </w:rPr>
            </w:pPr>
            <w:r>
              <w:rPr>
                <w:rFonts w:hint="eastAsia" w:ascii="方正黑体_GBK" w:eastAsia="方正黑体_GBK"/>
                <w:snapToGrid w:val="0"/>
                <w:sz w:val="21"/>
                <w:szCs w:val="21"/>
                <w:lang w:bidi="ar"/>
              </w:rPr>
              <w:t>结果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黑体_GBK" w:eastAsia="方正黑体_GBK"/>
                <w:snapToGrid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napToGrid w:val="0"/>
                <w:sz w:val="21"/>
                <w:szCs w:val="21"/>
                <w:lang w:bidi="ar"/>
              </w:rPr>
              <w:t>纠正</w:t>
            </w:r>
          </w:p>
        </w:tc>
        <w:tc>
          <w:tcPr>
            <w:tcW w:w="642" w:type="dxa"/>
            <w:vMerge w:val="restart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黑体_GBK" w:eastAsia="方正黑体_GBK"/>
                <w:snapToGrid w:val="0"/>
                <w:sz w:val="21"/>
                <w:szCs w:val="21"/>
                <w:lang w:eastAsia="zh-CN" w:bidi="ar"/>
              </w:rPr>
            </w:pPr>
            <w:r>
              <w:rPr>
                <w:rFonts w:hint="eastAsia" w:ascii="方正黑体_GBK" w:eastAsia="方正黑体_GBK"/>
                <w:snapToGrid w:val="0"/>
                <w:sz w:val="21"/>
                <w:szCs w:val="21"/>
                <w:lang w:bidi="ar"/>
              </w:rPr>
              <w:t>其他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黑体_GBK" w:eastAsia="方正黑体_GBK"/>
                <w:snapToGrid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napToGrid w:val="0"/>
                <w:sz w:val="21"/>
                <w:szCs w:val="21"/>
                <w:lang w:bidi="ar"/>
              </w:rPr>
              <w:t>结果</w:t>
            </w:r>
          </w:p>
        </w:tc>
        <w:tc>
          <w:tcPr>
            <w:tcW w:w="642" w:type="dxa"/>
            <w:vMerge w:val="restart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黑体_GBK" w:eastAsia="方正黑体_GBK"/>
                <w:snapToGrid w:val="0"/>
                <w:sz w:val="21"/>
                <w:szCs w:val="21"/>
                <w:lang w:eastAsia="zh-CN" w:bidi="ar"/>
              </w:rPr>
            </w:pPr>
            <w:r>
              <w:rPr>
                <w:rFonts w:hint="eastAsia" w:ascii="方正黑体_GBK" w:eastAsia="方正黑体_GBK"/>
                <w:snapToGrid w:val="0"/>
                <w:sz w:val="21"/>
                <w:szCs w:val="21"/>
                <w:lang w:bidi="ar"/>
              </w:rPr>
              <w:t>尚未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黑体_GBK" w:eastAsia="方正黑体_GBK"/>
                <w:snapToGrid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napToGrid w:val="0"/>
                <w:sz w:val="21"/>
                <w:szCs w:val="21"/>
                <w:lang w:bidi="ar"/>
              </w:rPr>
              <w:t>审结</w:t>
            </w:r>
          </w:p>
        </w:tc>
        <w:tc>
          <w:tcPr>
            <w:tcW w:w="642" w:type="dxa"/>
            <w:vMerge w:val="restart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黑体_GBK" w:eastAsia="方正黑体_GBK"/>
                <w:snapToGrid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napToGrid w:val="0"/>
                <w:sz w:val="21"/>
                <w:szCs w:val="21"/>
                <w:lang w:bidi="ar"/>
              </w:rPr>
              <w:t>总计</w:t>
            </w:r>
          </w:p>
        </w:tc>
        <w:tc>
          <w:tcPr>
            <w:tcW w:w="3213" w:type="dxa"/>
            <w:gridSpan w:val="5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黑体_GBK" w:eastAsia="方正黑体_GBK"/>
                <w:snapToGrid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napToGrid w:val="0"/>
                <w:sz w:val="21"/>
                <w:szCs w:val="21"/>
                <w:lang w:bidi="ar"/>
              </w:rPr>
              <w:t>未经复议直接起诉</w:t>
            </w:r>
          </w:p>
        </w:tc>
        <w:tc>
          <w:tcPr>
            <w:tcW w:w="3215" w:type="dxa"/>
            <w:gridSpan w:val="5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黑体_GBK" w:eastAsia="方正黑体_GBK"/>
                <w:snapToGrid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napToGrid w:val="0"/>
                <w:sz w:val="21"/>
                <w:szCs w:val="21"/>
                <w:lang w:bidi="ar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642" w:type="dxa"/>
            <w:vMerge w:val="continue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黑体_GBK" w:eastAsia="方正黑体_GBK"/>
                <w:snapToGrid w:val="0"/>
                <w:sz w:val="21"/>
                <w:szCs w:val="21"/>
              </w:rPr>
            </w:pPr>
          </w:p>
        </w:tc>
        <w:tc>
          <w:tcPr>
            <w:tcW w:w="642" w:type="dxa"/>
            <w:vMerge w:val="continue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黑体_GBK" w:eastAsia="方正黑体_GBK"/>
                <w:snapToGrid w:val="0"/>
                <w:sz w:val="21"/>
                <w:szCs w:val="21"/>
              </w:rPr>
            </w:pPr>
          </w:p>
        </w:tc>
        <w:tc>
          <w:tcPr>
            <w:tcW w:w="642" w:type="dxa"/>
            <w:vMerge w:val="continue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黑体_GBK" w:eastAsia="方正黑体_GBK"/>
                <w:snapToGrid w:val="0"/>
                <w:sz w:val="21"/>
                <w:szCs w:val="21"/>
              </w:rPr>
            </w:pPr>
          </w:p>
        </w:tc>
        <w:tc>
          <w:tcPr>
            <w:tcW w:w="642" w:type="dxa"/>
            <w:vMerge w:val="continue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黑体_GBK" w:eastAsia="方正黑体_GBK"/>
                <w:snapToGrid w:val="0"/>
                <w:sz w:val="21"/>
                <w:szCs w:val="21"/>
              </w:rPr>
            </w:pPr>
          </w:p>
        </w:tc>
        <w:tc>
          <w:tcPr>
            <w:tcW w:w="642" w:type="dxa"/>
            <w:vMerge w:val="continue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黑体_GBK" w:eastAsia="方正黑体_GBK"/>
                <w:snapToGrid w:val="0"/>
                <w:sz w:val="21"/>
                <w:szCs w:val="21"/>
              </w:rPr>
            </w:pPr>
          </w:p>
        </w:tc>
        <w:tc>
          <w:tcPr>
            <w:tcW w:w="642" w:type="dxa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黑体_GBK" w:eastAsia="方正黑体_GBK"/>
                <w:snapToGrid w:val="0"/>
                <w:sz w:val="21"/>
                <w:szCs w:val="21"/>
                <w:lang w:eastAsia="zh-CN" w:bidi="ar"/>
              </w:rPr>
            </w:pPr>
            <w:r>
              <w:rPr>
                <w:rFonts w:hint="eastAsia" w:ascii="方正黑体_GBK" w:eastAsia="方正黑体_GBK"/>
                <w:snapToGrid w:val="0"/>
                <w:sz w:val="21"/>
                <w:szCs w:val="21"/>
                <w:lang w:bidi="ar"/>
              </w:rPr>
              <w:t>结果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黑体_GBK" w:eastAsia="方正黑体_GBK"/>
                <w:snapToGrid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napToGrid w:val="0"/>
                <w:sz w:val="21"/>
                <w:szCs w:val="21"/>
                <w:lang w:bidi="ar"/>
              </w:rPr>
              <w:t>维持</w:t>
            </w:r>
          </w:p>
        </w:tc>
        <w:tc>
          <w:tcPr>
            <w:tcW w:w="642" w:type="dxa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黑体_GBK" w:eastAsia="方正黑体_GBK"/>
                <w:snapToGrid w:val="0"/>
                <w:sz w:val="21"/>
                <w:szCs w:val="21"/>
                <w:lang w:eastAsia="zh-CN" w:bidi="ar"/>
              </w:rPr>
            </w:pPr>
            <w:r>
              <w:rPr>
                <w:rFonts w:hint="eastAsia" w:ascii="方正黑体_GBK" w:eastAsia="方正黑体_GBK"/>
                <w:snapToGrid w:val="0"/>
                <w:sz w:val="21"/>
                <w:szCs w:val="21"/>
                <w:lang w:bidi="ar"/>
              </w:rPr>
              <w:t>结果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黑体_GBK" w:eastAsia="方正黑体_GBK"/>
                <w:snapToGrid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napToGrid w:val="0"/>
                <w:sz w:val="21"/>
                <w:szCs w:val="21"/>
                <w:lang w:bidi="ar"/>
              </w:rPr>
              <w:t>纠正</w:t>
            </w:r>
          </w:p>
        </w:tc>
        <w:tc>
          <w:tcPr>
            <w:tcW w:w="643" w:type="dxa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黑体_GBK" w:eastAsia="方正黑体_GBK"/>
                <w:snapToGrid w:val="0"/>
                <w:sz w:val="21"/>
                <w:szCs w:val="21"/>
                <w:lang w:eastAsia="zh-CN" w:bidi="ar"/>
              </w:rPr>
            </w:pPr>
            <w:r>
              <w:rPr>
                <w:rFonts w:hint="eastAsia" w:ascii="方正黑体_GBK" w:eastAsia="方正黑体_GBK"/>
                <w:snapToGrid w:val="0"/>
                <w:sz w:val="21"/>
                <w:szCs w:val="21"/>
                <w:lang w:bidi="ar"/>
              </w:rPr>
              <w:t>其他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黑体_GBK" w:eastAsia="方正黑体_GBK"/>
                <w:snapToGrid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napToGrid w:val="0"/>
                <w:sz w:val="21"/>
                <w:szCs w:val="21"/>
                <w:lang w:bidi="ar"/>
              </w:rPr>
              <w:t>结果</w:t>
            </w:r>
          </w:p>
        </w:tc>
        <w:tc>
          <w:tcPr>
            <w:tcW w:w="643" w:type="dxa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黑体_GBK" w:eastAsia="方正黑体_GBK"/>
                <w:snapToGrid w:val="0"/>
                <w:sz w:val="21"/>
                <w:szCs w:val="21"/>
                <w:lang w:eastAsia="zh-CN" w:bidi="ar"/>
              </w:rPr>
            </w:pPr>
            <w:r>
              <w:rPr>
                <w:rFonts w:hint="eastAsia" w:ascii="方正黑体_GBK" w:eastAsia="方正黑体_GBK"/>
                <w:snapToGrid w:val="0"/>
                <w:sz w:val="21"/>
                <w:szCs w:val="21"/>
                <w:lang w:bidi="ar"/>
              </w:rPr>
              <w:t>尚未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黑体_GBK" w:eastAsia="方正黑体_GBK"/>
                <w:snapToGrid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napToGrid w:val="0"/>
                <w:sz w:val="21"/>
                <w:szCs w:val="21"/>
                <w:lang w:bidi="ar"/>
              </w:rPr>
              <w:t>审结</w:t>
            </w:r>
          </w:p>
        </w:tc>
        <w:tc>
          <w:tcPr>
            <w:tcW w:w="643" w:type="dxa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黑体_GBK" w:eastAsia="方正黑体_GBK"/>
                <w:snapToGrid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napToGrid w:val="0"/>
                <w:sz w:val="21"/>
                <w:szCs w:val="21"/>
                <w:lang w:bidi="ar"/>
              </w:rPr>
              <w:t>总计</w:t>
            </w:r>
          </w:p>
        </w:tc>
        <w:tc>
          <w:tcPr>
            <w:tcW w:w="643" w:type="dxa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黑体_GBK" w:eastAsia="方正黑体_GBK"/>
                <w:snapToGrid w:val="0"/>
                <w:sz w:val="21"/>
                <w:szCs w:val="21"/>
                <w:lang w:eastAsia="zh-CN" w:bidi="ar"/>
              </w:rPr>
            </w:pPr>
            <w:r>
              <w:rPr>
                <w:rFonts w:hint="eastAsia" w:ascii="方正黑体_GBK" w:eastAsia="方正黑体_GBK"/>
                <w:snapToGrid w:val="0"/>
                <w:sz w:val="21"/>
                <w:szCs w:val="21"/>
                <w:lang w:bidi="ar"/>
              </w:rPr>
              <w:t>结果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黑体_GBK" w:eastAsia="方正黑体_GBK"/>
                <w:snapToGrid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napToGrid w:val="0"/>
                <w:sz w:val="21"/>
                <w:szCs w:val="21"/>
                <w:lang w:bidi="ar"/>
              </w:rPr>
              <w:t>维持</w:t>
            </w:r>
          </w:p>
        </w:tc>
        <w:tc>
          <w:tcPr>
            <w:tcW w:w="643" w:type="dxa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黑体_GBK" w:eastAsia="方正黑体_GBK"/>
                <w:snapToGrid w:val="0"/>
                <w:sz w:val="21"/>
                <w:szCs w:val="21"/>
                <w:lang w:eastAsia="zh-CN" w:bidi="ar"/>
              </w:rPr>
            </w:pPr>
            <w:r>
              <w:rPr>
                <w:rFonts w:hint="eastAsia" w:ascii="方正黑体_GBK" w:eastAsia="方正黑体_GBK"/>
                <w:snapToGrid w:val="0"/>
                <w:sz w:val="21"/>
                <w:szCs w:val="21"/>
                <w:lang w:bidi="ar"/>
              </w:rPr>
              <w:t>结果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黑体_GBK" w:eastAsia="方正黑体_GBK"/>
                <w:snapToGrid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napToGrid w:val="0"/>
                <w:sz w:val="21"/>
                <w:szCs w:val="21"/>
                <w:lang w:bidi="ar"/>
              </w:rPr>
              <w:t>纠正</w:t>
            </w:r>
          </w:p>
        </w:tc>
        <w:tc>
          <w:tcPr>
            <w:tcW w:w="643" w:type="dxa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黑体_GBK" w:eastAsia="方正黑体_GBK"/>
                <w:snapToGrid w:val="0"/>
                <w:sz w:val="21"/>
                <w:szCs w:val="21"/>
                <w:lang w:eastAsia="zh-CN" w:bidi="ar"/>
              </w:rPr>
            </w:pPr>
            <w:r>
              <w:rPr>
                <w:rFonts w:hint="eastAsia" w:ascii="方正黑体_GBK" w:eastAsia="方正黑体_GBK"/>
                <w:snapToGrid w:val="0"/>
                <w:sz w:val="21"/>
                <w:szCs w:val="21"/>
                <w:lang w:bidi="ar"/>
              </w:rPr>
              <w:t>其他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黑体_GBK" w:eastAsia="方正黑体_GBK"/>
                <w:snapToGrid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napToGrid w:val="0"/>
                <w:sz w:val="21"/>
                <w:szCs w:val="21"/>
                <w:lang w:bidi="ar"/>
              </w:rPr>
              <w:t>结果</w:t>
            </w:r>
          </w:p>
        </w:tc>
        <w:tc>
          <w:tcPr>
            <w:tcW w:w="643" w:type="dxa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黑体_GBK" w:eastAsia="方正黑体_GBK"/>
                <w:snapToGrid w:val="0"/>
                <w:sz w:val="21"/>
                <w:szCs w:val="21"/>
                <w:lang w:eastAsia="zh-CN" w:bidi="ar"/>
              </w:rPr>
            </w:pPr>
            <w:r>
              <w:rPr>
                <w:rFonts w:hint="eastAsia" w:ascii="方正黑体_GBK" w:eastAsia="方正黑体_GBK"/>
                <w:snapToGrid w:val="0"/>
                <w:sz w:val="21"/>
                <w:szCs w:val="21"/>
                <w:lang w:bidi="ar"/>
              </w:rPr>
              <w:t>尚未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黑体_GBK" w:eastAsia="方正黑体_GBK"/>
                <w:snapToGrid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napToGrid w:val="0"/>
                <w:sz w:val="21"/>
                <w:szCs w:val="21"/>
                <w:lang w:bidi="ar"/>
              </w:rPr>
              <w:t>审结</w:t>
            </w:r>
          </w:p>
        </w:tc>
        <w:tc>
          <w:tcPr>
            <w:tcW w:w="643" w:type="dxa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黑体_GBK" w:eastAsia="方正黑体_GBK"/>
                <w:snapToGrid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napToGrid w:val="0"/>
                <w:sz w:val="21"/>
                <w:szCs w:val="21"/>
                <w:lang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955" w:hRule="atLeast"/>
          <w:jc w:val="center"/>
        </w:trPr>
        <w:tc>
          <w:tcPr>
            <w:tcW w:w="642" w:type="dxa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2" w:type="dxa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2" w:type="dxa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2" w:type="dxa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2" w:type="dxa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2" w:type="dxa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2" w:type="dxa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3" w:type="dxa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3" w:type="dxa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3" w:type="dxa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3" w:type="dxa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3" w:type="dxa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3" w:type="dxa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3" w:type="dxa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3" w:type="dxa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pStyle w:val="8"/>
        <w:keepNext w:val="0"/>
        <w:keepLines w:val="0"/>
        <w:pageBreakBefore w:val="0"/>
        <w:kinsoku/>
        <w:wordWrap/>
        <w:overflowPunct/>
        <w:autoSpaceDE/>
        <w:bidi w:val="0"/>
        <w:adjustRightInd/>
        <w:snapToGrid w:val="0"/>
        <w:spacing w:line="56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五、存在的主要问题及改进情况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ascii="仿宋_GB2312" w:hAnsi="sans-serif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  <w:t>202</w:t>
      </w:r>
      <w:r>
        <w:rPr>
          <w:rFonts w:hint="eastAsia" w:ascii="仿宋_GB2312" w:hAnsi="sans-serif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  <w:t>年我镇政府信息公开工作存在的主要问题：一是对政府信息公开的认识还有待深入，极少数工作人员对政府信息公开的重要意义认识不足，工作被动应付;二是信息更新还不够及时，在管理.上有待进一步加强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；三是信息公开的内容不具体，重点不突出。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left="0" w:firstLine="634"/>
        <w:jc w:val="left"/>
        <w:textAlignment w:val="auto"/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  <w:t>改进措施主要有：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一是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  <w:t>加强教育，提高认识。通过多种形式深入学习《中华人民共和国政府信息公开条例》和上级部门门对有关政府信息公开管理文件的精神，统一认识，强化服务理念，建设服务型机关。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二是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  <w:t>加强管理落实责任制。继续加强信息公开的配套保障建设，完善网页上需要公开的各类信息。同时进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一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  <w:t>步规范政府信息公开工作流程，认真梳理细化政府信息栏目,进一步扩大公开内容。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三是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  <w:t>加大公开力度。坚持把主动公开作为政府信息公开的主渠道，确保信息发布的及时性和准确性。积极拓展公开方式,不断深化公开内容。进一步提高政府信息公开工作水平。</w:t>
      </w:r>
    </w:p>
    <w:p>
      <w:pPr>
        <w:pStyle w:val="8"/>
        <w:keepNext w:val="0"/>
        <w:keepLines w:val="0"/>
        <w:pageBreakBefore w:val="0"/>
        <w:kinsoku/>
        <w:wordWrap/>
        <w:overflowPunct/>
        <w:autoSpaceDE/>
        <w:bidi w:val="0"/>
        <w:adjustRightInd/>
        <w:snapToGrid w:val="0"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六、其他需要报告的事项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0" w:firstLineChars="200"/>
        <w:textAlignment w:val="auto"/>
      </w:pP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本年度报告中所列数据的统计期限自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202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年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1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月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1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日起至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202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年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12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月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31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日止。本报告的电子版可在广西柳州柳城县人民政府门户网站（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http://www.liucheng.gov.cn/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）查阅或下载。如对本年度报告有疑问，请与柳城县龙头镇人民政府党政办联系（地址：柳城县龙头镇龙头街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142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号，邮编：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545200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，电话：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0772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－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7871213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，电子信箱：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lt7871213@163.com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）。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 w:val="0"/>
        <w:spacing w:line="560" w:lineRule="exact"/>
        <w:ind w:left="0" w:leftChars="0" w:firstLine="0" w:firstLineChars="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bookmarkStart w:id="0" w:name="_GoBack"/>
      <w:bookmarkEnd w:id="0"/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 w:val="0"/>
        <w:spacing w:line="56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 w:val="0"/>
        <w:spacing w:line="56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 w:val="0"/>
        <w:spacing w:line="56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lang w:val="en-US" w:eastAsia="zh-CN"/>
        </w:rPr>
        <w:t>　　　　　　　　　　　　柳城县龙头镇人民政府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 w:val="0"/>
        <w:spacing w:line="560" w:lineRule="exact"/>
        <w:jc w:val="center"/>
        <w:textAlignment w:val="auto"/>
        <w:rPr>
          <w:rFonts w:hint="default" w:ascii="仿宋_GB2312" w:hAnsi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lang w:val="en-US" w:eastAsia="zh-CN"/>
        </w:rPr>
        <w:t>　　　　　　　　　　　　2023年1月10日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书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iNmI3MDYzY2ZmYzg4MDc2N2U0MWQyODUwMzkxYTIifQ=="/>
  </w:docVars>
  <w:rsids>
    <w:rsidRoot w:val="2E6D5E7F"/>
    <w:rsid w:val="028158F8"/>
    <w:rsid w:val="05E732EC"/>
    <w:rsid w:val="18861C33"/>
    <w:rsid w:val="1AA32234"/>
    <w:rsid w:val="2E6D5E7F"/>
    <w:rsid w:val="31A1570F"/>
    <w:rsid w:val="3BD258C9"/>
    <w:rsid w:val="3E1F0B6E"/>
    <w:rsid w:val="57003EC3"/>
    <w:rsid w:val="5F447FDD"/>
    <w:rsid w:val="69B45217"/>
    <w:rsid w:val="6B685127"/>
    <w:rsid w:val="6DC9675D"/>
    <w:rsid w:val="713E505A"/>
    <w:rsid w:val="7B3C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2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4">
    <w:name w:val="heading 5"/>
    <w:basedOn w:val="1"/>
    <w:next w:val="1"/>
    <w:qFormat/>
    <w:uiPriority w:val="0"/>
    <w:pPr>
      <w:keepNext/>
      <w:keepLines/>
      <w:spacing w:before="280" w:after="290" w:line="374" w:lineRule="auto"/>
      <w:outlineLvl w:val="4"/>
    </w:pPr>
    <w:rPr>
      <w:b/>
      <w:bCs/>
      <w:sz w:val="28"/>
      <w:szCs w:val="28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6"/>
    <w:unhideWhenUsed/>
    <w:qFormat/>
    <w:uiPriority w:val="99"/>
    <w:rPr>
      <w:rFonts w:eastAsia="仿宋_GB2312"/>
      <w:sz w:val="32"/>
      <w:szCs w:val="20"/>
    </w:rPr>
  </w:style>
  <w:style w:type="paragraph" w:customStyle="1" w:styleId="6">
    <w:name w:val="_Style 4"/>
    <w:basedOn w:val="1"/>
    <w:next w:val="1"/>
    <w:qFormat/>
    <w:uiPriority w:val="0"/>
    <w:pPr>
      <w:wordWrap w:val="0"/>
      <w:spacing w:before="360" w:after="360"/>
      <w:ind w:left="950" w:right="950"/>
      <w:jc w:val="center"/>
    </w:pPr>
    <w:rPr>
      <w:rFonts w:ascii="Times New Roman" w:hAnsi="Times New Roman" w:eastAsia="宋体" w:cs="Times New Roman"/>
      <w:i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"/>
    <w:basedOn w:val="5"/>
    <w:qFormat/>
    <w:uiPriority w:val="0"/>
    <w:pPr>
      <w:spacing w:line="360" w:lineRule="auto"/>
      <w:ind w:firstLine="720" w:firstLineChars="200"/>
      <w:jc w:val="left"/>
    </w:pPr>
    <w:rPr>
      <w:rFonts w:ascii="宋体" w:hAnsi="宋体" w:cs="宋体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2354</Words>
  <Characters>2472</Characters>
  <Lines>0</Lines>
  <Paragraphs>0</Paragraphs>
  <TotalTime>1</TotalTime>
  <ScaleCrop>false</ScaleCrop>
  <LinksUpToDate>false</LinksUpToDate>
  <CharactersWithSpaces>2499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2023-01-05T10:56:00Z</dcterms:created>
  <dc:creator>龙头镇党政办</dc:creator>
  <cp:lastModifiedBy>龙头镇党政办</cp:lastModifiedBy>
  <dcterms:modified xsi:type="dcterms:W3CDTF">2023-01-16T00:57:37Z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C1FFAADA4824418D8F520E44B2CD7AB7</vt:lpwstr>
  </property>
</Properties>
</file>