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62" w:lineRule="exact"/>
        <w:jc w:val="left"/>
        <w:rPr>
          <w:rFonts w:ascii="黑体" w:hAnsi="宋体" w:eastAsia="黑体"/>
          <w:bCs/>
          <w:color w:val="FFFFFF"/>
          <w:kern w:val="0"/>
          <w:sz w:val="32"/>
          <w:szCs w:val="32"/>
        </w:rPr>
      </w:pPr>
      <w:r>
        <w:rPr>
          <w:rFonts w:hint="eastAsia" w:ascii="黑体" w:hAnsi="宋体" w:eastAsia="黑体"/>
          <w:bCs/>
          <w:color w:val="FFFFFF"/>
          <w:kern w:val="0"/>
          <w:sz w:val="32"/>
          <w:szCs w:val="32"/>
        </w:rPr>
        <w:t>急  件</w:t>
      </w:r>
    </w:p>
    <w:p>
      <w:pPr>
        <w:spacing w:line="662" w:lineRule="exact"/>
        <w:jc w:val="center"/>
        <w:rPr>
          <w:rFonts w:ascii="方正小标宋简体" w:hAnsi="宋体" w:eastAsia="方正小标宋简体"/>
          <w:b/>
          <w:bCs/>
          <w:color w:val="FFFFFF" w:themeColor="background1"/>
          <w:spacing w:val="105"/>
          <w:kern w:val="0"/>
          <w:sz w:val="52"/>
          <w14:textFill>
            <w14:solidFill>
              <w14:schemeClr w14:val="bg1"/>
            </w14:solidFill>
          </w14:textFill>
        </w:rPr>
      </w:pPr>
      <w:r>
        <w:rPr>
          <w:rFonts w:hint="eastAsia" w:ascii="方正小标宋简体" w:hAnsi="宋体" w:eastAsia="方正小标宋简体"/>
          <w:b/>
          <w:bCs/>
          <w:color w:val="FFFFFF" w:themeColor="background1"/>
          <w:spacing w:val="105"/>
          <w:kern w:val="0"/>
          <w:sz w:val="52"/>
          <w14:textFill>
            <w14:solidFill>
              <w14:schemeClr w14:val="bg1"/>
            </w14:solidFill>
          </w14:textFill>
        </w:rPr>
        <w:t>柳 城 县</w:t>
      </w:r>
    </w:p>
    <w:p>
      <w:pPr>
        <w:spacing w:line="662" w:lineRule="exact"/>
        <w:jc w:val="center"/>
        <w:rPr>
          <w:rFonts w:ascii="宋体" w:hAnsi="宋体"/>
          <w:b/>
          <w:bCs/>
          <w:color w:val="FFFFFF" w:themeColor="background1"/>
          <w:sz w:val="52"/>
          <w14:textFill>
            <w14:solidFill>
              <w14:schemeClr w14:val="bg1"/>
            </w14:solidFill>
          </w14:textFill>
        </w:rPr>
      </w:pPr>
    </w:p>
    <w:p>
      <w:pPr>
        <w:spacing w:line="1324" w:lineRule="exact"/>
        <w:jc w:val="center"/>
        <w:rPr>
          <w:rFonts w:ascii="方正小标宋简体" w:hAnsi="宋体" w:eastAsia="方正小标宋简体"/>
          <w:bCs/>
          <w:color w:val="FF0000"/>
          <w:sz w:val="110"/>
        </w:rPr>
      </w:pPr>
      <w:r>
        <w:rPr>
          <w:rFonts w:hint="eastAsia" w:ascii="方正小标宋简体" w:hAnsi="宋体" w:eastAsia="方正小标宋简体"/>
          <w:bCs/>
          <w:color w:val="FFFFFF" w:themeColor="background1"/>
          <w:kern w:val="0"/>
          <w:sz w:val="110"/>
          <w14:textFill>
            <w14:solidFill>
              <w14:schemeClr w14:val="bg1"/>
            </w14:solidFill>
          </w14:textFill>
        </w:rPr>
        <w:t>人民政府文件</w:t>
      </w:r>
      <w:bookmarkStart w:id="0" w:name="_GoBack"/>
      <w:bookmarkEnd w:id="0"/>
    </w:p>
    <w:p>
      <w:pPr>
        <w:spacing w:line="560" w:lineRule="exact"/>
        <w:jc w:val="center"/>
        <w:rPr>
          <w:color w:val="FF3300"/>
          <w:sz w:val="52"/>
        </w:rPr>
      </w:pPr>
    </w:p>
    <w:p>
      <w:pPr>
        <w:spacing w:line="500" w:lineRule="exact"/>
        <w:jc w:val="center"/>
        <w:rPr>
          <w:rFonts w:ascii="仿宋_GB2312" w:eastAsia="仿宋_GB2312"/>
          <w:sz w:val="32"/>
        </w:rPr>
      </w:pPr>
      <w:r>
        <w:rPr>
          <w:rFonts w:hint="eastAsia" w:ascii="仿宋_GB2312" w:eastAsia="仿宋_GB2312"/>
          <w:sz w:val="32"/>
        </w:rPr>
        <w:t>柳城政</w:t>
      </w:r>
      <w:r>
        <w:rPr>
          <w:rFonts w:hint="eastAsia" w:ascii="仿宋_GB2312" w:eastAsia="仿宋_GB2312"/>
          <w:sz w:val="32"/>
          <w:lang w:eastAsia="zh-CN"/>
        </w:rPr>
        <w:t>规</w:t>
      </w:r>
      <w:r>
        <w:rPr>
          <w:rFonts w:hint="eastAsia" w:ascii="仿宋_GB2312" w:eastAsia="仿宋_GB2312"/>
          <w:sz w:val="32"/>
        </w:rPr>
        <w:t>〔</w:t>
      </w:r>
      <w:r>
        <w:rPr>
          <w:rFonts w:hint="eastAsia" w:ascii="仿宋_GB2312"/>
          <w:sz w:val="32"/>
          <w:lang w:val="en-US" w:eastAsia="zh-CN"/>
        </w:rPr>
        <w:t>2025</w:t>
      </w:r>
      <w:r>
        <w:rPr>
          <w:rFonts w:hint="eastAsia" w:ascii="仿宋_GB2312" w:eastAsia="仿宋_GB2312"/>
          <w:sz w:val="32"/>
        </w:rPr>
        <w:t>〕</w:t>
      </w:r>
      <w:r>
        <w:rPr>
          <w:rFonts w:hint="eastAsia" w:ascii="仿宋_GB2312"/>
          <w:sz w:val="32"/>
          <w:lang w:val="en-US" w:eastAsia="zh-CN"/>
        </w:rPr>
        <w:t>1</w:t>
      </w:r>
      <w:r>
        <w:rPr>
          <w:rFonts w:hint="eastAsia" w:ascii="仿宋_GB2312" w:eastAsia="仿宋_GB2312"/>
          <w:sz w:val="32"/>
        </w:rPr>
        <w:t>号</w:t>
      </w:r>
    </w:p>
    <w:p>
      <w:pPr>
        <w:spacing w:line="500" w:lineRule="exact"/>
        <w:jc w:val="center"/>
        <w:rPr>
          <w:color w:val="FF3300"/>
          <w:sz w:val="52"/>
        </w:rPr>
      </w:pPr>
    </w:p>
    <w:p>
      <w:pPr>
        <w:keepNext w:val="0"/>
        <w:keepLines w:val="0"/>
        <w:pageBreakBefore w:val="0"/>
        <w:widowControl w:val="0"/>
        <w:kinsoku/>
        <w:overflowPunct/>
        <w:topLinePunct w:val="0"/>
        <w:autoSpaceDE/>
        <w:autoSpaceDN/>
        <w:bidi w:val="0"/>
        <w:adjustRightInd/>
        <w:snapToGrid/>
        <w:spacing w:line="560" w:lineRule="exact"/>
        <w:jc w:val="center"/>
        <w:textAlignment w:val="auto"/>
        <w:rPr>
          <w:color w:val="FF3300"/>
          <w:sz w:val="52"/>
        </w:rPr>
      </w:pPr>
    </w:p>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简体" w:hAnsi="宋体" w:eastAsia="方正小标宋简体"/>
          <w:sz w:val="44"/>
          <w:szCs w:val="44"/>
          <w:lang w:val="en-US" w:eastAsia="zh-CN"/>
        </w:rPr>
      </w:pPr>
      <w:r>
        <w:rPr>
          <w:rFonts w:hint="eastAsia" w:ascii="方正小标宋简体" w:hAnsi="宋体" w:eastAsia="方正小标宋简体"/>
          <w:sz w:val="44"/>
          <w:szCs w:val="44"/>
        </w:rPr>
        <w:t>柳城县人民政府关于</w:t>
      </w:r>
      <w:r>
        <w:rPr>
          <w:rFonts w:hint="eastAsia" w:ascii="方正小标宋简体" w:hAnsi="宋体" w:eastAsia="方正小标宋简体"/>
          <w:sz w:val="44"/>
          <w:szCs w:val="44"/>
          <w:lang w:val="en-US" w:eastAsia="zh-CN"/>
        </w:rPr>
        <w:t>印发</w:t>
      </w:r>
    </w:p>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ascii="宋体" w:hAnsi="宋体"/>
          <w:b/>
          <w:sz w:val="36"/>
          <w:szCs w:val="36"/>
        </w:rPr>
      </w:pPr>
      <w:r>
        <w:rPr>
          <w:rFonts w:hint="eastAsia" w:ascii="方正小标宋简体" w:hAnsi="宋体" w:eastAsia="方正小标宋简体"/>
          <w:sz w:val="44"/>
          <w:szCs w:val="44"/>
          <w:lang w:val="en-US" w:eastAsia="zh-CN"/>
        </w:rPr>
        <w:t>《</w:t>
      </w:r>
      <w:r>
        <w:rPr>
          <w:rFonts w:hint="eastAsia" w:ascii="方正小标宋简体" w:hAnsi="方正小标宋简体" w:eastAsia="方正小标宋简体" w:cs="方正小标宋简体"/>
          <w:b w:val="0"/>
          <w:bCs w:val="0"/>
          <w:color w:val="000000" w:themeColor="text1"/>
          <w:kern w:val="44"/>
          <w:sz w:val="44"/>
          <w:szCs w:val="48"/>
          <w:u w:val="none"/>
          <w:lang w:val="en-US" w:eastAsia="zh-CN" w:bidi="ar"/>
          <w14:textFill>
            <w14:solidFill>
              <w14:schemeClr w14:val="tx1"/>
            </w14:solidFill>
          </w14:textFill>
        </w:rPr>
        <w:t>柳城县储备粮管理办法》</w:t>
      </w:r>
      <w:r>
        <w:rPr>
          <w:rFonts w:hint="eastAsia" w:ascii="方正小标宋简体" w:hAnsi="宋体" w:eastAsia="方正小标宋简体"/>
          <w:sz w:val="44"/>
          <w:szCs w:val="44"/>
        </w:rPr>
        <w:t>的通知</w:t>
      </w:r>
    </w:p>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r>
        <w:rPr>
          <w:rFonts w:hint="eastAsia" w:ascii="仿宋_GB2312" w:eastAsia="仿宋_GB2312"/>
          <w:sz w:val="32"/>
          <w:szCs w:val="32"/>
        </w:rPr>
        <w:t>各乡镇人民政府、华侨管理区，县人民政府各组成部门：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Times New Roman" w:hAnsi="Times New Roman" w:cs="Times New Roman"/>
          <w:color w:val="000000" w:themeColor="text1"/>
          <w:u w:val="none"/>
          <w:lang w:val="en-US" w:eastAsia="zh-CN"/>
          <w14:textFill>
            <w14:solidFill>
              <w14:schemeClr w14:val="tx1"/>
            </w14:solidFill>
          </w14:textFill>
        </w:rPr>
      </w:pPr>
      <w:r>
        <w:rPr>
          <w:rFonts w:ascii="Times New Roman" w:hAnsi="Times New Roman" w:cs="Times New Roman"/>
          <w:color w:val="000000" w:themeColor="text1"/>
          <w:u w:val="none"/>
          <w:lang w:val="en-US" w:eastAsia="zh-CN"/>
          <w14:textFill>
            <w14:solidFill>
              <w14:schemeClr w14:val="tx1"/>
            </w14:solidFill>
          </w14:textFill>
        </w:rPr>
        <w:t>现将修订后的《</w:t>
      </w:r>
      <w:r>
        <w:rPr>
          <w:rFonts w:hint="eastAsia" w:ascii="Times New Roman" w:hAnsi="Times New Roman" w:cs="Times New Roman"/>
          <w:color w:val="000000" w:themeColor="text1"/>
          <w:u w:val="none"/>
          <w:lang w:val="en-US" w:eastAsia="zh-CN"/>
          <w14:textFill>
            <w14:solidFill>
              <w14:schemeClr w14:val="tx1"/>
            </w14:solidFill>
          </w14:textFill>
        </w:rPr>
        <w:t>柳城县</w:t>
      </w:r>
      <w:r>
        <w:rPr>
          <w:rFonts w:ascii="Times New Roman" w:hAnsi="Times New Roman" w:cs="Times New Roman"/>
          <w:color w:val="000000" w:themeColor="text1"/>
          <w:u w:val="none"/>
          <w:lang w:val="en-US" w:eastAsia="zh-CN"/>
          <w14:textFill>
            <w14:solidFill>
              <w14:schemeClr w14:val="tx1"/>
            </w14:solidFill>
          </w14:textFill>
        </w:rPr>
        <w:t>储备粮管理办法》印发给你们，请认真组织实施。</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080" w:firstLineChars="1900"/>
        <w:jc w:val="both"/>
        <w:textAlignment w:val="auto"/>
        <w:rPr>
          <w:rFonts w:hint="default" w:ascii="仿宋_GB2312"/>
          <w:sz w:val="32"/>
          <w:szCs w:val="32"/>
          <w:lang w:val="en-US" w:eastAsia="zh-CN"/>
        </w:rPr>
      </w:pPr>
      <w:r>
        <w:rPr>
          <w:rFonts w:hint="eastAsia" w:ascii="仿宋_GB2312" w:eastAsia="仿宋_GB2312"/>
          <w:sz w:val="32"/>
          <w:szCs w:val="32"/>
        </w:rPr>
        <w:t>柳城县人民政府</w:t>
      </w:r>
      <w:r>
        <w:rPr>
          <w:rFonts w:hint="eastAsia" w:ascii="仿宋_GB2312"/>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eastAsia="仿宋_GB2312"/>
          <w:sz w:val="32"/>
          <w:szCs w:val="32"/>
        </w:rPr>
      </w:pPr>
      <w:r>
        <w:rPr>
          <w:rFonts w:hint="eastAsia" w:ascii="仿宋_GB2312" w:eastAsia="仿宋_GB2312"/>
          <w:sz w:val="32"/>
          <w:szCs w:val="32"/>
          <w:lang w:val="en-US" w:eastAsia="zh-CN"/>
        </w:rPr>
        <w:t>202</w:t>
      </w:r>
      <w:r>
        <w:rPr>
          <w:rFonts w:hint="eastAsia" w:ascii="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sz w:val="32"/>
          <w:szCs w:val="32"/>
          <w:lang w:val="en-US" w:eastAsia="zh-CN"/>
        </w:rPr>
        <w:t>10</w:t>
      </w:r>
      <w:r>
        <w:rPr>
          <w:rFonts w:hint="eastAsia" w:ascii="仿宋_GB2312" w:eastAsia="仿宋_GB2312"/>
          <w:sz w:val="32"/>
          <w:szCs w:val="32"/>
        </w:rPr>
        <w:t>日</w:t>
      </w:r>
      <w:r>
        <w:rPr>
          <w:rFonts w:hint="eastAsia" w:ascii="仿宋_GB2312"/>
          <w:sz w:val="32"/>
          <w:szCs w:val="32"/>
          <w:lang w:val="en-US" w:eastAsia="zh-CN"/>
        </w:rPr>
        <w:t xml:space="preserve">   </w:t>
      </w:r>
    </w:p>
    <w:p>
      <w:pPr>
        <w:pageBreakBefore w:val="0"/>
        <w:widowControl w:val="0"/>
        <w:kinsoku/>
        <w:wordWrap/>
        <w:overflowPunct/>
        <w:topLinePunct w:val="0"/>
        <w:autoSpaceDE/>
        <w:autoSpaceDN/>
        <w:bidi w:val="0"/>
        <w:adjustRightInd/>
        <w:snapToGrid/>
        <w:spacing w:before="0" w:beforeAutospacing="0" w:after="0" w:afterAutospacing="0" w:line="56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val="0"/>
          <w:color w:val="000000" w:themeColor="text1"/>
          <w:kern w:val="44"/>
          <w:sz w:val="44"/>
          <w:szCs w:val="48"/>
          <w:u w:val="none"/>
          <w:lang w:val="en-US" w:eastAsia="zh-CN" w:bidi="ar"/>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44"/>
          <w:sz w:val="44"/>
          <w:szCs w:val="48"/>
          <w:u w:val="none"/>
          <w:lang w:val="en-US" w:eastAsia="zh-CN" w:bidi="ar"/>
          <w14:textFill>
            <w14:solidFill>
              <w14:schemeClr w14:val="tx1"/>
            </w14:solidFill>
          </w14:textFill>
        </w:rPr>
        <w:t>柳城县储备粮管理办法</w:t>
      </w:r>
    </w:p>
    <w:p>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color w:val="000000" w:themeColor="text1"/>
          <w:u w:val="none"/>
          <w14:textFill>
            <w14:solidFill>
              <w14:schemeClr w14:val="tx1"/>
            </w14:solidFill>
          </w14:textFill>
        </w:rPr>
      </w:pP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r>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t>第一章 总 则</w:t>
      </w: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第一条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为加强对</w:t>
      </w:r>
      <w:r>
        <w:rPr>
          <w:rStyle w:val="29"/>
          <w:rFonts w:hint="eastAsia" w:ascii="Times New Roman" w:hAnsi="Times New Roman"/>
          <w:color w:val="000000" w:themeColor="text1"/>
          <w:u w:val="none"/>
          <w:lang w:val="en-US" w:eastAsia="zh-CN"/>
          <w14:textFill>
            <w14:solidFill>
              <w14:schemeClr w14:val="tx1"/>
            </w14:solidFill>
          </w14:textFill>
        </w:rPr>
        <w:t>柳城县</w:t>
      </w:r>
      <w:r>
        <w:rPr>
          <w:color w:val="000000" w:themeColor="text1"/>
          <w:u w:val="none"/>
          <w:lang w:val="en-US" w:eastAsia="zh-CN"/>
          <w14:textFill>
            <w14:solidFill>
              <w14:schemeClr w14:val="tx1"/>
            </w14:solidFill>
          </w14:textFill>
        </w:rPr>
        <w:t>本级储备粮（以下简称</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级储备粮）的管理，根据国家有关法律法规，参照《中央储备粮管理条例》</w:t>
      </w:r>
      <w:r>
        <w:rPr>
          <w:rFonts w:hint="eastAsia" w:ascii="Times New Roman" w:eastAsia="仿宋_GB2312"/>
          <w:color w:val="000000" w:themeColor="text1"/>
          <w:u w:val="none"/>
          <w:lang w:val="en-US" w:eastAsia="zh-CN"/>
          <w14:textFill>
            <w14:solidFill>
              <w14:schemeClr w14:val="tx1"/>
            </w14:solidFill>
          </w14:textFill>
        </w:rPr>
        <w:t>、</w:t>
      </w:r>
      <w:r>
        <w:rPr>
          <w:color w:val="000000" w:themeColor="text1"/>
          <w:u w:val="none"/>
          <w:lang w:val="en-US" w:eastAsia="zh-CN"/>
          <w14:textFill>
            <w14:solidFill>
              <w14:schemeClr w14:val="tx1"/>
            </w14:solidFill>
          </w14:textFill>
        </w:rPr>
        <w:t>《广西壮族自治区储备粮管理办法》</w:t>
      </w:r>
      <w:r>
        <w:rPr>
          <w:rFonts w:hint="eastAsia" w:ascii="Times New Roman" w:eastAsia="仿宋_GB2312"/>
          <w:color w:val="000000" w:themeColor="text1"/>
          <w:u w:val="none"/>
          <w:lang w:val="en-US" w:eastAsia="zh-CN"/>
          <w14:textFill>
            <w14:solidFill>
              <w14:schemeClr w14:val="tx1"/>
            </w14:solidFill>
          </w14:textFill>
        </w:rPr>
        <w:t>和</w:t>
      </w:r>
      <w:r>
        <w:rPr>
          <w:rStyle w:val="29"/>
          <w:rFonts w:hint="eastAsia" w:ascii="Times New Roman" w:hAnsi="Times New Roman"/>
          <w:color w:val="000000" w:themeColor="text1"/>
          <w:u w:val="none"/>
          <w:lang w:val="en-US" w:eastAsia="zh-CN"/>
          <w14:textFill>
            <w14:solidFill>
              <w14:schemeClr w14:val="tx1"/>
            </w14:solidFill>
          </w14:textFill>
        </w:rPr>
        <w:t>《柳州市储备粮管理办法》</w:t>
      </w:r>
      <w:r>
        <w:rPr>
          <w:color w:val="000000" w:themeColor="text1"/>
          <w:u w:val="none"/>
          <w:lang w:val="en-US" w:eastAsia="zh-CN"/>
          <w14:textFill>
            <w14:solidFill>
              <w14:schemeClr w14:val="tx1"/>
            </w14:solidFill>
          </w14:textFill>
        </w:rPr>
        <w:t>，结合本</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实际，制定本办法。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第二条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lang w:val="en-US" w:eastAsia="zh-CN"/>
        </w:rPr>
        <w:t>本办法所称</w:t>
      </w:r>
      <w:r>
        <w:rPr>
          <w:rFonts w:hint="eastAsia"/>
          <w:lang w:val="en-US" w:eastAsia="zh-CN"/>
        </w:rPr>
        <w:t>县</w:t>
      </w:r>
      <w:r>
        <w:rPr>
          <w:lang w:val="en-US" w:eastAsia="zh-CN"/>
        </w:rPr>
        <w:t>级储备粮，是指</w:t>
      </w:r>
      <w:r>
        <w:rPr>
          <w:rFonts w:hint="eastAsia"/>
          <w:lang w:val="en-US" w:eastAsia="zh-CN"/>
        </w:rPr>
        <w:t>县</w:t>
      </w:r>
      <w:r>
        <w:rPr>
          <w:lang w:val="en-US" w:eastAsia="zh-CN"/>
        </w:rPr>
        <w:t>人民政府储备的用于调节全</w:t>
      </w:r>
      <w:r>
        <w:rPr>
          <w:rFonts w:hint="eastAsia"/>
          <w:lang w:val="en-US" w:eastAsia="zh-CN"/>
        </w:rPr>
        <w:t>县</w:t>
      </w:r>
      <w:r>
        <w:rPr>
          <w:lang w:val="en-US" w:eastAsia="zh-CN"/>
        </w:rPr>
        <w:t>粮食供求总量，稳定粮食市场，以及应对重大自然灾害或者其他突发事件等情况的粮食。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第三条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级储备粮计划、储存、轮换、动用及监督管理等活动适用本办法。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第四条</w:t>
      </w:r>
      <w:r>
        <w:rPr>
          <w:rFonts w:hint="eastAsia" w:ascii="Times New Roman" w:eastAsia="仿宋_GB2312"/>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应当严格</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级储备粮的各项管理制度，确保</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级储备粮数量真实、质量良好和储存安全，确保储得进、管得好、调得动、用得上，并节约</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级储备粮的成本、费用</w:t>
      </w:r>
      <w:r>
        <w:rPr>
          <w:rFonts w:hint="eastAsia"/>
          <w:color w:val="000000" w:themeColor="text1"/>
          <w:u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未经</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人民政府批准，任何单位和个人不得擅自动用</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第五条</w:t>
      </w:r>
      <w:r>
        <w:rPr>
          <w:rFonts w:hint="eastAsia" w:eastAsia="楷体_GB2312"/>
          <w:color w:val="000000" w:themeColor="text1"/>
          <w:szCs w:val="32"/>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Style w:val="29"/>
          <w:rFonts w:hint="eastAsia" w:ascii="Times New Roman" w:hAnsi="Times New Roman"/>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）会同</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财政局负责拟订</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级储备粮的规模总量、总体布局和动用的宏观调控意见，对</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级储备粮管理进行指导和协调。</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）负责管理</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级储备粮，对</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级储备粮的数量、质量和储存实施监督检查。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储备粮管理中心负责配合</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）做好</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级储备粮的具体业务管理工作。</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级储备粮承储企业（以下统称承储企业）负责所承储的</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级储备粮的数量、质量和储存安全。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第六条</w:t>
      </w:r>
      <w:r>
        <w:rPr>
          <w:rFonts w:hint="eastAsia" w:ascii="Times New Roman" w:eastAsia="仿宋_GB2312"/>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财政局参与</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级储备粮的有关管理，安排</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级储备粮购、销、调、存、轮换各环节盈亏、补贴的资金，安排</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级储备粮贷款利息、管理费用以及价差亏损等财政补贴，并及时、足额拨付各项财政补贴；负责对</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级储备粮有关财务执行情况实施监督检查。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第七条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中国农业发展银行</w:t>
      </w:r>
      <w:r>
        <w:rPr>
          <w:rStyle w:val="29"/>
          <w:rFonts w:hint="eastAsia" w:ascii="Times New Roman" w:hAnsi="Times New Roman"/>
          <w:color w:val="000000" w:themeColor="text1"/>
          <w:u w:val="none"/>
          <w:lang w:val="en-US" w:eastAsia="zh-CN"/>
          <w14:textFill>
            <w14:solidFill>
              <w14:schemeClr w14:val="tx1"/>
            </w14:solidFill>
          </w14:textFill>
        </w:rPr>
        <w:t>柳州市</w:t>
      </w:r>
      <w:r>
        <w:rPr>
          <w:rFonts w:hint="eastAsia" w:ascii="Times New Roman" w:eastAsia="仿宋_GB2312"/>
          <w:color w:val="000000" w:themeColor="text1"/>
          <w:u w:val="none"/>
          <w:lang w:val="en-US" w:eastAsia="zh-CN"/>
          <w14:textFill>
            <w14:solidFill>
              <w14:schemeClr w14:val="tx1"/>
            </w14:solidFill>
          </w14:textFill>
        </w:rPr>
        <w:t>柳江支</w:t>
      </w:r>
      <w:r>
        <w:rPr>
          <w:color w:val="000000" w:themeColor="text1"/>
          <w:u w:val="none"/>
          <w:lang w:val="en-US" w:eastAsia="zh-CN"/>
          <w14:textFill>
            <w14:solidFill>
              <w14:schemeClr w14:val="tx1"/>
            </w14:solidFill>
          </w14:textFill>
        </w:rPr>
        <w:t>行负责按照国家有关规定，在落实好管理费用、贷款利息及价差亏损的前提下，及时、足额安排</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级储备粮所需贷款，并对发放的贷款实施信贷监管。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14:textFill>
            <w14:solidFill>
              <w14:schemeClr w14:val="tx1"/>
            </w14:solidFill>
          </w14:textFill>
        </w:rPr>
      </w:pPr>
      <w:r>
        <w:rPr>
          <w:rStyle w:val="16"/>
          <w:color w:val="000000" w:themeColor="text1"/>
          <w:lang w:val="en-US" w:eastAsia="zh-CN"/>
          <w14:textFill>
            <w14:solidFill>
              <w14:schemeClr w14:val="tx1"/>
            </w14:solidFill>
          </w14:textFill>
        </w:rPr>
        <w:t>第八条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任何单位和个人不得破坏</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级储备粮的仓储设施，不得偷盗、哄抢或者损毁</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u w:val="none"/>
          <w14:textFill>
            <w14:solidFill>
              <w14:schemeClr w14:val="tx1"/>
            </w14:solidFill>
          </w14:textFill>
        </w:rPr>
      </w:pPr>
      <w:r>
        <w:rPr>
          <w:rStyle w:val="29"/>
          <w:rFonts w:hint="eastAsia" w:ascii="Times New Roman" w:hAnsi="Times New Roman"/>
          <w:color w:val="000000" w:themeColor="text1"/>
          <w:u w:val="none"/>
          <w:lang w:val="en-US" w:eastAsia="zh-CN"/>
          <w14:textFill>
            <w14:solidFill>
              <w14:schemeClr w14:val="tx1"/>
            </w14:solidFill>
          </w14:textFill>
        </w:rPr>
        <w:t>县</w:t>
      </w:r>
      <w:r>
        <w:rPr>
          <w:rFonts w:hint="eastAsia"/>
          <w:color w:val="000000" w:themeColor="text1"/>
          <w:u w:val="none"/>
          <w14:textFill>
            <w14:solidFill>
              <w14:schemeClr w14:val="tx1"/>
            </w14:solidFill>
          </w14:textFill>
        </w:rPr>
        <w:t>级储备粮储存地的</w:t>
      </w:r>
      <w:r>
        <w:rPr>
          <w:rFonts w:hint="eastAsia" w:ascii="Times New Roman" w:eastAsia="仿宋_GB2312"/>
          <w:color w:val="000000" w:themeColor="text1"/>
          <w:u w:val="none"/>
          <w:lang w:val="en-US" w:eastAsia="zh-CN"/>
          <w14:textFill>
            <w14:solidFill>
              <w14:schemeClr w14:val="tx1"/>
            </w14:solidFill>
          </w14:textFill>
        </w:rPr>
        <w:t>乡镇</w:t>
      </w:r>
      <w:r>
        <w:rPr>
          <w:rFonts w:hint="eastAsia"/>
          <w:color w:val="000000" w:themeColor="text1"/>
          <w:u w:val="none"/>
          <w14:textFill>
            <w14:solidFill>
              <w14:schemeClr w14:val="tx1"/>
            </w14:solidFill>
          </w14:textFill>
        </w:rPr>
        <w:t>人民政府</w:t>
      </w:r>
      <w:r>
        <w:rPr>
          <w:color w:val="000000" w:themeColor="text1"/>
          <w:u w:val="none"/>
          <w:lang w:val="en-US" w:eastAsia="zh-CN"/>
          <w14:textFill>
            <w14:solidFill>
              <w14:schemeClr w14:val="tx1"/>
            </w14:solidFill>
          </w14:textFill>
        </w:rPr>
        <w:t>、</w:t>
      </w:r>
      <w:r>
        <w:rPr>
          <w:rStyle w:val="29"/>
          <w:rFonts w:hint="eastAsia" w:ascii="Times New Roman" w:hAnsi="Times New Roman"/>
          <w:color w:val="000000" w:themeColor="text1"/>
          <w:u w:val="none"/>
          <w:lang w:val="en-US" w:eastAsia="zh-CN"/>
          <w14:textFill>
            <w14:solidFill>
              <w14:schemeClr w14:val="tx1"/>
            </w14:solidFill>
          </w14:textFill>
        </w:rPr>
        <w:t>华侨管理区</w:t>
      </w:r>
      <w:r>
        <w:rPr>
          <w:rFonts w:hint="eastAsia"/>
          <w:color w:val="000000" w:themeColor="text1"/>
          <w:u w:val="none"/>
          <w14:textFill>
            <w14:solidFill>
              <w14:schemeClr w14:val="tx1"/>
            </w14:solidFill>
          </w14:textFill>
        </w:rPr>
        <w:t>应当及时组织有关部门制止、查处破坏仓储设施、偷盗、哄抢或者损毁</w:t>
      </w:r>
      <w:r>
        <w:rPr>
          <w:rStyle w:val="29"/>
          <w:rFonts w:hint="eastAsia" w:ascii="Times New Roman" w:hAnsi="Times New Roman"/>
          <w:color w:val="000000" w:themeColor="text1"/>
          <w:u w:val="none"/>
          <w:lang w:val="en-US" w:eastAsia="zh-CN"/>
          <w14:textFill>
            <w14:solidFill>
              <w14:schemeClr w14:val="tx1"/>
            </w14:solidFill>
          </w14:textFill>
        </w:rPr>
        <w:t>县</w:t>
      </w:r>
      <w:r>
        <w:rPr>
          <w:rFonts w:hint="eastAsia"/>
          <w:color w:val="000000" w:themeColor="text1"/>
          <w:u w:val="none"/>
          <w14:textFill>
            <w14:solidFill>
              <w14:schemeClr w14:val="tx1"/>
            </w14:solidFill>
          </w14:textFill>
        </w:rPr>
        <w:t>级储备粮的违法行为。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u w:val="none"/>
          <w14:textFill>
            <w14:solidFill>
              <w14:schemeClr w14:val="tx1"/>
            </w14:solidFill>
          </w14:textFill>
        </w:rPr>
      </w:pP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r>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t>第二章 县级储备粮的计划</w:t>
      </w: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Fonts w:hint="eastAsia" w:ascii="黑体" w:hAnsi="黑体" w:eastAsia="黑体" w:cs="黑体"/>
          <w:color w:val="000000" w:themeColor="text1"/>
          <w:szCs w:val="32"/>
          <w:u w:val="none"/>
          <w:lang w:val="en-US" w:eastAsia="zh-CN"/>
          <w14:textFill>
            <w14:solidFill>
              <w14:schemeClr w14:val="tx1"/>
            </w14:solidFill>
          </w14:textFill>
        </w:rPr>
        <w:t>第九条</w:t>
      </w:r>
      <w:r>
        <w:rPr>
          <w:rFonts w:hint="eastAsia" w:eastAsia="楷体_GB2312"/>
          <w:color w:val="000000" w:themeColor="text1"/>
          <w:szCs w:val="32"/>
          <w:u w:val="none"/>
          <w:lang w:val="en-US" w:eastAsia="zh-CN"/>
          <w14:textFill>
            <w14:solidFill>
              <w14:schemeClr w14:val="tx1"/>
            </w14:solidFill>
          </w14:textFill>
        </w:rPr>
        <w:t xml:space="preserve"> </w:t>
      </w:r>
      <w:r>
        <w:rPr>
          <w:rFonts w:hint="eastAsia" w:cstheme="minorBidi"/>
          <w:color w:val="000000" w:themeColor="text1"/>
          <w:kern w:val="2"/>
          <w:sz w:val="32"/>
          <w:szCs w:val="24"/>
          <w:u w:val="none"/>
          <w:lang w:val="en-US" w:eastAsia="zh-CN" w:bidi="ar-SA"/>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级储备粮储存规模总量方案由</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Style w:val="29"/>
          <w:rFonts w:hint="eastAsia" w:ascii="Times New Roman" w:hAnsi="Times New Roman"/>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粮食和</w:t>
      </w:r>
      <w:r>
        <w:rPr>
          <w:rFonts w:hint="eastAsia" w:ascii="Times New Roman" w:eastAsia="仿宋_GB2312"/>
          <w:color w:val="000000" w:themeColor="text1"/>
          <w:u w:val="none"/>
          <w:lang w:val="en-US" w:eastAsia="zh-CN"/>
          <w14:textFill>
            <w14:solidFill>
              <w14:schemeClr w14:val="tx1"/>
            </w14:solidFill>
          </w14:textFill>
        </w:rPr>
        <w:t>物资</w:t>
      </w:r>
      <w:r>
        <w:rPr>
          <w:color w:val="000000" w:themeColor="text1"/>
          <w:u w:val="none"/>
          <w:lang w:val="en-US" w:eastAsia="zh-CN"/>
          <w14:textFill>
            <w14:solidFill>
              <w14:schemeClr w14:val="tx1"/>
            </w14:solidFill>
          </w14:textFill>
        </w:rPr>
        <w:t>储备局）会同</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财政局拟订，报</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人民政府批准。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Fonts w:hint="eastAsia" w:ascii="黑体" w:hAnsi="黑体" w:eastAsia="黑体" w:cs="黑体"/>
          <w:color w:val="000000" w:themeColor="text1"/>
          <w:szCs w:val="32"/>
          <w:u w:val="none"/>
          <w:lang w:val="en-US" w:eastAsia="zh-CN"/>
          <w14:textFill>
            <w14:solidFill>
              <w14:schemeClr w14:val="tx1"/>
            </w14:solidFill>
          </w14:textFill>
        </w:rPr>
        <w:t>第十条</w:t>
      </w:r>
      <w:r>
        <w:rPr>
          <w:rFonts w:hint="eastAsia" w:eastAsia="楷体_GB2312"/>
          <w:color w:val="000000" w:themeColor="text1"/>
          <w:szCs w:val="32"/>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级储备粮的储存品种、布局以及收购、销售计划，</w:t>
      </w:r>
      <w:r>
        <w:rPr>
          <w:rFonts w:hint="eastAsia"/>
          <w:color w:val="000000" w:themeColor="text1"/>
          <w:u w:val="none"/>
          <w:lang w:val="en-US" w:eastAsia="zh-CN"/>
          <w14:textFill>
            <w14:solidFill>
              <w14:schemeClr w14:val="tx1"/>
            </w14:solidFill>
          </w14:textFill>
        </w:rPr>
        <w:t>经报县人民政府同意后，</w:t>
      </w:r>
      <w:r>
        <w:rPr>
          <w:color w:val="000000" w:themeColor="text1"/>
          <w:u w:val="none"/>
          <w:lang w:val="en-US" w:eastAsia="zh-CN"/>
          <w14:textFill>
            <w14:solidFill>
              <w14:schemeClr w14:val="tx1"/>
            </w14:solidFill>
          </w14:textFill>
        </w:rPr>
        <w:t>由</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）会同</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财政局、中国农业发展银行</w:t>
      </w:r>
      <w:r>
        <w:rPr>
          <w:rStyle w:val="29"/>
          <w:rFonts w:hint="eastAsia" w:ascii="Times New Roman" w:hAnsi="Times New Roman"/>
          <w:color w:val="000000" w:themeColor="text1"/>
          <w:u w:val="none"/>
          <w:lang w:val="en-US" w:eastAsia="zh-CN"/>
          <w14:textFill>
            <w14:solidFill>
              <w14:schemeClr w14:val="tx1"/>
            </w14:solidFill>
          </w14:textFill>
        </w:rPr>
        <w:t>柳州市</w:t>
      </w:r>
      <w:r>
        <w:rPr>
          <w:rFonts w:hint="eastAsia" w:ascii="Times New Roman" w:eastAsia="仿宋_GB2312"/>
          <w:color w:val="000000" w:themeColor="text1"/>
          <w:u w:val="none"/>
          <w:lang w:val="en-US" w:eastAsia="zh-CN"/>
          <w14:textFill>
            <w14:solidFill>
              <w14:schemeClr w14:val="tx1"/>
            </w14:solidFill>
          </w14:textFill>
        </w:rPr>
        <w:t>柳江支</w:t>
      </w:r>
      <w:r>
        <w:rPr>
          <w:color w:val="000000" w:themeColor="text1"/>
          <w:u w:val="none"/>
          <w:lang w:val="en-US" w:eastAsia="zh-CN"/>
          <w14:textFill>
            <w14:solidFill>
              <w14:schemeClr w14:val="tx1"/>
            </w14:solidFill>
          </w14:textFill>
        </w:rPr>
        <w:t>行共同下达，由承储企业组织实施。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14:textFill>
            <w14:solidFill>
              <w14:schemeClr w14:val="tx1"/>
            </w14:solidFill>
          </w14:textFill>
        </w:rPr>
      </w:pPr>
      <w:r>
        <w:rPr>
          <w:rFonts w:hint="eastAsia" w:ascii="黑体" w:hAnsi="黑体" w:eastAsia="黑体" w:cs="黑体"/>
          <w:color w:val="000000" w:themeColor="text1"/>
          <w:szCs w:val="32"/>
          <w:u w:val="none"/>
          <w:lang w:val="en-US" w:eastAsia="zh-CN"/>
          <w14:textFill>
            <w14:solidFill>
              <w14:schemeClr w14:val="tx1"/>
            </w14:solidFill>
          </w14:textFill>
        </w:rPr>
        <w:t>第十一条</w:t>
      </w:r>
      <w:r>
        <w:rPr>
          <w:rFonts w:hint="eastAsia" w:eastAsia="楷体_GB2312"/>
          <w:color w:val="000000" w:themeColor="text1"/>
          <w:szCs w:val="32"/>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级储备粮应当按照常储常新的原则，以储存品质为依据，以储存年限为参考，实行均衡轮换，确保粮食质量安全。具体轮换计划由承储企业提出，</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）、财政局和中国农业发展银行</w:t>
      </w:r>
      <w:r>
        <w:rPr>
          <w:rStyle w:val="29"/>
          <w:rFonts w:hint="eastAsia" w:ascii="Times New Roman" w:hAnsi="Times New Roman"/>
          <w:color w:val="000000" w:themeColor="text1"/>
          <w:u w:val="none"/>
          <w:lang w:val="en-US" w:eastAsia="zh-CN"/>
          <w14:textFill>
            <w14:solidFill>
              <w14:schemeClr w14:val="tx1"/>
            </w14:solidFill>
          </w14:textFill>
        </w:rPr>
        <w:t>柳州市</w:t>
      </w:r>
      <w:r>
        <w:rPr>
          <w:rFonts w:hint="eastAsia" w:ascii="Times New Roman" w:eastAsia="仿宋_GB2312"/>
          <w:color w:val="000000" w:themeColor="text1"/>
          <w:u w:val="none"/>
          <w:lang w:val="en-US" w:eastAsia="zh-CN"/>
          <w14:textFill>
            <w14:solidFill>
              <w14:schemeClr w14:val="tx1"/>
            </w14:solidFill>
          </w14:textFill>
        </w:rPr>
        <w:t>柳江支</w:t>
      </w:r>
      <w:r>
        <w:rPr>
          <w:color w:val="000000" w:themeColor="text1"/>
          <w:u w:val="none"/>
          <w:lang w:val="en-US" w:eastAsia="zh-CN"/>
          <w14:textFill>
            <w14:solidFill>
              <w14:schemeClr w14:val="tx1"/>
            </w14:solidFill>
          </w14:textFill>
        </w:rPr>
        <w:t>行研究汇总，报</w:t>
      </w:r>
      <w:r>
        <w:rPr>
          <w:rFonts w:hint="eastAsia"/>
          <w:color w:val="000000" w:themeColor="text1"/>
          <w:u w:val="none"/>
          <w:lang w:val="en-US" w:eastAsia="zh-CN"/>
          <w14:textFill>
            <w14:solidFill>
              <w14:schemeClr w14:val="tx1"/>
            </w14:solidFill>
          </w14:textFill>
        </w:rPr>
        <w:t>县人民政府</w:t>
      </w:r>
      <w:r>
        <w:rPr>
          <w:color w:val="000000" w:themeColor="text1"/>
          <w:u w:val="none"/>
          <w:lang w:val="en-US" w:eastAsia="zh-CN"/>
          <w14:textFill>
            <w14:solidFill>
              <w14:schemeClr w14:val="tx1"/>
            </w14:solidFill>
          </w14:textFill>
        </w:rPr>
        <w:t>批准。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u w:val="none"/>
          <w14:textFill>
            <w14:solidFill>
              <w14:schemeClr w14:val="tx1"/>
            </w14:solidFill>
          </w14:textFill>
        </w:rPr>
      </w:pPr>
      <w:r>
        <w:rPr>
          <w:rFonts w:hint="eastAsia" w:ascii="黑体" w:hAnsi="黑体" w:eastAsia="黑体" w:cs="黑体"/>
          <w:color w:val="000000" w:themeColor="text1"/>
          <w:szCs w:val="32"/>
          <w:u w:val="none"/>
          <w:lang w:val="en-US" w:eastAsia="zh-CN"/>
          <w14:textFill>
            <w14:solidFill>
              <w14:schemeClr w14:val="tx1"/>
            </w14:solidFill>
          </w14:textFill>
        </w:rPr>
        <w:t>第十二条</w:t>
      </w:r>
      <w:r>
        <w:rPr>
          <w:rFonts w:hint="eastAsia"/>
          <w:color w:val="000000" w:themeColor="text1"/>
          <w:u w:val="none"/>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县储备粮管理中心</w:t>
      </w:r>
      <w:r>
        <w:rPr>
          <w:rFonts w:hint="eastAsia"/>
          <w:color w:val="000000" w:themeColor="text1"/>
          <w:u w:val="none"/>
          <w14:textFill>
            <w14:solidFill>
              <w14:schemeClr w14:val="tx1"/>
            </w14:solidFill>
          </w14:textFill>
        </w:rPr>
        <w:t>应当将</w:t>
      </w:r>
      <w:r>
        <w:rPr>
          <w:rStyle w:val="29"/>
          <w:rFonts w:hint="eastAsia" w:ascii="Times New Roman" w:hAnsi="Times New Roman"/>
          <w:color w:val="000000" w:themeColor="text1"/>
          <w:u w:val="none"/>
          <w:lang w:val="en-US" w:eastAsia="zh-CN"/>
          <w14:textFill>
            <w14:solidFill>
              <w14:schemeClr w14:val="tx1"/>
            </w14:solidFill>
          </w14:textFill>
        </w:rPr>
        <w:t>县</w:t>
      </w:r>
      <w:r>
        <w:rPr>
          <w:rFonts w:hint="eastAsia"/>
          <w:color w:val="000000" w:themeColor="text1"/>
          <w:u w:val="none"/>
          <w14:textFill>
            <w14:solidFill>
              <w14:schemeClr w14:val="tx1"/>
            </w14:solidFill>
          </w14:textFill>
        </w:rPr>
        <w:t>级储备粮收购、销售、年度轮换计划的具体执行情况，按规定</w:t>
      </w:r>
      <w:r>
        <w:rPr>
          <w:color w:val="000000" w:themeColor="text1"/>
          <w:u w:val="none"/>
          <w:lang w:val="en-US" w:eastAsia="zh-CN"/>
          <w14:textFill>
            <w14:solidFill>
              <w14:schemeClr w14:val="tx1"/>
            </w14:solidFill>
          </w14:textFill>
        </w:rPr>
        <w:t>报</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、财政局</w:t>
      </w:r>
      <w:r>
        <w:rPr>
          <w:rFonts w:hint="eastAsia"/>
          <w:color w:val="000000" w:themeColor="text1"/>
          <w:u w:val="none"/>
          <w14:textFill>
            <w14:solidFill>
              <w14:schemeClr w14:val="tx1"/>
            </w14:solidFill>
          </w14:textFill>
        </w:rPr>
        <w:t>备案，并抄</w:t>
      </w:r>
      <w:r>
        <w:rPr>
          <w:rFonts w:hint="eastAsia"/>
          <w:color w:val="000000" w:themeColor="text1"/>
          <w:u w:val="none"/>
          <w:lang w:val="en-US" w:eastAsia="zh-CN"/>
          <w14:textFill>
            <w14:solidFill>
              <w14:schemeClr w14:val="tx1"/>
            </w14:solidFill>
          </w14:textFill>
        </w:rPr>
        <w:t>送</w:t>
      </w:r>
      <w:r>
        <w:rPr>
          <w:color w:val="000000" w:themeColor="text1"/>
          <w:u w:val="none"/>
          <w:lang w:val="en-US" w:eastAsia="zh-CN"/>
          <w14:textFill>
            <w14:solidFill>
              <w14:schemeClr w14:val="tx1"/>
            </w14:solidFill>
          </w14:textFill>
        </w:rPr>
        <w:t>中国农业发展银行</w:t>
      </w:r>
      <w:r>
        <w:rPr>
          <w:rStyle w:val="29"/>
          <w:rFonts w:hint="eastAsia" w:ascii="Times New Roman" w:hAnsi="Times New Roman"/>
          <w:color w:val="000000" w:themeColor="text1"/>
          <w:u w:val="none"/>
          <w:lang w:val="en-US" w:eastAsia="zh-CN"/>
          <w14:textFill>
            <w14:solidFill>
              <w14:schemeClr w14:val="tx1"/>
            </w14:solidFill>
          </w14:textFill>
        </w:rPr>
        <w:t>柳州市</w:t>
      </w:r>
      <w:r>
        <w:rPr>
          <w:rFonts w:hint="eastAsia" w:ascii="Times New Roman" w:eastAsia="仿宋_GB2312"/>
          <w:color w:val="000000" w:themeColor="text1"/>
          <w:u w:val="none"/>
          <w:lang w:val="en-US" w:eastAsia="zh-CN"/>
          <w14:textFill>
            <w14:solidFill>
              <w14:schemeClr w14:val="tx1"/>
            </w14:solidFill>
          </w14:textFill>
        </w:rPr>
        <w:t>柳江支</w:t>
      </w:r>
      <w:r>
        <w:rPr>
          <w:color w:val="000000" w:themeColor="text1"/>
          <w:u w:val="none"/>
          <w:lang w:val="en-US" w:eastAsia="zh-CN"/>
          <w14:textFill>
            <w14:solidFill>
              <w14:schemeClr w14:val="tx1"/>
            </w14:solidFill>
          </w14:textFill>
        </w:rPr>
        <w:t>行</w:t>
      </w:r>
      <w:r>
        <w:rPr>
          <w:rFonts w:hint="eastAsia"/>
          <w:color w:val="000000" w:themeColor="text1"/>
          <w:u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u w:val="none"/>
          <w14:textFill>
            <w14:solidFill>
              <w14:schemeClr w14:val="tx1"/>
            </w14:solidFill>
          </w14:textFill>
        </w:rPr>
      </w:pP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r>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t>第三章 县级储备粮的储存</w:t>
      </w: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Fonts w:hint="eastAsia" w:ascii="黑体" w:hAnsi="黑体" w:eastAsia="黑体" w:cs="黑体"/>
          <w:color w:val="000000" w:themeColor="text1"/>
          <w:szCs w:val="32"/>
          <w:u w:val="none"/>
          <w:lang w:val="en-US" w:eastAsia="zh-CN"/>
          <w14:textFill>
            <w14:solidFill>
              <w14:schemeClr w14:val="tx1"/>
            </w14:solidFill>
          </w14:textFill>
        </w:rPr>
        <w:t>第十三条</w:t>
      </w:r>
      <w:r>
        <w:rPr>
          <w:rFonts w:hint="eastAsia" w:eastAsia="楷体_GB2312"/>
          <w:color w:val="000000" w:themeColor="text1"/>
          <w:szCs w:val="32"/>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级储备粮以</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属国有粮食购销企业储存为主，也可以委托其他企业储存。</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Fonts w:hint="eastAsia" w:ascii="黑体" w:hAnsi="黑体" w:eastAsia="黑体" w:cs="黑体"/>
          <w:color w:val="000000" w:themeColor="text1"/>
          <w:szCs w:val="32"/>
          <w:u w:val="none"/>
          <w:lang w:val="en-US" w:eastAsia="zh-CN"/>
          <w14:textFill>
            <w14:solidFill>
              <w14:schemeClr w14:val="tx1"/>
            </w14:solidFill>
          </w14:textFill>
        </w:rPr>
        <w:t>第十四条</w:t>
      </w:r>
      <w:r>
        <w:rPr>
          <w:rFonts w:hint="eastAsia" w:eastAsia="楷体_GB2312"/>
          <w:color w:val="000000" w:themeColor="text1"/>
          <w:szCs w:val="32"/>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承储企业储存</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级储备粮，必须执行有关储备粮管理的国家标准和技术规范，并制定相应的管理制度。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Fonts w:hint="eastAsia" w:ascii="黑体" w:hAnsi="黑体" w:eastAsia="黑体" w:cs="黑体"/>
          <w:color w:val="000000" w:themeColor="text1"/>
          <w:szCs w:val="32"/>
          <w:u w:val="none"/>
          <w:lang w:val="en-US" w:eastAsia="zh-CN"/>
          <w14:textFill>
            <w14:solidFill>
              <w14:schemeClr w14:val="tx1"/>
            </w14:solidFill>
          </w14:textFill>
        </w:rPr>
        <w:t>第十五条</w:t>
      </w:r>
      <w:r>
        <w:rPr>
          <w:rFonts w:hint="eastAsia" w:eastAsia="楷体_GB2312"/>
          <w:color w:val="000000" w:themeColor="text1"/>
          <w:szCs w:val="32"/>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 xml:space="preserve"> 承储企业必须保证入库的</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级储备粮达到收购、轮换计划规定的质量要求。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第十六条</w:t>
      </w:r>
      <w:r>
        <w:rPr>
          <w:rFonts w:hint="eastAsia" w:eastAsia="楷体_GB2312"/>
          <w:color w:val="000000" w:themeColor="text1"/>
          <w:szCs w:val="32"/>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 xml:space="preserve"> 承储企业应当对</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级储备粮实行专仓储存、专人保管、专账记载，保证账账相符、账实相符、质量良好、储存安全。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第十七条</w:t>
      </w:r>
      <w:r>
        <w:rPr>
          <w:rFonts w:hint="eastAsia" w:eastAsia="楷体_GB2312"/>
          <w:color w:val="000000" w:themeColor="text1"/>
          <w:szCs w:val="32"/>
          <w:u w:val="none"/>
          <w:lang w:val="en-US" w:eastAsia="zh-CN"/>
          <w14:textFill>
            <w14:solidFill>
              <w14:schemeClr w14:val="tx1"/>
            </w14:solidFill>
          </w14:textFill>
        </w:rPr>
        <w:t xml:space="preserve"> </w:t>
      </w:r>
      <w:r>
        <w:rPr>
          <w:rFonts w:hint="eastAsia" w:ascii="Times New Roman" w:eastAsia="仿宋_GB2312"/>
          <w:color w:val="000000" w:themeColor="text1"/>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承储企业对</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级储备粮的管理不得实施下列行为：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（一）虚报粮食收储数量；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（二）擅自混存或者串换品种、变更储存地点或者货位；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（三）延误轮换、管理不善或者其他原因造成霉坏变质；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（四）通过以陈顶新、以次充好、低收高转、虚假购销、虚假轮换、违规倒卖等方式，套取粮食价差和财政补贴，骗取信贷资金；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（五）挤占、挪用、克扣财政补贴、信贷资金；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（六）以</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级储备粮为债务作担保或者清偿债务；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（七）利用</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级储备粮进行除政府委托的政策性任务以外的其他商业经营；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（八）在</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级储备粮出库时掺杂使假、以次充好、调换标的物，拒不执行出库指令或者阻挠出库；</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（九）购买限定用途的</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级储备粮，违规倒卖或者不按照规定用途处置；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（十）擅自动用</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（十一）其他违反储备粮管理的行为。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第十八条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承储企业应当建立、健全储备粮的防火、防盗、防洪等安全管理制度，并配备必要的安全防护设施。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第十九条</w:t>
      </w:r>
      <w:r>
        <w:rPr>
          <w:rFonts w:eastAsia="楷体_GB2312"/>
          <w:color w:val="000000" w:themeColor="text1"/>
          <w:szCs w:val="32"/>
          <w:u w:val="none"/>
          <w:lang w:val="en-US" w:eastAsia="zh-CN"/>
          <w14:textFill>
            <w14:solidFill>
              <w14:schemeClr w14:val="tx1"/>
            </w14:solidFill>
          </w14:textFill>
        </w:rPr>
        <w:t xml:space="preserve"> </w:t>
      </w:r>
      <w:r>
        <w:rPr>
          <w:rFonts w:hint="eastAsia" w:eastAsia="楷体_GB2312"/>
          <w:color w:val="000000" w:themeColor="text1"/>
          <w:szCs w:val="32"/>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承储企业应当在轮换计划规定的时间内完成</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级储备粮的轮换。</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级储备粮轮换应当执行国家、自治区</w:t>
      </w:r>
      <w:r>
        <w:rPr>
          <w:rFonts w:hint="eastAsia" w:ascii="Times New Roman" w:eastAsia="仿宋_GB2312"/>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柳州市</w:t>
      </w:r>
      <w:r>
        <w:rPr>
          <w:color w:val="000000" w:themeColor="text1"/>
          <w:u w:val="none"/>
          <w:lang w:val="en-US" w:eastAsia="zh-CN"/>
          <w14:textFill>
            <w14:solidFill>
              <w14:schemeClr w14:val="tx1"/>
            </w14:solidFill>
          </w14:textFill>
        </w:rPr>
        <w:t>相关规定。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第二十条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级储备粮的管理费用补贴由</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财政局会同</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）根据</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级储备粮的储备成本、费用、物价指数等因素核定拨补；其贷款利息补贴按</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级储备粮实物库存成本和现行中国农业发展银行一年贷款利率计算拨补。承储企业根据</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级储备粮管理实情，提出费用补贴方案，经</w:t>
      </w:r>
      <w:r>
        <w:rPr>
          <w:rStyle w:val="29"/>
          <w:rFonts w:hint="eastAsia"/>
          <w:color w:val="000000" w:themeColor="text1"/>
          <w:u w:val="none"/>
          <w:lang w:val="en-US" w:eastAsia="zh-CN"/>
          <w14:textFill>
            <w14:solidFill>
              <w14:schemeClr w14:val="tx1"/>
            </w14:solidFill>
          </w14:textFill>
        </w:rPr>
        <w:t>县储备粮管理中心汇总审核后，报县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w:t>
      </w:r>
      <w:r>
        <w:rPr>
          <w:rStyle w:val="29"/>
          <w:rFonts w:hint="eastAsia"/>
          <w:color w:val="000000" w:themeColor="text1"/>
          <w:u w:val="none"/>
          <w:lang w:val="en-US" w:eastAsia="zh-CN"/>
          <w14:textFill>
            <w14:solidFill>
              <w14:schemeClr w14:val="tx1"/>
            </w14:solidFill>
          </w14:textFill>
        </w:rPr>
        <w:t>财政局</w:t>
      </w:r>
      <w:r>
        <w:rPr>
          <w:color w:val="000000" w:themeColor="text1"/>
          <w:u w:val="none"/>
          <w:lang w:val="en-US" w:eastAsia="zh-CN"/>
          <w14:textFill>
            <w14:solidFill>
              <w14:schemeClr w14:val="tx1"/>
            </w14:solidFill>
          </w14:textFill>
        </w:rPr>
        <w:t>审定。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级储备粮的管理费用、利息补贴由</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财政局拨付到承储企业。</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级储备粮管理费用应当用于</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级储备粮管理相关的费用项目开支，任何单位和个人不得截留和挪用。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第二十一条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级储备粮贷款实行贷款与粮食库存值挂钩，并专户管理、专款专用。承储企业应当在中国农业发展银行</w:t>
      </w:r>
      <w:r>
        <w:rPr>
          <w:rFonts w:hint="eastAsia" w:ascii="Times New Roman" w:eastAsia="仿宋_GB2312"/>
          <w:color w:val="000000" w:themeColor="text1"/>
          <w:u w:val="none"/>
          <w:lang w:val="en-US" w:eastAsia="zh-CN"/>
          <w14:textFill>
            <w14:solidFill>
              <w14:schemeClr w14:val="tx1"/>
            </w14:solidFill>
          </w14:textFill>
        </w:rPr>
        <w:t>柳州市柳江支行</w:t>
      </w:r>
      <w:r>
        <w:rPr>
          <w:color w:val="000000" w:themeColor="text1"/>
          <w:u w:val="none"/>
          <w:lang w:val="en-US" w:eastAsia="zh-CN"/>
          <w14:textFill>
            <w14:solidFill>
              <w14:schemeClr w14:val="tx1"/>
            </w14:solidFill>
          </w14:textFill>
        </w:rPr>
        <w:t>开立基本账户，并接受其信贷监管。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Style w:val="16"/>
          <w:color w:val="000000" w:themeColor="text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第二十二条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级储备粮的入库成本由</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）会同</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财政局和中国农业发展银行</w:t>
      </w:r>
      <w:r>
        <w:rPr>
          <w:rFonts w:hint="eastAsia" w:ascii="Times New Roman" w:eastAsia="仿宋_GB2312"/>
          <w:color w:val="000000" w:themeColor="text1"/>
          <w:u w:val="none"/>
          <w:lang w:val="en-US" w:eastAsia="zh-CN"/>
          <w14:textFill>
            <w14:solidFill>
              <w14:schemeClr w14:val="tx1"/>
            </w14:solidFill>
          </w14:textFill>
        </w:rPr>
        <w:t>柳州市柳江支行</w:t>
      </w:r>
      <w:r>
        <w:rPr>
          <w:color w:val="000000" w:themeColor="text1"/>
          <w:u w:val="none"/>
          <w:lang w:val="en-US" w:eastAsia="zh-CN"/>
          <w14:textFill>
            <w14:solidFill>
              <w14:schemeClr w14:val="tx1"/>
            </w14:solidFill>
          </w14:textFill>
        </w:rPr>
        <w:t>核定。承储企业必须执行核定的入库成本，不得擅自更改。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14:textFill>
            <w14:solidFill>
              <w14:schemeClr w14:val="tx1"/>
            </w14:solidFill>
          </w14:textFill>
        </w:rPr>
      </w:pPr>
      <w:r>
        <w:rPr>
          <w:rStyle w:val="16"/>
          <w:color w:val="000000" w:themeColor="text1"/>
          <w:lang w:val="en-US" w:eastAsia="zh-CN"/>
          <w14:textFill>
            <w14:solidFill>
              <w14:schemeClr w14:val="tx1"/>
            </w14:solidFill>
          </w14:textFill>
        </w:rPr>
        <w:t>第二十三条</w:t>
      </w:r>
      <w:r>
        <w:rPr>
          <w:rFonts w:hint="eastAsia" w:eastAsia="楷体_GB2312"/>
          <w:color w:val="000000" w:themeColor="text1"/>
          <w:szCs w:val="32"/>
          <w:u w:val="none"/>
          <w:lang w:val="en-US" w:eastAsia="zh-CN"/>
          <w14:textFill>
            <w14:solidFill>
              <w14:schemeClr w14:val="tx1"/>
            </w14:solidFill>
          </w14:textFill>
        </w:rPr>
        <w:t xml:space="preserve"> </w:t>
      </w:r>
      <w:r>
        <w:rPr>
          <w:rFonts w:eastAsia="楷体_GB2312"/>
          <w:color w:val="000000" w:themeColor="text1"/>
          <w:szCs w:val="32"/>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财政局应当会同有关部门制定</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级储备粮损失、损耗处理制度，及时处理所发生的损失、损耗。</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u w:val="none"/>
          <w14:textFill>
            <w14:solidFill>
              <w14:schemeClr w14:val="tx1"/>
            </w14:solidFill>
          </w14:textFill>
        </w:rPr>
      </w:pPr>
      <w:r>
        <w:rPr>
          <w:rStyle w:val="16"/>
          <w:rFonts w:hint="eastAsia"/>
          <w:color w:val="000000" w:themeColor="text1"/>
          <w14:textFill>
            <w14:solidFill>
              <w14:schemeClr w14:val="tx1"/>
            </w14:solidFill>
          </w14:textFill>
        </w:rPr>
        <w:t>第二十四条</w:t>
      </w:r>
      <w:r>
        <w:rPr>
          <w:rFonts w:hint="eastAsia"/>
          <w:color w:val="000000" w:themeColor="text1"/>
          <w:u w:val="none"/>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Style w:val="29"/>
          <w:rFonts w:hint="eastAsia"/>
          <w:color w:val="000000" w:themeColor="text1"/>
          <w:u w:val="none"/>
          <w:lang w:val="en-US" w:eastAsia="zh-CN"/>
          <w14:textFill>
            <w14:solidFill>
              <w14:schemeClr w14:val="tx1"/>
            </w14:solidFill>
          </w14:textFill>
        </w:rPr>
        <w:t>县储备粮管理中心</w:t>
      </w:r>
      <w:r>
        <w:rPr>
          <w:rFonts w:hint="eastAsia"/>
          <w:color w:val="000000" w:themeColor="text1"/>
          <w:u w:val="none"/>
          <w14:textFill>
            <w14:solidFill>
              <w14:schemeClr w14:val="tx1"/>
            </w14:solidFill>
          </w14:textFill>
        </w:rPr>
        <w:t>应当定期统计、分析</w:t>
      </w:r>
      <w:r>
        <w:rPr>
          <w:rStyle w:val="29"/>
          <w:rFonts w:hint="eastAsia" w:ascii="Times New Roman" w:hAnsi="Times New Roman"/>
          <w:color w:val="000000" w:themeColor="text1"/>
          <w:u w:val="none"/>
          <w:lang w:val="en-US" w:eastAsia="zh-CN"/>
          <w14:textFill>
            <w14:solidFill>
              <w14:schemeClr w14:val="tx1"/>
            </w14:solidFill>
          </w14:textFill>
        </w:rPr>
        <w:t>县</w:t>
      </w:r>
      <w:r>
        <w:rPr>
          <w:rFonts w:hint="eastAsia"/>
          <w:color w:val="000000" w:themeColor="text1"/>
          <w:u w:val="none"/>
          <w14:textFill>
            <w14:solidFill>
              <w14:schemeClr w14:val="tx1"/>
            </w14:solidFill>
          </w14:textFill>
        </w:rPr>
        <w:t>级储备粮的储存管理情况，并将统计、分析情况报送</w:t>
      </w:r>
      <w:r>
        <w:rPr>
          <w:rStyle w:val="29"/>
          <w:rFonts w:hint="eastAsia" w:ascii="Times New Roman" w:hAnsi="Times New Roman"/>
          <w:color w:val="000000" w:themeColor="text1"/>
          <w:u w:val="none"/>
          <w:lang w:val="en-US" w:eastAsia="zh-CN"/>
          <w14:textFill>
            <w14:solidFill>
              <w14:schemeClr w14:val="tx1"/>
            </w14:solidFill>
          </w14:textFill>
        </w:rPr>
        <w:t>县</w:t>
      </w:r>
      <w:r>
        <w:rPr>
          <w:rFonts w:hint="eastAsia"/>
          <w:color w:val="000000" w:themeColor="text1"/>
          <w:u w:val="none"/>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rFonts w:hint="eastAsia"/>
          <w:color w:val="000000" w:themeColor="text1"/>
          <w:u w:val="none"/>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rFonts w:hint="eastAsia"/>
          <w:color w:val="000000" w:themeColor="text1"/>
          <w:u w:val="none"/>
          <w14:textFill>
            <w14:solidFill>
              <w14:schemeClr w14:val="tx1"/>
            </w14:solidFill>
          </w14:textFill>
        </w:rPr>
        <w:t>）、财政局及中国农业发展银行柳州</w:t>
      </w:r>
      <w:r>
        <w:rPr>
          <w:rFonts w:hint="eastAsia" w:ascii="Times New Roman" w:eastAsia="仿宋_GB2312"/>
          <w:color w:val="000000" w:themeColor="text1"/>
          <w:u w:val="none"/>
          <w:lang w:val="en-US" w:eastAsia="zh-CN"/>
          <w14:textFill>
            <w14:solidFill>
              <w14:schemeClr w14:val="tx1"/>
            </w14:solidFill>
          </w14:textFill>
        </w:rPr>
        <w:t>市柳江支行</w:t>
      </w:r>
      <w:r>
        <w:rPr>
          <w:rFonts w:hint="eastAsia"/>
          <w:color w:val="000000" w:themeColor="text1"/>
          <w:u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u w:val="none"/>
          <w14:textFill>
            <w14:solidFill>
              <w14:schemeClr w14:val="tx1"/>
            </w14:solidFill>
          </w14:textFill>
        </w:rPr>
      </w:pP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r>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t>第四章 县级储备粮的动用</w:t>
      </w: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第二十五条</w:t>
      </w:r>
      <w:r>
        <w:rPr>
          <w:rFonts w:hint="eastAsia" w:ascii="Times New Roman" w:eastAsia="仿宋_GB2312"/>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）应当建立和完善</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级储备粮动用预警机制，加强对市场粮食供求情况的监测，适时向</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人民政府提出动用</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第二十六条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出现下列情况之一的，可以动用</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（一）全</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或者部分</w:t>
      </w:r>
      <w:r>
        <w:rPr>
          <w:rStyle w:val="29"/>
          <w:rFonts w:hint="eastAsia" w:ascii="Times New Roman" w:hAnsi="Times New Roman"/>
          <w:color w:val="000000" w:themeColor="text1"/>
          <w:u w:val="none"/>
          <w:lang w:val="en-US" w:eastAsia="zh-CN"/>
          <w14:textFill>
            <w14:solidFill>
              <w14:schemeClr w14:val="tx1"/>
            </w14:solidFill>
          </w14:textFill>
        </w:rPr>
        <w:t>乡镇</w:t>
      </w:r>
      <w:r>
        <w:rPr>
          <w:color w:val="000000" w:themeColor="text1"/>
          <w:u w:val="none"/>
          <w:lang w:val="en-US" w:eastAsia="zh-CN"/>
          <w14:textFill>
            <w14:solidFill>
              <w14:schemeClr w14:val="tx1"/>
            </w14:solidFill>
          </w14:textFill>
        </w:rPr>
        <w:t>、</w:t>
      </w:r>
      <w:r>
        <w:rPr>
          <w:rFonts w:hint="eastAsia" w:ascii="Times New Roman" w:eastAsia="仿宋_GB2312"/>
          <w:color w:val="000000" w:themeColor="text1"/>
          <w:u w:val="none"/>
          <w:lang w:val="en-US" w:eastAsia="zh-CN"/>
          <w14:textFill>
            <w14:solidFill>
              <w14:schemeClr w14:val="tx1"/>
            </w14:solidFill>
          </w14:textFill>
        </w:rPr>
        <w:t>华侨管理区</w:t>
      </w:r>
      <w:r>
        <w:rPr>
          <w:color w:val="000000" w:themeColor="text1"/>
          <w:u w:val="none"/>
          <w:lang w:val="en-US" w:eastAsia="zh-CN"/>
          <w14:textFill>
            <w14:solidFill>
              <w14:schemeClr w14:val="tx1"/>
            </w14:solidFill>
          </w14:textFill>
        </w:rPr>
        <w:t>所属行政区域内，粮食明显供不应求或者市场价格异常波动；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（二）发生重大自然灾害或者其他突发事件需要动用；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（三）</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人民政府认为需要动用</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级储备粮的其他情形。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Style w:val="16"/>
          <w:color w:val="000000" w:themeColor="text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第二十七条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动用</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级储备粮，由</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）会同</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财政局提出动用方案，报</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人民政府批准。动用方案应当包括动用</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级储备粮的品种、数量、质量、价格、使用安排、运输保障等内容</w:t>
      </w:r>
      <w:r>
        <w:rPr>
          <w:rFonts w:hint="eastAsia"/>
          <w:color w:val="000000" w:themeColor="text1"/>
          <w:u w:val="none"/>
          <w:lang w:val="en-US" w:eastAsia="zh-CN"/>
          <w14:textFill>
            <w14:solidFill>
              <w14:schemeClr w14:val="tx1"/>
            </w14:solidFill>
          </w14:textFill>
        </w:rPr>
        <w:t>，并及时告知中国农业发展银行柳州市柳江支行。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第二十八条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）应当根据</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人民政府批准的</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级储备粮动用方案下达动用指令，由承储企业具体组织实施。紧急情况下，</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人民政府直接下达动用</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级储备粮命令。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14:textFill>
            <w14:solidFill>
              <w14:schemeClr w14:val="tx1"/>
            </w14:solidFill>
          </w14:textFill>
        </w:rPr>
      </w:pP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有关部门和</w:t>
      </w:r>
      <w:r>
        <w:rPr>
          <w:rStyle w:val="29"/>
          <w:rFonts w:hint="eastAsia" w:ascii="Times New Roman" w:hAnsi="Times New Roman"/>
          <w:color w:val="000000" w:themeColor="text1"/>
          <w:u w:val="none"/>
          <w:lang w:val="en-US" w:eastAsia="zh-CN"/>
          <w14:textFill>
            <w14:solidFill>
              <w14:schemeClr w14:val="tx1"/>
            </w14:solidFill>
          </w14:textFill>
        </w:rPr>
        <w:t>乡镇人民政府</w:t>
      </w:r>
      <w:r>
        <w:rPr>
          <w:color w:val="000000" w:themeColor="text1"/>
          <w:u w:val="none"/>
          <w:lang w:val="en-US" w:eastAsia="zh-CN"/>
          <w14:textFill>
            <w14:solidFill>
              <w14:schemeClr w14:val="tx1"/>
            </w14:solidFill>
          </w14:textFill>
        </w:rPr>
        <w:t>、</w:t>
      </w:r>
      <w:r>
        <w:rPr>
          <w:rStyle w:val="29"/>
          <w:rFonts w:hint="eastAsia" w:ascii="Times New Roman" w:hAnsi="Times New Roman"/>
          <w:color w:val="000000" w:themeColor="text1"/>
          <w:u w:val="none"/>
          <w:lang w:val="en-US" w:eastAsia="zh-CN"/>
          <w14:textFill>
            <w14:solidFill>
              <w14:schemeClr w14:val="tx1"/>
            </w14:solidFill>
          </w14:textFill>
        </w:rPr>
        <w:t>华侨管理区</w:t>
      </w:r>
      <w:r>
        <w:rPr>
          <w:color w:val="000000" w:themeColor="text1"/>
          <w:u w:val="none"/>
          <w:lang w:val="en-US" w:eastAsia="zh-CN"/>
          <w14:textFill>
            <w14:solidFill>
              <w14:schemeClr w14:val="tx1"/>
            </w14:solidFill>
          </w14:textFill>
        </w:rPr>
        <w:t>对</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级储备粮动用指令和命令的实施，应当给予支持、配合。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u w:val="none"/>
          <w14:textFill>
            <w14:solidFill>
              <w14:schemeClr w14:val="tx1"/>
            </w14:solidFill>
          </w14:textFill>
        </w:rPr>
      </w:pPr>
      <w:r>
        <w:rPr>
          <w:rStyle w:val="16"/>
          <w:rFonts w:hint="eastAsia"/>
          <w:color w:val="000000" w:themeColor="text1"/>
          <w14:textFill>
            <w14:solidFill>
              <w14:schemeClr w14:val="tx1"/>
            </w14:solidFill>
          </w14:textFill>
        </w:rPr>
        <w:t>第二十九条</w:t>
      </w:r>
      <w:r>
        <w:rPr>
          <w:rFonts w:hint="eastAsia"/>
          <w:color w:val="000000" w:themeColor="text1"/>
          <w:u w:val="none"/>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Fonts w:hint="eastAsia"/>
          <w:color w:val="000000" w:themeColor="text1"/>
          <w:u w:val="none"/>
          <w14:textFill>
            <w14:solidFill>
              <w14:schemeClr w14:val="tx1"/>
            </w14:solidFill>
          </w14:textFill>
        </w:rPr>
        <w:t>任何单位和个人不得拒绝执行或者擅自改变</w:t>
      </w:r>
      <w:r>
        <w:rPr>
          <w:rStyle w:val="29"/>
          <w:rFonts w:hint="eastAsia" w:ascii="Times New Roman" w:hAnsi="Times New Roman"/>
          <w:color w:val="000000" w:themeColor="text1"/>
          <w:u w:val="none"/>
          <w:lang w:val="en-US" w:eastAsia="zh-CN"/>
          <w14:textFill>
            <w14:solidFill>
              <w14:schemeClr w14:val="tx1"/>
            </w14:solidFill>
          </w14:textFill>
        </w:rPr>
        <w:t>县</w:t>
      </w:r>
      <w:r>
        <w:rPr>
          <w:rFonts w:hint="eastAsia"/>
          <w:color w:val="000000" w:themeColor="text1"/>
          <w:u w:val="none"/>
          <w14:textFill>
            <w14:solidFill>
              <w14:schemeClr w14:val="tx1"/>
            </w14:solidFill>
          </w14:textFill>
        </w:rPr>
        <w:t>级储备粮动用指令和命令。</w:t>
      </w: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r>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t>第五章 监督检查</w:t>
      </w: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 xml:space="preserve">第三十条 </w:t>
      </w:r>
      <w:r>
        <w:rPr>
          <w:rFonts w:hint="eastAsia"/>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）、财政局应当按照各自职责，依法对承储企业执行有关粮食法规及本办法的情况进行监督检查，并行使下列职权：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（一）进入承储企业检查</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级储备粮的数量、质量和储存安全情况；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（二）向有关单位和人员了解</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级储备粮收购、销售、轮换计划及动用指令和命令的执行情况；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（三）调阅</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级储备粮管理的有关资料、凭证；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Style w:val="16"/>
          <w:color w:val="000000" w:themeColor="text1"/>
          <w:lang w:val="en-US" w:eastAsia="zh-CN"/>
          <w14:textFill>
            <w14:solidFill>
              <w14:schemeClr w14:val="tx1"/>
            </w14:solidFill>
          </w14:textFill>
        </w:rPr>
      </w:pPr>
      <w:r>
        <w:rPr>
          <w:color w:val="000000" w:themeColor="text1"/>
          <w:u w:val="none"/>
          <w:lang w:val="en-US" w:eastAsia="zh-CN"/>
          <w14:textFill>
            <w14:solidFill>
              <w14:schemeClr w14:val="tx1"/>
            </w14:solidFill>
          </w14:textFill>
        </w:rPr>
        <w:t>（四）对违法行为，依法予以处理。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第三十一条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）、财政局的监督检查人员应当将监督检查情况作出书面记录，并由监督检查人员和被检查单位的主要负责人签字。被检查单位的主要负责人拒绝签字的，监督检查人员应当将有关情况记录在案。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第三十二条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承储企业对</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）、财政局、审计局及中国农业发展银行柳州</w:t>
      </w:r>
      <w:r>
        <w:rPr>
          <w:rFonts w:hint="eastAsia" w:ascii="Times New Roman" w:eastAsia="仿宋_GB2312"/>
          <w:color w:val="000000" w:themeColor="text1"/>
          <w:u w:val="none"/>
          <w:lang w:val="en-US" w:eastAsia="zh-CN"/>
          <w14:textFill>
            <w14:solidFill>
              <w14:schemeClr w14:val="tx1"/>
            </w14:solidFill>
          </w14:textFill>
        </w:rPr>
        <w:t>市柳江支行</w:t>
      </w:r>
      <w:r>
        <w:rPr>
          <w:color w:val="000000" w:themeColor="text1"/>
          <w:u w:val="none"/>
          <w:lang w:val="en-US" w:eastAsia="zh-CN"/>
          <w14:textFill>
            <w14:solidFill>
              <w14:schemeClr w14:val="tx1"/>
            </w14:solidFill>
          </w14:textFill>
        </w:rPr>
        <w:t>的监督检查人员依法履行职责，应当予以配合。任何单位和个人不得拒绝、阻挠、干涉。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Style w:val="29"/>
          <w:rFonts w:hint="eastAsia"/>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第三十三条</w:t>
      </w:r>
      <w:r>
        <w:rPr>
          <w:color w:val="000000" w:themeColor="text1"/>
          <w:u w:val="none"/>
          <w:lang w:val="en-US" w:eastAsia="zh-CN"/>
          <w14:textFill>
            <w14:solidFill>
              <w14:schemeClr w14:val="tx1"/>
            </w14:solidFill>
          </w14:textFill>
        </w:rPr>
        <w:t xml:space="preserve"> </w:t>
      </w:r>
      <w:r>
        <w:rPr>
          <w:rFonts w:hint="eastAsia"/>
          <w:color w:val="000000" w:themeColor="text1"/>
          <w:highlight w:val="none"/>
          <w:u w:val="none"/>
          <w:lang w:val="en-US" w:eastAsia="zh-CN"/>
          <w14:textFill>
            <w14:solidFill>
              <w14:schemeClr w14:val="tx1"/>
            </w14:solidFill>
          </w14:textFill>
        </w:rPr>
        <w:t xml:space="preserve"> </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w:t>
      </w:r>
      <w:r>
        <w:rPr>
          <w:color w:val="000000" w:themeColor="text1"/>
          <w:highlight w:val="none"/>
          <w:u w:val="none"/>
          <w:lang w:val="en-US" w:eastAsia="zh-CN"/>
          <w14:textFill>
            <w14:solidFill>
              <w14:schemeClr w14:val="tx1"/>
            </w14:solidFill>
          </w14:textFill>
        </w:rPr>
        <w:t>应当加强对</w:t>
      </w:r>
      <w:r>
        <w:rPr>
          <w:rFonts w:hint="eastAsia"/>
          <w:color w:val="000000" w:themeColor="text1"/>
          <w:highlight w:val="none"/>
          <w:u w:val="none"/>
          <w:lang w:val="en-US" w:eastAsia="zh-CN"/>
          <w14:textFill>
            <w14:solidFill>
              <w14:schemeClr w14:val="tx1"/>
            </w14:solidFill>
          </w14:textFill>
        </w:rPr>
        <w:t>县级</w:t>
      </w:r>
      <w:r>
        <w:rPr>
          <w:color w:val="000000" w:themeColor="text1"/>
          <w:highlight w:val="none"/>
          <w:u w:val="none"/>
          <w:lang w:val="en-US" w:eastAsia="zh-CN"/>
          <w14:textFill>
            <w14:solidFill>
              <w14:schemeClr w14:val="tx1"/>
            </w14:solidFill>
          </w14:textFill>
        </w:rPr>
        <w:t>储备粮的管理和检查，及</w:t>
      </w:r>
      <w:r>
        <w:rPr>
          <w:color w:val="000000" w:themeColor="text1"/>
          <w:u w:val="none"/>
          <w:lang w:val="en-US" w:eastAsia="zh-CN"/>
          <w14:textFill>
            <w14:solidFill>
              <w14:schemeClr w14:val="tx1"/>
            </w14:solidFill>
          </w14:textFill>
        </w:rPr>
        <w:t>时纠正存在的数量、质量问题；对危及</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级储备粮储存安全的重大问题，应当立即采取有效措施予以处理，并报告</w:t>
      </w:r>
      <w:r>
        <w:rPr>
          <w:rStyle w:val="29"/>
          <w:rFonts w:hint="eastAsia"/>
          <w:color w:val="000000" w:themeColor="text1"/>
          <w:u w:val="none"/>
          <w:lang w:val="en-US" w:eastAsia="zh-CN"/>
          <w14:textFill>
            <w14:solidFill>
              <w14:schemeClr w14:val="tx1"/>
            </w14:solidFill>
          </w14:textFill>
        </w:rPr>
        <w:t>县人民政府。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u w:val="none"/>
          <w14:textFill>
            <w14:solidFill>
              <w14:schemeClr w14:val="tx1"/>
            </w14:solidFill>
          </w14:textFill>
        </w:rPr>
      </w:pPr>
      <w:r>
        <w:rPr>
          <w:rStyle w:val="16"/>
          <w:rFonts w:hint="eastAsia"/>
          <w:color w:val="000000" w:themeColor="text1"/>
          <w14:textFill>
            <w14:solidFill>
              <w14:schemeClr w14:val="tx1"/>
            </w14:solidFill>
          </w14:textFill>
        </w:rPr>
        <w:t>第三十四条</w:t>
      </w:r>
      <w:r>
        <w:rPr>
          <w:rFonts w:hint="eastAsia"/>
          <w:color w:val="000000" w:themeColor="text1"/>
          <w:u w:val="none"/>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Fonts w:hint="eastAsia"/>
          <w:color w:val="000000" w:themeColor="text1"/>
          <w:u w:val="none"/>
          <w14:textFill>
            <w14:solidFill>
              <w14:schemeClr w14:val="tx1"/>
            </w14:solidFill>
          </w14:textFill>
        </w:rPr>
        <w:t>中国农业发展银行</w:t>
      </w:r>
      <w:r>
        <w:rPr>
          <w:color w:val="000000" w:themeColor="text1"/>
          <w:u w:val="none"/>
          <w:lang w:val="en-US" w:eastAsia="zh-CN"/>
          <w14:textFill>
            <w14:solidFill>
              <w14:schemeClr w14:val="tx1"/>
            </w14:solidFill>
          </w14:textFill>
        </w:rPr>
        <w:t>柳州</w:t>
      </w:r>
      <w:r>
        <w:rPr>
          <w:rFonts w:hint="eastAsia" w:ascii="Times New Roman" w:eastAsia="仿宋_GB2312"/>
          <w:color w:val="000000" w:themeColor="text1"/>
          <w:u w:val="none"/>
          <w:lang w:val="en-US" w:eastAsia="zh-CN"/>
          <w14:textFill>
            <w14:solidFill>
              <w14:schemeClr w14:val="tx1"/>
            </w14:solidFill>
          </w14:textFill>
        </w:rPr>
        <w:t>市柳江支行</w:t>
      </w:r>
      <w:r>
        <w:rPr>
          <w:rFonts w:hint="eastAsia"/>
          <w:color w:val="000000" w:themeColor="text1"/>
          <w:u w:val="none"/>
          <w14:textFill>
            <w14:solidFill>
              <w14:schemeClr w14:val="tx1"/>
            </w14:solidFill>
          </w14:textFill>
        </w:rPr>
        <w:t>应当按照资金封闭管理的规定，加强对</w:t>
      </w:r>
      <w:r>
        <w:rPr>
          <w:rStyle w:val="29"/>
          <w:rFonts w:hint="eastAsia" w:ascii="Times New Roman" w:hAnsi="Times New Roman"/>
          <w:color w:val="000000" w:themeColor="text1"/>
          <w:u w:val="none"/>
          <w:lang w:val="en-US" w:eastAsia="zh-CN"/>
          <w14:textFill>
            <w14:solidFill>
              <w14:schemeClr w14:val="tx1"/>
            </w14:solidFill>
          </w14:textFill>
        </w:rPr>
        <w:t>县</w:t>
      </w:r>
      <w:r>
        <w:rPr>
          <w:rFonts w:hint="eastAsia"/>
          <w:color w:val="000000" w:themeColor="text1"/>
          <w:u w:val="none"/>
          <w14:textFill>
            <w14:solidFill>
              <w14:schemeClr w14:val="tx1"/>
            </w14:solidFill>
          </w14:textFill>
        </w:rPr>
        <w:t>级储备粮贷款的信贷监管。承储企业对中国农业发展银行</w:t>
      </w:r>
      <w:r>
        <w:rPr>
          <w:color w:val="000000" w:themeColor="text1"/>
          <w:u w:val="none"/>
          <w:lang w:val="en-US" w:eastAsia="zh-CN"/>
          <w14:textFill>
            <w14:solidFill>
              <w14:schemeClr w14:val="tx1"/>
            </w14:solidFill>
          </w14:textFill>
        </w:rPr>
        <w:t>柳州</w:t>
      </w:r>
      <w:r>
        <w:rPr>
          <w:rFonts w:hint="eastAsia" w:ascii="Times New Roman" w:eastAsia="仿宋_GB2312"/>
          <w:color w:val="000000" w:themeColor="text1"/>
          <w:u w:val="none"/>
          <w:lang w:val="en-US" w:eastAsia="zh-CN"/>
          <w14:textFill>
            <w14:solidFill>
              <w14:schemeClr w14:val="tx1"/>
            </w14:solidFill>
          </w14:textFill>
        </w:rPr>
        <w:t>市柳江支行</w:t>
      </w:r>
      <w:r>
        <w:rPr>
          <w:rFonts w:hint="eastAsia"/>
          <w:color w:val="000000" w:themeColor="text1"/>
          <w:u w:val="none"/>
          <w14:textFill>
            <w14:solidFill>
              <w14:schemeClr w14:val="tx1"/>
            </w14:solidFill>
          </w14:textFill>
        </w:rPr>
        <w:t>依法进行的信贷监管，应当予以配合，并及时提供有关资料和情况。</w:t>
      </w:r>
    </w:p>
    <w:p>
      <w:pPr>
        <w:keepNext/>
        <w:keepLines/>
        <w:pageBreakBefore w:val="0"/>
        <w:widowControl w:val="0"/>
        <w:numPr>
          <w:ilvl w:val="0"/>
          <w:numId w:val="1"/>
        </w:numPr>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r>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t>法律责任</w:t>
      </w:r>
    </w:p>
    <w:p>
      <w:pPr>
        <w:keepNext/>
        <w:keepLines/>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560" w:lineRule="exact"/>
        <w:jc w:val="both"/>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Style w:val="16"/>
          <w:color w:val="000000" w:themeColor="text1"/>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第三十五条</w:t>
      </w:r>
      <w:r>
        <w:rPr>
          <w:rFonts w:hint="eastAsia" w:eastAsia="楷体_GB2312"/>
          <w:color w:val="000000" w:themeColor="text1"/>
          <w:szCs w:val="32"/>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 xml:space="preserve"> 违反本办法规定的行为，法律、法规已有法律责任规定的，从其规定。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第三十六条</w:t>
      </w:r>
      <w:r>
        <w:rPr>
          <w:color w:val="000000" w:themeColor="text1"/>
          <w:u w:val="non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行政机关工作人员违反本办法规定，有下列行为之一的，依法追究法律责任：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（一）不及时下达</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级储备粮收购、销售和年度轮换计划的；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（二）发现承储企业存在不适合储存</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级储备粮的情况，未按照规定责令其限期整改的；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（三）接到举报或者发现违法行为不及时查处的。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strike w:val="0"/>
          <w:dstrike w:val="0"/>
          <w:color w:val="auto"/>
          <w:u w:val="none"/>
          <w:lang w:val="en-US" w:eastAsia="zh-CN"/>
        </w:rPr>
      </w:pPr>
      <w:r>
        <w:rPr>
          <w:rFonts w:hint="eastAsia" w:ascii="黑体" w:hAnsi="黑体" w:eastAsia="黑体" w:cs="黑体"/>
          <w:strike w:val="0"/>
          <w:dstrike w:val="0"/>
          <w:color w:val="auto"/>
          <w:szCs w:val="32"/>
          <w:u w:val="none"/>
          <w:lang w:val="en-US" w:eastAsia="zh-CN"/>
        </w:rPr>
        <w:t>第三十七条</w:t>
      </w:r>
      <w:r>
        <w:rPr>
          <w:rFonts w:hint="eastAsia" w:ascii="黑体" w:hAnsi="黑体" w:eastAsia="黑体" w:cs="黑体"/>
          <w:strike w:val="0"/>
          <w:dstrike w:val="0"/>
          <w:color w:val="auto"/>
          <w:u w:val="none"/>
          <w:lang w:val="en-US" w:eastAsia="zh-CN"/>
        </w:rPr>
        <w:t xml:space="preserve">  </w:t>
      </w:r>
      <w:r>
        <w:rPr>
          <w:rStyle w:val="29"/>
          <w:rFonts w:hint="eastAsia" w:ascii="Times New Roman" w:hAnsi="Times New Roman"/>
          <w:strike w:val="0"/>
          <w:dstrike w:val="0"/>
          <w:color w:val="auto"/>
          <w:u w:val="none"/>
          <w:lang w:val="en-US" w:eastAsia="zh-CN"/>
        </w:rPr>
        <w:t>县</w:t>
      </w:r>
      <w:r>
        <w:rPr>
          <w:strike w:val="0"/>
          <w:dstrike w:val="0"/>
          <w:color w:val="auto"/>
          <w:u w:val="none"/>
          <w:lang w:val="en-US" w:eastAsia="zh-CN"/>
        </w:rPr>
        <w:t>储备粮管理中心工作人员违反本办法规定，有下列行为之一的，依法追究法律责任：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strike w:val="0"/>
          <w:dstrike w:val="0"/>
          <w:color w:val="auto"/>
          <w:u w:val="none"/>
          <w:lang w:val="en-US" w:eastAsia="zh-CN"/>
        </w:rPr>
      </w:pPr>
      <w:r>
        <w:rPr>
          <w:strike w:val="0"/>
          <w:dstrike w:val="0"/>
          <w:color w:val="auto"/>
          <w:u w:val="none"/>
          <w:lang w:val="en-US" w:eastAsia="zh-CN"/>
        </w:rPr>
        <w:t>（一）拒不配合</w:t>
      </w:r>
      <w:r>
        <w:rPr>
          <w:rStyle w:val="29"/>
          <w:rFonts w:hint="eastAsia" w:ascii="Times New Roman" w:hAnsi="Times New Roman"/>
          <w:strike w:val="0"/>
          <w:dstrike w:val="0"/>
          <w:color w:val="auto"/>
          <w:u w:val="none"/>
          <w:lang w:val="en-US" w:eastAsia="zh-CN"/>
        </w:rPr>
        <w:t>县</w:t>
      </w:r>
      <w:r>
        <w:rPr>
          <w:strike w:val="0"/>
          <w:dstrike w:val="0"/>
          <w:color w:val="auto"/>
          <w:u w:val="none"/>
          <w:lang w:val="en-US" w:eastAsia="zh-CN"/>
        </w:rPr>
        <w:t>发展改革</w:t>
      </w:r>
      <w:r>
        <w:rPr>
          <w:rFonts w:hint="eastAsia" w:ascii="Times New Roman" w:eastAsia="仿宋_GB2312"/>
          <w:strike w:val="0"/>
          <w:dstrike w:val="0"/>
          <w:color w:val="auto"/>
          <w:u w:val="none"/>
          <w:lang w:val="en-US" w:eastAsia="zh-CN"/>
        </w:rPr>
        <w:t>局</w:t>
      </w:r>
      <w:r>
        <w:rPr>
          <w:strike w:val="0"/>
          <w:dstrike w:val="0"/>
          <w:color w:val="auto"/>
          <w:u w:val="none"/>
          <w:lang w:val="en-US" w:eastAsia="zh-CN"/>
        </w:rPr>
        <w:t>（</w:t>
      </w:r>
      <w:r>
        <w:rPr>
          <w:rFonts w:hint="eastAsia"/>
          <w:strike w:val="0"/>
          <w:dstrike w:val="0"/>
          <w:color w:val="auto"/>
          <w:u w:val="none"/>
          <w:lang w:val="en-US" w:eastAsia="zh-CN"/>
        </w:rPr>
        <w:t>县粮食和物资储备局</w:t>
      </w:r>
      <w:r>
        <w:rPr>
          <w:strike w:val="0"/>
          <w:dstrike w:val="0"/>
          <w:color w:val="auto"/>
          <w:u w:val="none"/>
          <w:lang w:val="en-US" w:eastAsia="zh-CN"/>
        </w:rPr>
        <w:t>）做好</w:t>
      </w:r>
      <w:r>
        <w:rPr>
          <w:rStyle w:val="29"/>
          <w:rFonts w:hint="eastAsia" w:ascii="Times New Roman" w:hAnsi="Times New Roman"/>
          <w:strike w:val="0"/>
          <w:dstrike w:val="0"/>
          <w:color w:val="auto"/>
          <w:u w:val="none"/>
          <w:lang w:val="en-US" w:eastAsia="zh-CN"/>
        </w:rPr>
        <w:t>县</w:t>
      </w:r>
      <w:r>
        <w:rPr>
          <w:strike w:val="0"/>
          <w:dstrike w:val="0"/>
          <w:color w:val="auto"/>
          <w:u w:val="none"/>
          <w:lang w:val="en-US" w:eastAsia="zh-CN"/>
        </w:rPr>
        <w:t>级储备粮的计划、储存、监督检查等具体业务管理工作的；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strike w:val="0"/>
          <w:color w:val="000000" w:themeColor="text1"/>
          <w:u w:val="none"/>
          <w:lang w:val="en-US" w:eastAsia="zh-CN"/>
          <w14:textFill>
            <w14:solidFill>
              <w14:schemeClr w14:val="tx1"/>
            </w14:solidFill>
          </w14:textFill>
        </w:rPr>
      </w:pPr>
      <w:r>
        <w:rPr>
          <w:strike w:val="0"/>
          <w:dstrike w:val="0"/>
          <w:color w:val="auto"/>
          <w:u w:val="none"/>
          <w:lang w:val="en-US" w:eastAsia="zh-CN"/>
        </w:rPr>
        <w:t>（二）发现</w:t>
      </w:r>
      <w:r>
        <w:rPr>
          <w:rStyle w:val="29"/>
          <w:rFonts w:hint="eastAsia" w:ascii="Times New Roman" w:hAnsi="Times New Roman"/>
          <w:strike w:val="0"/>
          <w:dstrike w:val="0"/>
          <w:color w:val="auto"/>
          <w:u w:val="none"/>
          <w:lang w:val="en-US" w:eastAsia="zh-CN"/>
        </w:rPr>
        <w:t>县</w:t>
      </w:r>
      <w:r>
        <w:rPr>
          <w:strike w:val="0"/>
          <w:dstrike w:val="0"/>
          <w:color w:val="auto"/>
          <w:u w:val="none"/>
          <w:lang w:val="en-US" w:eastAsia="zh-CN"/>
        </w:rPr>
        <w:t>级储备粮的数量、质量存在问题不及时纠正，或者发现危及储存安全的重大问题，不采取有效措施处理并按照规定报告的。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rStyle w:val="16"/>
          <w:color w:val="000000" w:themeColor="text1"/>
          <w:lang w:val="en-US" w:eastAsia="zh-CN"/>
          <w14:textFill>
            <w14:solidFill>
              <w14:schemeClr w14:val="tx1"/>
            </w14:solidFill>
          </w14:textFill>
        </w:rPr>
        <w:t>第三十</w:t>
      </w:r>
      <w:r>
        <w:rPr>
          <w:rStyle w:val="16"/>
          <w:rFonts w:hint="eastAsia"/>
          <w:color w:val="000000" w:themeColor="text1"/>
          <w:lang w:val="en-US" w:eastAsia="zh-CN"/>
          <w14:textFill>
            <w14:solidFill>
              <w14:schemeClr w14:val="tx1"/>
            </w14:solidFill>
          </w14:textFill>
        </w:rPr>
        <w:t>八</w:t>
      </w:r>
      <w:r>
        <w:rPr>
          <w:rStyle w:val="16"/>
          <w:color w:val="000000" w:themeColor="text1"/>
          <w:lang w:val="en-US" w:eastAsia="zh-CN"/>
          <w14:textFill>
            <w14:solidFill>
              <w14:schemeClr w14:val="tx1"/>
            </w14:solidFill>
          </w14:textFill>
        </w:rPr>
        <w:t>条</w:t>
      </w:r>
      <w:r>
        <w:rPr>
          <w:rFonts w:hint="eastAsia" w:eastAsia="楷体_GB2312"/>
          <w:color w:val="000000" w:themeColor="text1"/>
          <w:szCs w:val="32"/>
          <w:u w:val="none"/>
          <w:lang w:val="en-US" w:eastAsia="zh-CN"/>
          <w14:textFill>
            <w14:solidFill>
              <w14:schemeClr w14:val="tx1"/>
            </w14:solidFill>
          </w14:textFill>
        </w:rPr>
        <w:t xml:space="preserve"> </w:t>
      </w:r>
      <w:r>
        <w:rPr>
          <w:color w:val="000000" w:themeColor="text1"/>
          <w:u w:val="none"/>
          <w:lang w:val="en-US" w:eastAsia="zh-CN"/>
          <w14:textFill>
            <w14:solidFill>
              <w14:schemeClr w14:val="tx1"/>
            </w14:solidFill>
          </w14:textFill>
        </w:rPr>
        <w:t xml:space="preserve"> 承储企业违反本办法规定，有下列行为之一的，依法追究法律责任：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（一）拒不组织实施或者擅自改变</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级储备粮收购、销售、年度轮换计划和动用指令、命令的；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lang w:val="en-US" w:eastAsia="zh-CN"/>
          <w14:textFill>
            <w14:solidFill>
              <w14:schemeClr w14:val="tx1"/>
            </w14:solidFill>
          </w14:textFill>
        </w:rPr>
      </w:pPr>
      <w:r>
        <w:rPr>
          <w:color w:val="000000" w:themeColor="text1"/>
          <w:u w:val="none"/>
          <w:lang w:val="en-US" w:eastAsia="zh-CN"/>
          <w14:textFill>
            <w14:solidFill>
              <w14:schemeClr w14:val="tx1"/>
            </w14:solidFill>
          </w14:textFill>
        </w:rPr>
        <w:t>（二）发现</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级储备粮的数量、质量存在问题不及时纠正，或者发现危及储存安全的重大问题，不采取有效措施处理并按照规定报告的；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u w:val="none"/>
          <w14:textFill>
            <w14:solidFill>
              <w14:schemeClr w14:val="tx1"/>
            </w14:solidFill>
          </w14:textFill>
        </w:rPr>
      </w:pPr>
      <w:r>
        <w:rPr>
          <w:color w:val="000000" w:themeColor="text1"/>
          <w:u w:val="none"/>
          <w:lang w:val="en-US" w:eastAsia="zh-CN"/>
          <w14:textFill>
            <w14:solidFill>
              <w14:schemeClr w14:val="tx1"/>
            </w14:solidFill>
          </w14:textFill>
        </w:rPr>
        <w:t>（三）拒绝、阻挠、干涉</w:t>
      </w:r>
      <w:r>
        <w:rPr>
          <w:rStyle w:val="29"/>
          <w:rFonts w:hint="eastAsia" w:ascii="Times New Roman" w:hAnsi="Times New Roman"/>
          <w:color w:val="000000" w:themeColor="text1"/>
          <w:u w:val="none"/>
          <w:lang w:val="en-US" w:eastAsia="zh-CN"/>
          <w14:textFill>
            <w14:solidFill>
              <w14:schemeClr w14:val="tx1"/>
            </w14:solidFill>
          </w14:textFill>
        </w:rPr>
        <w:t>县</w:t>
      </w:r>
      <w:r>
        <w:rPr>
          <w:color w:val="000000" w:themeColor="text1"/>
          <w:u w:val="none"/>
          <w:lang w:val="en-US" w:eastAsia="zh-CN"/>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color w:val="000000" w:themeColor="text1"/>
          <w:u w:val="none"/>
          <w:lang w:val="en-US" w:eastAsia="zh-CN"/>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color w:val="000000" w:themeColor="text1"/>
          <w:u w:val="none"/>
          <w:lang w:val="en-US" w:eastAsia="zh-CN"/>
          <w14:textFill>
            <w14:solidFill>
              <w14:schemeClr w14:val="tx1"/>
            </w14:solidFill>
          </w14:textFill>
        </w:rPr>
        <w:t>）、财政局、审计局及中国农业发展银行柳州</w:t>
      </w:r>
      <w:r>
        <w:rPr>
          <w:rFonts w:hint="eastAsia" w:ascii="Times New Roman" w:eastAsia="仿宋_GB2312"/>
          <w:color w:val="000000" w:themeColor="text1"/>
          <w:u w:val="none"/>
          <w:lang w:val="en-US" w:eastAsia="zh-CN"/>
          <w14:textFill>
            <w14:solidFill>
              <w14:schemeClr w14:val="tx1"/>
            </w14:solidFill>
          </w14:textFill>
        </w:rPr>
        <w:t>市柳江支行</w:t>
      </w:r>
      <w:r>
        <w:rPr>
          <w:color w:val="000000" w:themeColor="text1"/>
          <w:u w:val="none"/>
          <w:lang w:val="en-US" w:eastAsia="zh-CN"/>
          <w14:textFill>
            <w14:solidFill>
              <w14:schemeClr w14:val="tx1"/>
            </w14:solidFill>
          </w14:textFill>
        </w:rPr>
        <w:t>的监督检查人员依法履行监督检查职责的。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u w:val="none"/>
          <w14:textFill>
            <w14:solidFill>
              <w14:schemeClr w14:val="tx1"/>
            </w14:solidFill>
          </w14:textFill>
        </w:rPr>
      </w:pPr>
      <w:r>
        <w:rPr>
          <w:rStyle w:val="16"/>
          <w:rFonts w:hint="eastAsia"/>
          <w:color w:val="000000" w:themeColor="text1"/>
          <w14:textFill>
            <w14:solidFill>
              <w14:schemeClr w14:val="tx1"/>
            </w14:solidFill>
          </w14:textFill>
        </w:rPr>
        <w:t>第三十</w:t>
      </w:r>
      <w:r>
        <w:rPr>
          <w:rStyle w:val="16"/>
          <w:rFonts w:hint="eastAsia" w:eastAsia="黑体"/>
          <w:color w:val="000000" w:themeColor="text1"/>
          <w:lang w:val="en-US" w:eastAsia="zh-CN"/>
          <w14:textFill>
            <w14:solidFill>
              <w14:schemeClr w14:val="tx1"/>
            </w14:solidFill>
          </w14:textFill>
        </w:rPr>
        <w:t>九</w:t>
      </w:r>
      <w:r>
        <w:rPr>
          <w:rStyle w:val="16"/>
          <w:rFonts w:hint="eastAsia"/>
          <w:color w:val="000000" w:themeColor="text1"/>
          <w14:textFill>
            <w14:solidFill>
              <w14:schemeClr w14:val="tx1"/>
            </w14:solidFill>
          </w14:textFill>
        </w:rPr>
        <w:t>条</w:t>
      </w:r>
      <w:r>
        <w:rPr>
          <w:rFonts w:hint="eastAsia"/>
          <w:color w:val="000000" w:themeColor="text1"/>
          <w:u w:val="none"/>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Fonts w:hint="eastAsia"/>
          <w:color w:val="000000" w:themeColor="text1"/>
          <w:u w:val="none"/>
          <w14:textFill>
            <w14:solidFill>
              <w14:schemeClr w14:val="tx1"/>
            </w14:solidFill>
          </w14:textFill>
        </w:rPr>
        <w:t>行政机关和中国农业发展银行柳州</w:t>
      </w:r>
      <w:r>
        <w:rPr>
          <w:rFonts w:hint="eastAsia" w:ascii="Times New Roman" w:eastAsia="仿宋_GB2312"/>
          <w:color w:val="000000" w:themeColor="text1"/>
          <w:u w:val="none"/>
          <w:lang w:val="en-US" w:eastAsia="zh-CN"/>
          <w14:textFill>
            <w14:solidFill>
              <w14:schemeClr w14:val="tx1"/>
            </w14:solidFill>
          </w14:textFill>
        </w:rPr>
        <w:t>市柳江支行</w:t>
      </w:r>
      <w:r>
        <w:rPr>
          <w:rFonts w:hint="eastAsia"/>
          <w:color w:val="000000" w:themeColor="text1"/>
          <w:u w:val="none"/>
          <w14:textFill>
            <w14:solidFill>
              <w14:schemeClr w14:val="tx1"/>
            </w14:solidFill>
          </w14:textFill>
        </w:rPr>
        <w:t>的工作人员违反本办法规定，滥用职权、徇私舞弊或者玩忽职守，依法追究法律责任。</w:t>
      </w:r>
    </w:p>
    <w:p>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color w:val="000000" w:themeColor="text1"/>
          <w:u w:val="none"/>
          <w14:textFill>
            <w14:solidFill>
              <w14:schemeClr w14:val="tx1"/>
            </w14:solidFill>
          </w14:textFill>
        </w:rPr>
      </w:pPr>
    </w:p>
    <w:p>
      <w:pPr>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firstLine="0" w:firstLineChars="0"/>
        <w:jc w:val="center"/>
        <w:textAlignment w:val="auto"/>
        <w:outlineLvl w:val="1"/>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pPr>
      <w:r>
        <w:rPr>
          <w:rFonts w:hint="eastAsia" w:ascii="Arial" w:hAnsi="Arial" w:eastAsia="黑体" w:cstheme="minorBidi"/>
          <w:color w:val="000000" w:themeColor="text1"/>
          <w:kern w:val="2"/>
          <w:sz w:val="32"/>
          <w:szCs w:val="24"/>
          <w:u w:val="none"/>
          <w:lang w:val="en-US" w:eastAsia="zh-CN" w:bidi="ar-SA"/>
          <w14:textFill>
            <w14:solidFill>
              <w14:schemeClr w14:val="tx1"/>
            </w14:solidFill>
          </w14:textFill>
        </w:rPr>
        <w:t>第七章 附 则</w:t>
      </w:r>
    </w:p>
    <w:p>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color w:val="000000" w:themeColor="text1"/>
          <w:u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eastAsia="仿宋_GB2312"/>
          <w:color w:val="000000" w:themeColor="text1"/>
          <w:u w:val="none"/>
          <w:lang w:val="en-US" w:eastAsia="zh-CN"/>
          <w14:textFill>
            <w14:solidFill>
              <w14:schemeClr w14:val="tx1"/>
            </w14:solidFill>
          </w14:textFill>
        </w:rPr>
      </w:pPr>
      <w:r>
        <w:rPr>
          <w:rStyle w:val="16"/>
          <w:rFonts w:hint="eastAsia"/>
          <w:color w:val="000000" w:themeColor="text1"/>
          <w14:textFill>
            <w14:solidFill>
              <w14:schemeClr w14:val="tx1"/>
            </w14:solidFill>
          </w14:textFill>
        </w:rPr>
        <w:t>第</w:t>
      </w:r>
      <w:r>
        <w:rPr>
          <w:rStyle w:val="16"/>
          <w:rFonts w:hint="eastAsia" w:eastAsia="黑体"/>
          <w:color w:val="000000" w:themeColor="text1"/>
          <w:lang w:val="en-US" w:eastAsia="zh-CN"/>
          <w14:textFill>
            <w14:solidFill>
              <w14:schemeClr w14:val="tx1"/>
            </w14:solidFill>
          </w14:textFill>
        </w:rPr>
        <w:t>四十</w:t>
      </w:r>
      <w:r>
        <w:rPr>
          <w:rStyle w:val="16"/>
          <w:rFonts w:hint="eastAsia"/>
          <w:color w:val="000000" w:themeColor="text1"/>
          <w14:textFill>
            <w14:solidFill>
              <w14:schemeClr w14:val="tx1"/>
            </w14:solidFill>
          </w14:textFill>
        </w:rPr>
        <w:t>条</w:t>
      </w:r>
      <w:r>
        <w:rPr>
          <w:rFonts w:hint="eastAsia"/>
          <w:color w:val="000000" w:themeColor="text1"/>
          <w:u w:val="none"/>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Fonts w:hint="eastAsia"/>
          <w:color w:val="000000" w:themeColor="text1"/>
          <w:u w:val="none"/>
          <w14:textFill>
            <w14:solidFill>
              <w14:schemeClr w14:val="tx1"/>
            </w14:solidFill>
          </w14:textFill>
        </w:rPr>
        <w:t>本办法由</w:t>
      </w:r>
      <w:r>
        <w:rPr>
          <w:rStyle w:val="29"/>
          <w:rFonts w:hint="eastAsia" w:ascii="Times New Roman" w:hAnsi="Times New Roman"/>
          <w:color w:val="000000" w:themeColor="text1"/>
          <w:u w:val="none"/>
          <w:lang w:val="en-US" w:eastAsia="zh-CN"/>
          <w14:textFill>
            <w14:solidFill>
              <w14:schemeClr w14:val="tx1"/>
            </w14:solidFill>
          </w14:textFill>
        </w:rPr>
        <w:t>县</w:t>
      </w:r>
      <w:r>
        <w:rPr>
          <w:rFonts w:hint="eastAsia"/>
          <w:color w:val="000000" w:themeColor="text1"/>
          <w:u w:val="none"/>
          <w14:textFill>
            <w14:solidFill>
              <w14:schemeClr w14:val="tx1"/>
            </w14:solidFill>
          </w14:textFill>
        </w:rPr>
        <w:t>发展改革</w:t>
      </w:r>
      <w:r>
        <w:rPr>
          <w:rFonts w:hint="eastAsia" w:ascii="Times New Roman" w:eastAsia="仿宋_GB2312"/>
          <w:color w:val="000000" w:themeColor="text1"/>
          <w:u w:val="none"/>
          <w:lang w:val="en-US" w:eastAsia="zh-CN"/>
          <w14:textFill>
            <w14:solidFill>
              <w14:schemeClr w14:val="tx1"/>
            </w14:solidFill>
          </w14:textFill>
        </w:rPr>
        <w:t>局</w:t>
      </w:r>
      <w:r>
        <w:rPr>
          <w:rFonts w:hint="eastAsia"/>
          <w:color w:val="000000" w:themeColor="text1"/>
          <w:u w:val="none"/>
          <w14:textFill>
            <w14:solidFill>
              <w14:schemeClr w14:val="tx1"/>
            </w14:solidFill>
          </w14:textFill>
        </w:rPr>
        <w:t>（</w:t>
      </w:r>
      <w:r>
        <w:rPr>
          <w:rFonts w:hint="eastAsia"/>
          <w:color w:val="000000" w:themeColor="text1"/>
          <w:u w:val="none"/>
          <w:lang w:val="en-US" w:eastAsia="zh-CN"/>
          <w14:textFill>
            <w14:solidFill>
              <w14:schemeClr w14:val="tx1"/>
            </w14:solidFill>
          </w14:textFill>
        </w:rPr>
        <w:t>县粮食和物资储备局</w:t>
      </w:r>
      <w:r>
        <w:rPr>
          <w:rFonts w:hint="eastAsia"/>
          <w:color w:val="000000" w:themeColor="text1"/>
          <w:u w:val="none"/>
          <w14:textFill>
            <w14:solidFill>
              <w14:schemeClr w14:val="tx1"/>
            </w14:solidFill>
          </w14:textFill>
        </w:rPr>
        <w:t>）负责解释，自</w:t>
      </w:r>
      <w:r>
        <w:rPr>
          <w:rFonts w:hint="eastAsia"/>
          <w:color w:val="000000" w:themeColor="text1"/>
          <w:u w:val="none"/>
          <w:lang w:val="en-US" w:eastAsia="zh-CN"/>
          <w14:textFill>
            <w14:solidFill>
              <w14:schemeClr w14:val="tx1"/>
            </w14:solidFill>
          </w14:textFill>
        </w:rPr>
        <w:t>印发之日</w:t>
      </w:r>
      <w:r>
        <w:rPr>
          <w:rFonts w:hint="eastAsia"/>
          <w:color w:val="000000" w:themeColor="text1"/>
          <w:u w:val="none"/>
          <w14:textFill>
            <w14:solidFill>
              <w14:schemeClr w14:val="tx1"/>
            </w14:solidFill>
          </w14:textFill>
        </w:rPr>
        <w:t>起施行。</w:t>
      </w:r>
      <w:r>
        <w:rPr>
          <w:rFonts w:hint="eastAsia"/>
          <w:color w:val="000000" w:themeColor="text1"/>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柳城县</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人民政府办公室</w:t>
      </w:r>
      <w:r>
        <w:rPr>
          <w:rFonts w:hint="eastAsia" w:cs="Times New Roman"/>
          <w:b w:val="0"/>
          <w:bCs w:val="0"/>
          <w:color w:val="000000" w:themeColor="text1"/>
          <w:sz w:val="32"/>
          <w:szCs w:val="32"/>
          <w:lang w:val="en-US" w:eastAsia="zh-CN"/>
          <w14:textFill>
            <w14:solidFill>
              <w14:schemeClr w14:val="tx1"/>
            </w14:solidFill>
          </w14:textFill>
        </w:rPr>
        <w:t>关</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于</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印发&lt;</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柳城县县级</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储备粮管理办法&gt;</w:t>
      </w:r>
      <w:r>
        <w:rPr>
          <w:rFonts w:hint="eastAsia" w:cs="Times New Roman"/>
          <w:b w:val="0"/>
          <w:bCs w:val="0"/>
          <w:color w:val="000000" w:themeColor="text1"/>
          <w:sz w:val="32"/>
          <w:szCs w:val="32"/>
          <w:lang w:val="en-US" w:eastAsia="zh-CN"/>
          <w14:textFill>
            <w14:solidFill>
              <w14:schemeClr w14:val="tx1"/>
            </w14:solidFill>
          </w14:textFill>
        </w:rPr>
        <w:t>的通知</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（柳城政办〔2015〕106号）</w:t>
      </w:r>
      <w:r>
        <w:rPr>
          <w:rFonts w:hint="eastAsia" w:ascii="仿宋_GB2312" w:hAnsi="仿宋_GB2312" w:eastAsia="仿宋_GB2312" w:cs="仿宋_GB2312"/>
          <w:color w:val="000000" w:themeColor="text1"/>
          <w:u w:val="none"/>
          <w:lang w:val="en-US" w:eastAsia="zh-CN"/>
          <w14:textFill>
            <w14:solidFill>
              <w14:schemeClr w14:val="tx1"/>
            </w14:solidFill>
          </w14:textFill>
        </w:rPr>
        <w:t>同时废止。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color w:val="000000" w:themeColor="text1"/>
          <w14:textFill>
            <w14:solidFill>
              <w14:schemeClr w14:val="tx1"/>
            </w14:solidFill>
          </w14:textFill>
        </w:rPr>
      </w:pPr>
    </w:p>
    <w:p>
      <w:pPr>
        <w:pageBreakBefore w:val="0"/>
        <w:widowControl w:val="0"/>
        <w:kinsoku/>
        <w:overflowPunct/>
        <w:topLinePunct w:val="0"/>
        <w:autoSpaceDE/>
        <w:autoSpaceDN/>
        <w:bidi w:val="0"/>
        <w:adjustRightInd/>
        <w:snapToGrid/>
        <w:spacing w:line="560" w:lineRule="exact"/>
        <w:jc w:val="both"/>
        <w:textAlignment w:val="auto"/>
        <w:rPr>
          <w:rFonts w:ascii="黑体" w:eastAsia="黑体"/>
          <w:b/>
          <w:sz w:val="32"/>
          <w:szCs w:val="32"/>
          <w:u w:val="single"/>
        </w:rPr>
      </w:pPr>
    </w:p>
    <w:p>
      <w:pPr>
        <w:pageBreakBefore w:val="0"/>
        <w:widowControl w:val="0"/>
        <w:kinsoku/>
        <w:overflowPunct/>
        <w:topLinePunct w:val="0"/>
        <w:autoSpaceDE/>
        <w:autoSpaceDN/>
        <w:bidi w:val="0"/>
        <w:adjustRightInd/>
        <w:snapToGrid/>
        <w:spacing w:line="560" w:lineRule="exact"/>
        <w:jc w:val="right"/>
        <w:textAlignment w:val="auto"/>
        <w:rPr>
          <w:rFonts w:hint="eastAsia" w:ascii="黑体" w:eastAsia="黑体"/>
          <w:b/>
          <w:sz w:val="32"/>
          <w:szCs w:val="32"/>
          <w:u w:val="single"/>
        </w:rPr>
      </w:pPr>
    </w:p>
    <w:p>
      <w:pPr>
        <w:pageBreakBefore w:val="0"/>
        <w:widowControl w:val="0"/>
        <w:kinsoku/>
        <w:overflowPunct/>
        <w:topLinePunct w:val="0"/>
        <w:autoSpaceDE/>
        <w:autoSpaceDN/>
        <w:bidi w:val="0"/>
        <w:adjustRightInd/>
        <w:snapToGrid/>
        <w:spacing w:line="560" w:lineRule="exact"/>
        <w:jc w:val="right"/>
        <w:textAlignment w:val="auto"/>
        <w:rPr>
          <w:rFonts w:hint="eastAsia" w:ascii="黑体" w:eastAsia="黑体"/>
          <w:b/>
          <w:sz w:val="32"/>
          <w:szCs w:val="32"/>
          <w:u w:val="single"/>
        </w:rPr>
      </w:pPr>
    </w:p>
    <w:p>
      <w:pPr>
        <w:pageBreakBefore w:val="0"/>
        <w:widowControl w:val="0"/>
        <w:kinsoku/>
        <w:overflowPunct/>
        <w:topLinePunct w:val="0"/>
        <w:autoSpaceDE/>
        <w:autoSpaceDN/>
        <w:bidi w:val="0"/>
        <w:adjustRightInd/>
        <w:snapToGrid/>
        <w:spacing w:line="560" w:lineRule="exact"/>
        <w:jc w:val="both"/>
        <w:textAlignment w:val="auto"/>
        <w:rPr>
          <w:rFonts w:ascii="黑体" w:eastAsia="黑体"/>
          <w:b/>
          <w:sz w:val="32"/>
          <w:szCs w:val="32"/>
          <w:u w:val="single"/>
        </w:rPr>
      </w:pPr>
    </w:p>
    <w:p>
      <w:pPr>
        <w:pStyle w:val="4"/>
        <w:pageBreakBefore w:val="0"/>
        <w:widowControl w:val="0"/>
        <w:kinsoku/>
        <w:overflowPunct/>
        <w:topLinePunct w:val="0"/>
        <w:autoSpaceDE/>
        <w:autoSpaceDN/>
        <w:bidi w:val="0"/>
        <w:adjustRightInd/>
        <w:snapToGrid/>
        <w:spacing w:line="560" w:lineRule="exact"/>
        <w:ind w:left="0" w:leftChars="0" w:firstLine="0" w:firstLineChars="0"/>
        <w:jc w:val="both"/>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100" w:lineRule="exact"/>
        <w:textAlignment w:val="auto"/>
      </w:pPr>
    </w:p>
    <w:p>
      <w:pPr>
        <w:keepNext w:val="0"/>
        <w:keepLines w:val="0"/>
        <w:pageBreakBefore w:val="0"/>
        <w:widowControl w:val="0"/>
        <w:kinsoku/>
        <w:wordWrap/>
        <w:overflowPunct/>
        <w:topLinePunct w:val="0"/>
        <w:autoSpaceDE/>
        <w:autoSpaceDN/>
        <w:bidi w:val="0"/>
        <w:adjustRightInd/>
        <w:snapToGrid/>
        <w:spacing w:line="120" w:lineRule="exact"/>
        <w:textAlignment w:val="auto"/>
      </w:pPr>
    </w:p>
    <w:p>
      <w:pPr>
        <w:keepNext w:val="0"/>
        <w:keepLines w:val="0"/>
        <w:pageBreakBefore w:val="0"/>
        <w:widowControl w:val="0"/>
        <w:kinsoku/>
        <w:wordWrap/>
        <w:overflowPunct/>
        <w:topLinePunct w:val="0"/>
        <w:autoSpaceDE/>
        <w:autoSpaceDN/>
        <w:bidi w:val="0"/>
        <w:adjustRightInd/>
        <w:snapToGrid/>
        <w:spacing w:line="120" w:lineRule="exact"/>
        <w:textAlignment w:val="auto"/>
      </w:pPr>
    </w:p>
    <w:p>
      <w:pPr>
        <w:keepNext w:val="0"/>
        <w:keepLines w:val="0"/>
        <w:pageBreakBefore w:val="0"/>
        <w:widowControl w:val="0"/>
        <w:kinsoku/>
        <w:wordWrap/>
        <w:overflowPunct/>
        <w:topLinePunct w:val="0"/>
        <w:autoSpaceDE/>
        <w:autoSpaceDN/>
        <w:bidi w:val="0"/>
        <w:adjustRightInd/>
        <w:snapToGrid/>
        <w:spacing w:line="120" w:lineRule="exact"/>
        <w:textAlignment w:val="auto"/>
      </w:pPr>
    </w:p>
    <w:p>
      <w:pPr>
        <w:keepNext w:val="0"/>
        <w:keepLines w:val="0"/>
        <w:pageBreakBefore w:val="0"/>
        <w:widowControl w:val="0"/>
        <w:kinsoku/>
        <w:wordWrap/>
        <w:overflowPunct/>
        <w:topLinePunct w:val="0"/>
        <w:autoSpaceDE/>
        <w:autoSpaceDN/>
        <w:bidi w:val="0"/>
        <w:adjustRightInd/>
        <w:snapToGrid/>
        <w:spacing w:line="120" w:lineRule="exact"/>
        <w:textAlignment w:val="auto"/>
      </w:pPr>
    </w:p>
    <w:p>
      <w:pPr>
        <w:keepNext w:val="0"/>
        <w:keepLines w:val="0"/>
        <w:pageBreakBefore w:val="0"/>
        <w:widowControl w:val="0"/>
        <w:kinsoku/>
        <w:wordWrap/>
        <w:overflowPunct/>
        <w:topLinePunct w:val="0"/>
        <w:autoSpaceDE/>
        <w:autoSpaceDN/>
        <w:bidi w:val="0"/>
        <w:adjustRightInd/>
        <w:snapToGrid/>
        <w:spacing w:line="120" w:lineRule="exact"/>
        <w:textAlignment w:val="auto"/>
      </w:pPr>
    </w:p>
    <w:p>
      <w:pPr>
        <w:keepNext w:val="0"/>
        <w:keepLines w:val="0"/>
        <w:pageBreakBefore w:val="0"/>
        <w:widowControl w:val="0"/>
        <w:kinsoku/>
        <w:wordWrap/>
        <w:overflowPunct/>
        <w:topLinePunct w:val="0"/>
        <w:autoSpaceDE/>
        <w:autoSpaceDN/>
        <w:bidi w:val="0"/>
        <w:adjustRightInd/>
        <w:snapToGrid/>
        <w:spacing w:line="12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textAlignment w:val="auto"/>
      </w:pPr>
    </w:p>
    <w:p>
      <w:pPr>
        <w:pageBreakBefore w:val="0"/>
        <w:widowControl w:val="0"/>
        <w:kinsoku/>
        <w:overflowPunct/>
        <w:topLinePunct w:val="0"/>
        <w:autoSpaceDE/>
        <w:autoSpaceDN/>
        <w:bidi w:val="0"/>
        <w:adjustRightInd/>
        <w:snapToGrid/>
        <w:spacing w:line="560" w:lineRule="exact"/>
        <w:ind w:firstLine="640" w:firstLineChars="200"/>
        <w:jc w:val="left"/>
        <w:textAlignment w:val="auto"/>
        <w:rPr>
          <w:rFonts w:ascii="黑体" w:eastAsia="黑体"/>
          <w:b/>
          <w:sz w:val="32"/>
          <w:szCs w:val="32"/>
          <w:u w:val="single"/>
        </w:rPr>
      </w:pPr>
      <w:r>
        <w:rPr>
          <w:rFonts w:hint="eastAsia" w:ascii="仿宋_GB2312" w:eastAsia="仿宋_GB2312"/>
          <w:b w:val="0"/>
          <w:bCs/>
          <w:sz w:val="32"/>
          <w:szCs w:val="32"/>
          <w:lang w:eastAsia="zh-CN"/>
        </w:rPr>
        <w:t>（</w:t>
      </w:r>
      <w:r>
        <w:rPr>
          <w:rFonts w:hint="eastAsia" w:ascii="仿宋_GB2312" w:eastAsia="仿宋_GB2312"/>
          <w:b w:val="0"/>
          <w:bCs/>
          <w:sz w:val="32"/>
          <w:szCs w:val="32"/>
          <w:lang w:val="en-US" w:eastAsia="zh-CN"/>
        </w:rPr>
        <w:t>此件公开发布</w:t>
      </w:r>
      <w:r>
        <w:rPr>
          <w:rFonts w:hint="eastAsia" w:ascii="仿宋_GB2312" w:eastAsia="仿宋_GB2312"/>
          <w:b w:val="0"/>
          <w:bCs/>
          <w:sz w:val="32"/>
          <w:szCs w:val="32"/>
          <w:lang w:eastAsia="zh-CN"/>
        </w:rPr>
        <w:t>）</w:t>
      </w:r>
    </w:p>
    <w:p>
      <w:pPr>
        <w:pageBreakBefore w:val="0"/>
        <w:widowControl w:val="0"/>
        <w:kinsoku/>
        <w:overflowPunct/>
        <w:topLinePunct w:val="0"/>
        <w:autoSpaceDE/>
        <w:autoSpaceDN/>
        <w:bidi w:val="0"/>
        <w:adjustRightInd/>
        <w:snapToGrid/>
        <w:spacing w:line="560" w:lineRule="exact"/>
        <w:jc w:val="left"/>
        <w:textAlignment w:val="auto"/>
        <w:rPr>
          <w:rFonts w:ascii="黑体" w:eastAsia="黑体"/>
          <w:b/>
          <w:sz w:val="32"/>
          <w:szCs w:val="32"/>
          <w:u w:val="single"/>
        </w:rPr>
      </w:pPr>
    </w:p>
    <w:p>
      <w:pPr>
        <w:spacing w:line="560" w:lineRule="exact"/>
        <w:ind w:firstLine="295" w:firstLineChars="98"/>
        <w:rPr>
          <w:rFonts w:ascii="黑体" w:eastAsia="黑体"/>
          <w:b/>
          <w:sz w:val="30"/>
          <w:szCs w:val="30"/>
        </w:rPr>
      </w:pPr>
      <w:r>
        <w:rPr>
          <w:rFonts w:ascii="黑体" w:eastAsia="黑体"/>
          <w:b/>
          <w:sz w:val="30"/>
          <w:szCs w:val="30"/>
        </w:rPr>
        <mc:AlternateContent>
          <mc:Choice Requires="wps">
            <w:drawing>
              <wp:anchor distT="0" distB="0" distL="114300" distR="114300" simplePos="0" relativeHeight="251663360" behindDoc="0" locked="1" layoutInCell="1" allowOverlap="0">
                <wp:simplePos x="0" y="0"/>
                <wp:positionH relativeFrom="column">
                  <wp:posOffset>0</wp:posOffset>
                </wp:positionH>
                <wp:positionV relativeFrom="paragraph">
                  <wp:posOffset>0</wp:posOffset>
                </wp:positionV>
                <wp:extent cx="5615940" cy="0"/>
                <wp:effectExtent l="0" t="9525" r="7620" b="13335"/>
                <wp:wrapNone/>
                <wp:docPr id="4" name="直线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0pt;margin-top:0pt;height:0pt;width:442.2pt;z-index:251663360;mso-width-relative:page;mso-height-relative:page;" filled="f" stroked="t" coordsize="21600,21600" o:allowoverlap="f" o:gfxdata="UEsDBAoAAAAAAIdO4kAAAAAAAAAAAAAAAAAEAAAAZHJzL1BLAwQUAAAACACHTuJAia8pPdAAAAAC&#10;AQAADwAAAGRycy9kb3ducmV2LnhtbE2PwU7DMAyG70i8Q2QkbiwdKiiUppOYxGU3yjQ4ek3WVkuc&#10;qsm69e3xuMDF0q/f+vy5XF28E5MdYx9Iw3KRgbDUBNNTq2H7+f6gQMSEZNAFshpmG2FV3d6UWJhw&#10;pg871akVDKFYoIYupaGQMjad9RgXYbDE3SGMHhPHsZVmxDPDvZOPWfYsPfbEFzoc7LqzzbE+eaY8&#10;fam3DartPLv6+yVf7zYTea3v75bZK4hkL+lvGa76rA4VO+3DiUwUTgM/kn4nd0rlOYj9NcqqlP/V&#10;qx9QSwMEFAAAAAgAh07iQMNYtAbNAQAAjgMAAA4AAABkcnMvZTJvRG9jLnhtbK1TS44TMRDdI3EH&#10;y3vSndEkYlrpzGLCsEEQCThAxZ9uS/7J5UknZ+EarNhwnLkGZSeT4bNBiCycsqv86r3n6tXtwVm2&#10;VwlN8D2fz1rOlBdBGj/0/POn+1evOcMMXoINXvX8qJDfrl++WE2xU1dhDFaqxAjEYzfFno85x65p&#10;UIzKAc5CVJ6SOiQHmbZpaGSCidCdba7adtlMIcmYglCIdLo5Jfm64mutRP6gNarMbM+JW65rquuu&#10;rM16Bd2QII5GnGnAP7BwYDw1vUBtIAN7SOYPKGdEChh0nongmqC1EapqIDXz9jc1H0eIqmohczBe&#10;bML/Byve77eJGdnza848OHqixy9fH799Z8vizRSxo5I7v03nHcZtKkIPOrnyTxLYofp5vPipDpkJ&#10;Olws54uba7JdPOWa54sxYX6rgmMl6Lk1vkiFDvbvMFMzKn0qKcfWs4kG7KZdFDygUdEWMoUuEnn0&#10;Q72MwRp5b6wtVzANuzub2B7K49df0UTAv5SVLhvA8VRXU6exGBXIN16yfIxki6f55YWDU5Izq2jc&#10;S0SA0GUw9m8qqbX1xKDYejKyRLsgj/QIDzGZYSQr5pVlydCjV77nAS1T9fO+Ij1/Rus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ia8pPdAAAAACAQAADwAAAAAAAAABACAAAAAiAAAAZHJzL2Rvd25y&#10;ZXYueG1sUEsBAhQAFAAAAAgAh07iQMNYtAbNAQAAjgMAAA4AAAAAAAAAAQAgAAAAHwEAAGRycy9l&#10;Mm9Eb2MueG1sUEsFBgAAAAAGAAYAWQEAAF4FAAAAAA==&#10;">
                <v:fill on="f" focussize="0,0"/>
                <v:stroke weight="1.5pt" color="#000000" joinstyle="round"/>
                <v:imagedata o:title=""/>
                <o:lock v:ext="edit" aspectratio="f"/>
                <w10:anchorlock/>
              </v:line>
            </w:pict>
          </mc:Fallback>
        </mc:AlternateContent>
      </w:r>
      <w:r>
        <w:rPr>
          <w:rFonts w:hint="eastAsia" w:ascii="仿宋_GB2312" w:eastAsia="仿宋_GB2312"/>
          <w:sz w:val="30"/>
          <w:szCs w:val="30"/>
        </w:rPr>
        <w:t>抄送：县委</w:t>
      </w:r>
      <w:r>
        <w:rPr>
          <w:rFonts w:hint="eastAsia" w:ascii="仿宋_GB2312"/>
          <w:sz w:val="30"/>
          <w:szCs w:val="30"/>
          <w:lang w:eastAsia="zh-CN"/>
        </w:rPr>
        <w:t>办公室、</w:t>
      </w:r>
      <w:r>
        <w:rPr>
          <w:rFonts w:hint="eastAsia" w:ascii="仿宋_GB2312" w:eastAsia="仿宋_GB2312"/>
          <w:sz w:val="30"/>
          <w:szCs w:val="30"/>
        </w:rPr>
        <w:t>县人大常委会办公室</w:t>
      </w:r>
      <w:r>
        <w:rPr>
          <w:rFonts w:hint="eastAsia" w:ascii="仿宋_GB2312"/>
          <w:sz w:val="30"/>
          <w:szCs w:val="30"/>
          <w:lang w:eastAsia="zh-CN"/>
        </w:rPr>
        <w:t>、</w:t>
      </w:r>
      <w:r>
        <w:rPr>
          <w:rFonts w:hint="eastAsia" w:ascii="仿宋_GB2312" w:eastAsia="仿宋_GB2312"/>
          <w:sz w:val="30"/>
          <w:szCs w:val="30"/>
        </w:rPr>
        <w:t>县政协办公室。</w:t>
      </w:r>
    </w:p>
    <w:p>
      <w:pPr>
        <w:spacing w:line="560" w:lineRule="exact"/>
        <w:ind w:firstLine="294" w:firstLineChars="98"/>
      </w:pPr>
      <w:r>
        <w:rPr>
          <w:rFonts w:ascii="仿宋_GB2312" w:eastAsia="仿宋_GB2312"/>
          <w:sz w:val="30"/>
          <w:szCs w:val="30"/>
        </w:rPr>
        <mc:AlternateContent>
          <mc:Choice Requires="wps">
            <w:drawing>
              <wp:anchor distT="0" distB="0" distL="114300" distR="114300" simplePos="0" relativeHeight="251661312" behindDoc="0" locked="1" layoutInCell="1" allowOverlap="0">
                <wp:simplePos x="0" y="0"/>
                <wp:positionH relativeFrom="column">
                  <wp:posOffset>0</wp:posOffset>
                </wp:positionH>
                <wp:positionV relativeFrom="paragraph">
                  <wp:posOffset>0</wp:posOffset>
                </wp:positionV>
                <wp:extent cx="5615940" cy="0"/>
                <wp:effectExtent l="0" t="6350" r="0" b="6350"/>
                <wp:wrapNone/>
                <wp:docPr id="2" name="直线 7"/>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0pt;margin-top:0pt;height:0pt;width:442.2pt;z-index:251661312;mso-width-relative:page;mso-height-relative:page;" filled="f" stroked="t" coordsize="21600,21600" o:allowoverlap="f" o:gfxdata="UEsDBAoAAAAAAIdO4kAAAAAAAAAAAAAAAAAEAAAAZHJzL1BLAwQUAAAACACHTuJArAJtO9MAAAAC&#10;AQAADwAAAGRycy9kb3ducmV2LnhtbE2PzW7CMBCE75V4B2sr9VYcECpWGodDEUKtegEq9brE2zgQ&#10;r0Nsfvr2Nb3AZaTRrGa+LWYX14oT9aHxrGE0zEAQV940XGv42iyeFYgQkQ22nknDLwWYlYOHAnPj&#10;z7yi0zrWIpVwyFGDjbHLpQyVJYdh6DvilP343mFMtq+l6fGcyl0rx1n2Ih02nBYsdvRmqdqvj04D&#10;zper+K3GH9Pm3X7uNovD0qqD1k+Po+wVRKRLvB3DFT+hQ5mYtv7IJohWQ3ok/mvKlJpMQGyvVpaF&#10;vEcv/wBQSwMEFAAAAAgAh07iQFgMDFPOAQAAjgMAAA4AAABkcnMvZTJvRG9jLnhtbK1TS44TMRDd&#10;I3EHy3vSnYiZgVY6s5gwbBBEAg5Q8afbkn9yedLJWbgGKzYcZ65B2clk+GxGI7Jwyq7yq/eeq5fX&#10;e2fZTiU0wfd8Pms5U14EafzQ869fbl+94QwzeAk2eNXzg0J+vXr5YjnFTi3CGKxUiRGIx26KPR9z&#10;jl3ToBiVA5yFqDwldUgOMm3T0MgEE6E72yza9rKZQpIxBaEQ6XR9TPJVxddaifxJa1SZ2Z4Tt1zX&#10;VNdtWZvVErohQRyNONGAZ7BwYDw1PUOtIQO7S+YfKGdEChh0nongmqC1EapqIDXz9i81n0eIqmoh&#10;czCebcL/Bys+7jaJGdnzBWceHD3R/bfv9z9+sqvizRSxo5Ibv0mnHcZNKkL3OrnyTxLYvvp5OPup&#10;9pkJOry4nF+8fU22i4dc83gxJszvVXCsBD23xhep0MHuA2ZqRqUPJeXYejbRgC2u2oIHNCraQqbQ&#10;RSKPfqiXMVgjb4215QqmYXtjE9tBefz6K5oI+I+y0mUNOB7rauo4FqMC+c5Llg+RbPE0v7xwcEpy&#10;ZhWNe4kIELoMxj6lklpbTwyKrUcjS7QN8kCPcBeTGUayYl5Zlgw9euV7GtAyVb/vK9LjZ7T6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wCbTvTAAAAAgEAAA8AAAAAAAAAAQAgAAAAIgAAAGRycy9k&#10;b3ducmV2LnhtbFBLAQIUABQAAAAIAIdO4kBYDAxTzgEAAI4DAAAOAAAAAAAAAAEAIAAAACIBAABk&#10;cnMvZTJvRG9jLnhtbFBLBQYAAAAABgAGAFkBAABiBQAAAAA=&#10;">
                <v:fill on="f" focussize="0,0"/>
                <v:stroke weight="1pt" color="#000000" joinstyle="round"/>
                <v:imagedata o:title=""/>
                <o:lock v:ext="edit" aspectratio="f"/>
                <w10:anchorlock/>
              </v:line>
            </w:pict>
          </mc:Fallback>
        </mc:AlternateContent>
      </w:r>
      <w:r>
        <w:rPr>
          <w:rFonts w:hint="eastAsia" w:ascii="仿宋_GB2312" w:eastAsia="仿宋_GB2312"/>
          <w:sz w:val="30"/>
          <w:szCs w:val="30"/>
        </w:rPr>
        <w:t xml:space="preserve">柳城县人民政府办公室               </w:t>
      </w:r>
      <w:r>
        <w:rPr>
          <w:rFonts w:hint="eastAsia" w:ascii="仿宋_GB2312"/>
          <w:sz w:val="30"/>
          <w:szCs w:val="30"/>
          <w:lang w:val="en-US" w:eastAsia="zh-CN"/>
        </w:rPr>
        <w:t>2025</w:t>
      </w:r>
      <w:r>
        <w:rPr>
          <w:rFonts w:hint="eastAsia" w:ascii="仿宋_GB2312" w:eastAsia="仿宋_GB2312"/>
          <w:sz w:val="30"/>
          <w:szCs w:val="30"/>
        </w:rPr>
        <w:t>年</w:t>
      </w:r>
      <w:r>
        <w:rPr>
          <w:rFonts w:hint="eastAsia" w:ascii="仿宋_GB2312"/>
          <w:sz w:val="30"/>
          <w:szCs w:val="30"/>
          <w:lang w:val="en-US" w:eastAsia="zh-CN"/>
        </w:rPr>
        <w:t>1</w:t>
      </w:r>
      <w:r>
        <w:rPr>
          <w:rFonts w:hint="eastAsia" w:ascii="仿宋_GB2312" w:eastAsia="仿宋_GB2312"/>
          <w:sz w:val="30"/>
          <w:szCs w:val="30"/>
        </w:rPr>
        <w:t>月</w:t>
      </w:r>
      <w:r>
        <w:rPr>
          <w:rFonts w:hint="eastAsia" w:ascii="仿宋_GB2312"/>
          <w:sz w:val="30"/>
          <w:szCs w:val="30"/>
          <w:lang w:val="en-US" w:eastAsia="zh-CN"/>
        </w:rPr>
        <w:t>10</w:t>
      </w:r>
      <w:r>
        <w:rPr>
          <w:rFonts w:hint="eastAsia" w:ascii="仿宋_GB2312" w:eastAsia="仿宋_GB2312"/>
          <w:sz w:val="30"/>
          <w:szCs w:val="30"/>
        </w:rPr>
        <w:t>日印发</w:t>
      </w:r>
      <w:r>
        <w:rPr>
          <w:rFonts w:ascii="黑体" w:eastAsia="黑体"/>
          <w:b/>
          <w:sz w:val="32"/>
          <w:szCs w:val="32"/>
        </w:rPr>
        <mc:AlternateContent>
          <mc:Choice Requires="wps">
            <w:drawing>
              <wp:anchor distT="0" distB="0" distL="114300" distR="114300" simplePos="0" relativeHeight="251662336" behindDoc="0" locked="1" layoutInCell="1" allowOverlap="0">
                <wp:simplePos x="0" y="0"/>
                <wp:positionH relativeFrom="column">
                  <wp:posOffset>0</wp:posOffset>
                </wp:positionH>
                <wp:positionV relativeFrom="paragraph">
                  <wp:posOffset>400685</wp:posOffset>
                </wp:positionV>
                <wp:extent cx="5615940" cy="0"/>
                <wp:effectExtent l="0" t="9525" r="7620" b="13335"/>
                <wp:wrapNone/>
                <wp:docPr id="3" name="直线 8"/>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0pt;margin-top:31.55pt;height:0pt;width:442.2pt;z-index:251662336;mso-width-relative:page;mso-height-relative:page;" filled="f" stroked="t" coordsize="21600,21600" o:allowoverlap="f" o:gfxdata="UEsDBAoAAAAAAIdO4kAAAAAAAAAAAAAAAAAEAAAAZHJzL1BLAwQUAAAACACHTuJAj71zrdMAAAAG&#10;AQAADwAAAGRycy9kb3ducmV2LnhtbE2PwU7DMAyG70i8Q2QkbiwtlCmUppOYxGU3ygQcvSa0FYlT&#10;NVm3vj1GHOBo/78+f642Z+/EbKc4BNKQrzIQltpgBuo07F+fbxSImJAMukBWw2IjbOrLiwpLE070&#10;YucmdYIhFEvU0Kc0llLGtrce4yqMljj7DJPHxOPUSTPhieHeydssW0uPA/GFHke77W371Rw9U+7f&#10;1dMO1X5ZXPPxUGzfdjN5ra+v8uwRRLLn9FeGH31Wh5qdDuFIJgqngR9JGtZ3OQhOlSoKEIffhawr&#10;+V+//gZQSwMEFAAAAAgAh07iQJxoErvOAQAAjgMAAA4AAABkcnMvZTJvRG9jLnhtbK1TS44TMRDd&#10;I3EHy3vSnYGMZlrpzGLCsEEQieEAFX+6LfknlyednIVrsGLDceYalJ1Mhs8GIbJwyq7yq/eeq5c3&#10;e2fZTiU0wfd8Pms5U14EafzQ88/3d6+uOMMMXoINXvX8oJDfrF6+WE6xUxdhDFaqxAjEYzfFno85&#10;x65pUIzKAc5CVJ6SOiQHmbZpaGSCidCdbS7a9rKZQpIxBaEQ6XR9TPJVxddaifxRa1SZ2Z4Tt1zX&#10;VNdtWZvVErohQRyNONGAf2DhwHhqeoZaQwb2kMwfUM6IFDDoPBPBNUFrI1TVQGrm7W9qPo0QVdVC&#10;5mA824T/D1Z82G0SM7Lnrznz4OiJHr98ffz2nV0Vb6aIHZXc+k067TBuUhG618mVf5LA9tXPw9lP&#10;tc9M0OHicr64fkO2i6dc83wxJszvVHCsBD23xhep0MHuPWZqRqVPJeXYejbRgF23i4IHNCraQqbQ&#10;RSKPfqiXMVgj74y15QqmYXtrE9tBefz6K5oI+Jey0mUNOB7rauo4FqMC+dZLlg+RbPE0v7xwcEpy&#10;ZhWNe4kIELoMxv5NJbW2nhgUW49Glmgb5IEe4SEmM4xkxbyyLBl69Mr3NKBlqn7eV6Tnz2j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I+9c63TAAAABgEAAA8AAAAAAAAAAQAgAAAAIgAAAGRycy9k&#10;b3ducmV2LnhtbFBLAQIUABQAAAAIAIdO4kCcaBK7zgEAAI4DAAAOAAAAAAAAAAEAIAAAACIBAABk&#10;cnMvZTJvRG9jLnhtbFBLBQYAAAAABgAGAFkBAABiBQAAAAA=&#10;">
                <v:fill on="f" focussize="0,0"/>
                <v:stroke weight="1.5pt" color="#000000" joinstyle="round"/>
                <v:imagedata o:title=""/>
                <o:lock v:ext="edit" aspectratio="f"/>
                <w10:anchorlock/>
              </v:line>
            </w:pict>
          </mc:Fallback>
        </mc:AlternateContent>
      </w:r>
    </w:p>
    <w:p>
      <w:pPr>
        <w:keepNext w:val="0"/>
        <w:keepLines w:val="0"/>
        <w:pageBreakBefore w:val="0"/>
        <w:widowControl w:val="0"/>
        <w:kinsoku/>
        <w:wordWrap/>
        <w:overflowPunct/>
        <w:topLinePunct w:val="0"/>
        <w:autoSpaceDE/>
        <w:autoSpaceDN/>
        <w:bidi w:val="0"/>
        <w:adjustRightInd/>
        <w:snapToGrid/>
        <w:spacing w:line="20" w:lineRule="exact"/>
        <w:textAlignment w:val="auto"/>
      </w:pPr>
    </w:p>
    <w:sectPr>
      <w:footerReference r:id="rId3" w:type="default"/>
      <w:footerReference r:id="rId4" w:type="even"/>
      <w:pgSz w:w="11906" w:h="16838"/>
      <w:pgMar w:top="2098" w:right="1474" w:bottom="1985" w:left="1588" w:header="0" w:footer="1701" w:gutter="0"/>
      <w:pgNumType w:fmt="decimal"/>
      <w:cols w:space="720" w:num="1"/>
      <w:docGrid w:type="lines" w:linePitch="6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69215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Style w:val="14"/>
                              <w:rFonts w:hint="eastAsia" w:ascii="仿宋_GB2312" w:hAnsi="仿宋_GB2312" w:eastAsia="仿宋_GB2312" w:cs="仿宋_GB2312"/>
                              <w:sz w:val="28"/>
                              <w:szCs w:val="24"/>
                            </w:rPr>
                          </w:pPr>
                          <w:r>
                            <w:rPr>
                              <w:rStyle w:val="14"/>
                              <w:rFonts w:hint="eastAsia" w:ascii="仿宋_GB2312" w:hAnsi="仿宋_GB2312" w:eastAsia="仿宋_GB2312" w:cs="仿宋_GB2312"/>
                              <w:sz w:val="28"/>
                              <w:szCs w:val="24"/>
                            </w:rPr>
                            <w:t xml:space="preserve">— </w:t>
                          </w:r>
                          <w:r>
                            <w:rPr>
                              <w:rFonts w:hint="eastAsia" w:ascii="仿宋_GB2312" w:hAnsi="仿宋_GB2312" w:eastAsia="仿宋_GB2312" w:cs="仿宋_GB2312"/>
                              <w:sz w:val="28"/>
                              <w:szCs w:val="24"/>
                            </w:rPr>
                            <w:fldChar w:fldCharType="begin"/>
                          </w:r>
                          <w:r>
                            <w:rPr>
                              <w:rStyle w:val="14"/>
                              <w:rFonts w:hint="eastAsia" w:ascii="仿宋_GB2312" w:hAnsi="仿宋_GB2312" w:eastAsia="仿宋_GB2312" w:cs="仿宋_GB2312"/>
                              <w:sz w:val="28"/>
                              <w:szCs w:val="24"/>
                            </w:rPr>
                            <w:instrText xml:space="preserve">PAGE  </w:instrText>
                          </w:r>
                          <w:r>
                            <w:rPr>
                              <w:rFonts w:hint="eastAsia" w:ascii="仿宋_GB2312" w:hAnsi="仿宋_GB2312" w:eastAsia="仿宋_GB2312" w:cs="仿宋_GB2312"/>
                              <w:sz w:val="28"/>
                              <w:szCs w:val="24"/>
                            </w:rPr>
                            <w:fldChar w:fldCharType="separate"/>
                          </w:r>
                          <w:r>
                            <w:rPr>
                              <w:rStyle w:val="14"/>
                              <w:rFonts w:hint="eastAsia" w:ascii="仿宋_GB2312" w:hAnsi="仿宋_GB2312" w:eastAsia="仿宋_GB2312" w:cs="仿宋_GB2312"/>
                              <w:sz w:val="28"/>
                              <w:szCs w:val="24"/>
                            </w:rPr>
                            <w:t>1</w:t>
                          </w:r>
                          <w:r>
                            <w:rPr>
                              <w:rFonts w:hint="eastAsia" w:ascii="仿宋_GB2312" w:hAnsi="仿宋_GB2312" w:eastAsia="仿宋_GB2312" w:cs="仿宋_GB2312"/>
                              <w:sz w:val="28"/>
                              <w:szCs w:val="24"/>
                            </w:rPr>
                            <w:fldChar w:fldCharType="end"/>
                          </w:r>
                          <w:r>
                            <w:rPr>
                              <w:rStyle w:val="14"/>
                              <w:rFonts w:hint="eastAsia" w:ascii="仿宋_GB2312" w:hAnsi="仿宋_GB2312" w:eastAsia="仿宋_GB2312" w:cs="仿宋_GB2312"/>
                              <w:sz w:val="28"/>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5.45pt;height:144pt;width:144pt;mso-position-horizontal:outside;mso-position-horizontal-relative:margin;mso-wrap-style:none;z-index:251659264;mso-width-relative:page;mso-height-relative:page;" filled="f" stroked="f" coordsize="21600,21600" o:gfxdata="UEsDBAoAAAAAAIdO4kAAAAAAAAAAAAAAAAAEAAAAZHJzL1BLAwQUAAAACACHTuJAw7y+utQAAAAH&#10;AQAADwAAAGRycy9kb3ducmV2LnhtbE2PQU/DMAyF70j8h8hI3Fi6gVBbmk5iohyRWDlwzBrTdkuc&#10;Ksm68u8xJ7jZ71nP36u2i7NixhBHTwrWqwwEUufNSL2Cj7a5y0HEpMlo6wkVfGOEbX19VenS+Au9&#10;47xPveAQiqVWMKQ0lVLGbkCn48pPSOx9+eB04jX00gR94XBn5SbLHqXTI/GHQU+4G7A77c9Owa5p&#10;2zBjDPYTX5v749vzA74sSt3erLMnEAmX9HcMv/iMDjUzHfyZTBRWARdJrGYFCHY3ec7CgYciL0DW&#10;lfzPX/8AUEsDBBQAAAAIAIdO4kBe0JkVFAIAABMEAAAOAAAAZHJzL2Uyb0RvYy54bWytU02O0zAU&#10;3iNxB8t7mrSoo6pqOiozKkKqmJEKYu06dmPJ9rNst0k5ANyAFRv2nKvnmGen6SBghdg4X/z+v/d5&#10;cdsZTY7CBwW2ouNRSYmwHGpl9xX9+GH9akZJiMzWTIMVFT2JQG+XL18sWjcXE2hA18ITTGLDvHUV&#10;bWJ086IIvBGGhRE4YdEowRsW8dfvi9qzFrMbXUzK8qZowdfOAxch4O19b6TLnF9KweODlEFEoiuK&#10;vcV8+nzu0lksF2y+98w1il/aYP/QhWHKYtFrqnsWGTl49Ucqo7iHADKOOJgCpFRc5BlwmnH52zTb&#10;hjmRZ0FygrvSFP5fWv7++OiJqis6pcQygys6f/t6/v7z/OMLmSZ6Whfm6LV16Be7N9Dhmof7gJdp&#10;6k56k744D0E7En26kiu6SHgKmk1msxJNHG3DD+YvnsOdD/GtAEMSqKjH7WVS2XETYu86uKRqFtZK&#10;67xBbUlb0ZvX0zIHXC2YXFuskYbom00odrvuMtkO6hMO5qFXRnB8rbD4hoX4yDxKARtGeccHPKQG&#10;LAIXREkD/vPf7pM/bgitlLQorYpa1D4l+p3FzSUVDsAPYDcAezB3gFod47NxPEMM8FEPUHown1Dz&#10;q1QDTcxyrFTROMC72Msb3wwXq1V2Ojiv9k0fgLpzLG7s1vFUJhEZ3OoQkczMcSKoZ+XCGyovb+ny&#10;SpK0f/3PXs9vefk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7y+utQAAAAHAQAADwAAAAAAAAAB&#10;ACAAAAAiAAAAZHJzL2Rvd25yZXYueG1sUEsBAhQAFAAAAAgAh07iQF7QmRUUAgAAEwQAAA4AAAAA&#10;AAAAAQAgAAAAIwEAAGRycy9lMm9Eb2MueG1sUEsFBgAAAAAGAAYAWQEAAKkFAAAAAA==&#10;">
              <v:fill on="f" focussize="0,0"/>
              <v:stroke on="f" weight="0.5pt"/>
              <v:imagedata o:title=""/>
              <o:lock v:ext="edit" aspectratio="f"/>
              <v:textbox inset="0mm,0mm,0mm,0mm" style="mso-fit-shape-to-text:t;">
                <w:txbxContent>
                  <w:p>
                    <w:pPr>
                      <w:pStyle w:val="7"/>
                      <w:rPr>
                        <w:rStyle w:val="14"/>
                        <w:rFonts w:hint="eastAsia" w:ascii="仿宋_GB2312" w:hAnsi="仿宋_GB2312" w:eastAsia="仿宋_GB2312" w:cs="仿宋_GB2312"/>
                        <w:sz w:val="28"/>
                        <w:szCs w:val="24"/>
                      </w:rPr>
                    </w:pPr>
                    <w:r>
                      <w:rPr>
                        <w:rStyle w:val="14"/>
                        <w:rFonts w:hint="eastAsia" w:ascii="仿宋_GB2312" w:hAnsi="仿宋_GB2312" w:eastAsia="仿宋_GB2312" w:cs="仿宋_GB2312"/>
                        <w:sz w:val="28"/>
                        <w:szCs w:val="24"/>
                      </w:rPr>
                      <w:t xml:space="preserve">— </w:t>
                    </w:r>
                    <w:r>
                      <w:rPr>
                        <w:rFonts w:hint="eastAsia" w:ascii="仿宋_GB2312" w:hAnsi="仿宋_GB2312" w:eastAsia="仿宋_GB2312" w:cs="仿宋_GB2312"/>
                        <w:sz w:val="28"/>
                        <w:szCs w:val="24"/>
                      </w:rPr>
                      <w:fldChar w:fldCharType="begin"/>
                    </w:r>
                    <w:r>
                      <w:rPr>
                        <w:rStyle w:val="14"/>
                        <w:rFonts w:hint="eastAsia" w:ascii="仿宋_GB2312" w:hAnsi="仿宋_GB2312" w:eastAsia="仿宋_GB2312" w:cs="仿宋_GB2312"/>
                        <w:sz w:val="28"/>
                        <w:szCs w:val="24"/>
                      </w:rPr>
                      <w:instrText xml:space="preserve">PAGE  </w:instrText>
                    </w:r>
                    <w:r>
                      <w:rPr>
                        <w:rFonts w:hint="eastAsia" w:ascii="仿宋_GB2312" w:hAnsi="仿宋_GB2312" w:eastAsia="仿宋_GB2312" w:cs="仿宋_GB2312"/>
                        <w:sz w:val="28"/>
                        <w:szCs w:val="24"/>
                      </w:rPr>
                      <w:fldChar w:fldCharType="separate"/>
                    </w:r>
                    <w:r>
                      <w:rPr>
                        <w:rStyle w:val="14"/>
                        <w:rFonts w:hint="eastAsia" w:ascii="仿宋_GB2312" w:hAnsi="仿宋_GB2312" w:eastAsia="仿宋_GB2312" w:cs="仿宋_GB2312"/>
                        <w:sz w:val="28"/>
                        <w:szCs w:val="24"/>
                      </w:rPr>
                      <w:t>1</w:t>
                    </w:r>
                    <w:r>
                      <w:rPr>
                        <w:rFonts w:hint="eastAsia" w:ascii="仿宋_GB2312" w:hAnsi="仿宋_GB2312" w:eastAsia="仿宋_GB2312" w:cs="仿宋_GB2312"/>
                        <w:sz w:val="28"/>
                        <w:szCs w:val="24"/>
                      </w:rPr>
                      <w:fldChar w:fldCharType="end"/>
                    </w:r>
                    <w:r>
                      <w:rPr>
                        <w:rStyle w:val="14"/>
                        <w:rFonts w:hint="eastAsia" w:ascii="仿宋_GB2312" w:hAnsi="仿宋_GB2312" w:eastAsia="仿宋_GB2312" w:cs="仿宋_GB2312"/>
                        <w:sz w:val="28"/>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jc w:val="right"/>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69215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Style w:val="14"/>
                              <w:sz w:val="28"/>
                              <w:szCs w:val="28"/>
                            </w:rPr>
                          </w:pPr>
                          <w:r>
                            <w:rPr>
                              <w:rStyle w:val="14"/>
                              <w:rFonts w:hint="eastAsia"/>
                              <w:sz w:val="28"/>
                              <w:szCs w:val="28"/>
                            </w:rPr>
                            <w:t xml:space="preserve">— </w:t>
                          </w:r>
                          <w:r>
                            <w:rPr>
                              <w:sz w:val="28"/>
                              <w:szCs w:val="28"/>
                            </w:rPr>
                            <w:fldChar w:fldCharType="begin"/>
                          </w:r>
                          <w:r>
                            <w:rPr>
                              <w:rStyle w:val="14"/>
                              <w:sz w:val="28"/>
                              <w:szCs w:val="28"/>
                            </w:rPr>
                            <w:instrText xml:space="preserve">PAGE  </w:instrText>
                          </w:r>
                          <w:r>
                            <w:rPr>
                              <w:sz w:val="28"/>
                              <w:szCs w:val="28"/>
                            </w:rPr>
                            <w:fldChar w:fldCharType="separate"/>
                          </w:r>
                          <w:r>
                            <w:rPr>
                              <w:rStyle w:val="14"/>
                              <w:sz w:val="28"/>
                              <w:szCs w:val="28"/>
                            </w:rPr>
                            <w:t>2</w:t>
                          </w:r>
                          <w:r>
                            <w:rPr>
                              <w:sz w:val="28"/>
                              <w:szCs w:val="28"/>
                            </w:rPr>
                            <w:fldChar w:fldCharType="end"/>
                          </w:r>
                          <w:r>
                            <w:rPr>
                              <w:rStyle w:val="14"/>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5.45pt;height:144pt;width:144pt;mso-position-horizontal:outside;mso-position-horizontal-relative:margin;mso-wrap-style:none;z-index:251660288;mso-width-relative:page;mso-height-relative:page;" filled="f" stroked="f" coordsize="21600,21600" o:gfxdata="UEsDBAoAAAAAAIdO4kAAAAAAAAAAAAAAAAAEAAAAZHJzL1BLAwQUAAAACACHTuJAw7y+utQAAAAH&#10;AQAADwAAAGRycy9kb3ducmV2LnhtbE2PQU/DMAyF70j8h8hI3Fi6gVBbmk5iohyRWDlwzBrTdkuc&#10;Ksm68u8xJ7jZ71nP36u2i7NixhBHTwrWqwwEUufNSL2Cj7a5y0HEpMlo6wkVfGOEbX19VenS+Au9&#10;47xPveAQiqVWMKQ0lVLGbkCn48pPSOx9+eB04jX00gR94XBn5SbLHqXTI/GHQU+4G7A77c9Owa5p&#10;2zBjDPYTX5v749vzA74sSt3erLMnEAmX9HcMv/iMDjUzHfyZTBRWARdJrGYFCHY3ec7CgYciL0DW&#10;lfzPX/8AUEsDBBQAAAAIAIdO4kAR1yZaEwIAABMEAAAOAAAAZHJzL2Uyb0RvYy54bWytU8uO0zAU&#10;3SPxD5b3NGkRVVU1HZUZFSFVzEgFsXYdp4nkl2y3SfkA+ANWbNjzXf0Ojp2mg5hZITbOje/znHu8&#10;uOmUJEfhfGN0QcejnBKhuSkbvS/op4/rVzNKfGC6ZNJoUdCT8PRm+fLForVzMTG1kaVwBEW0n7e2&#10;oHUIdp5lntdCMT8yVmg4K+MUC/h1+6x0rEV1JbNJnk+z1rjSOsOF97i96510mepXleDhvqq8CEQW&#10;FLOFdLp07uKZLRdsvnfM1g2/jMH+YQrFGo2m11J3LDBycM2TUqrhznhThRE3KjNV1XCRMADNOP8L&#10;zbZmViQsIMfbK03+/5XlH44PjjRlQaeUaKawovP3b+cfv84/v5JppKe1fo6orUVc6N6aDmse7j0u&#10;I+qucip+gYfAD6JPV3JFFwiPSbPJbJbDxeEbflA/e0y3zod3wigSjYI6bC+Ryo4bH/rQISR202bd&#10;SJk2KDVpAeH1mzwlXD0oLjV6RBD9sNEK3a67INuZ8gRgzvTK8JavGzTfMB8emIMUMDDkHe5xVNKg&#10;iblYlNTGfXnuPsZjQ/BS0kJaBdXQPiXyvcbmogoHww3GbjD0Qd0aaHWMZ2N5MpHgghzMyhn1GZpf&#10;xR5wMc3RqaBhMG9DL2+8GS5WqxR0sK7Z130CdGdZ2Oit5bFNJNLb1SGAzMRxJKhn5cIblJe2dHkl&#10;Udp//qeox7e8/A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DvL661AAAAAcBAAAPAAAAAAAAAAEA&#10;IAAAACIAAABkcnMvZG93bnJldi54bWxQSwECFAAUAAAACACHTuJAEdcmWhMCAAATBAAADgAAAAAA&#10;AAABACAAAAAjAQAAZHJzL2Uyb0RvYy54bWxQSwUGAAAAAAYABgBZAQAAqAUAAAAA&#10;">
              <v:fill on="f" focussize="0,0"/>
              <v:stroke on="f" weight="0.5pt"/>
              <v:imagedata o:title=""/>
              <o:lock v:ext="edit" aspectratio="f"/>
              <v:textbox inset="0mm,0mm,0mm,0mm" style="mso-fit-shape-to-text:t;">
                <w:txbxContent>
                  <w:p>
                    <w:pPr>
                      <w:pStyle w:val="7"/>
                      <w:rPr>
                        <w:rStyle w:val="14"/>
                        <w:sz w:val="28"/>
                        <w:szCs w:val="28"/>
                      </w:rPr>
                    </w:pPr>
                    <w:r>
                      <w:rPr>
                        <w:rStyle w:val="14"/>
                        <w:rFonts w:hint="eastAsia"/>
                        <w:sz w:val="28"/>
                        <w:szCs w:val="28"/>
                      </w:rPr>
                      <w:t xml:space="preserve">— </w:t>
                    </w:r>
                    <w:r>
                      <w:rPr>
                        <w:sz w:val="28"/>
                        <w:szCs w:val="28"/>
                      </w:rPr>
                      <w:fldChar w:fldCharType="begin"/>
                    </w:r>
                    <w:r>
                      <w:rPr>
                        <w:rStyle w:val="14"/>
                        <w:sz w:val="28"/>
                        <w:szCs w:val="28"/>
                      </w:rPr>
                      <w:instrText xml:space="preserve">PAGE  </w:instrText>
                    </w:r>
                    <w:r>
                      <w:rPr>
                        <w:sz w:val="28"/>
                        <w:szCs w:val="28"/>
                      </w:rPr>
                      <w:fldChar w:fldCharType="separate"/>
                    </w:r>
                    <w:r>
                      <w:rPr>
                        <w:rStyle w:val="14"/>
                        <w:sz w:val="28"/>
                        <w:szCs w:val="28"/>
                      </w:rPr>
                      <w:t>2</w:t>
                    </w:r>
                    <w:r>
                      <w:rPr>
                        <w:sz w:val="28"/>
                        <w:szCs w:val="28"/>
                      </w:rPr>
                      <w:fldChar w:fldCharType="end"/>
                    </w:r>
                    <w:r>
                      <w:rPr>
                        <w:rStyle w:val="14"/>
                        <w:rFonts w:hint="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FC458"/>
    <w:multiLevelType w:val="singleLevel"/>
    <w:tmpl w:val="1AEFC458"/>
    <w:lvl w:ilvl="0" w:tentative="0">
      <w:start w:val="6"/>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105"/>
  <w:drawingGridVerticalSpacing w:val="33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xZmU3ZmE0N2ZiODY4NDk2ZmZlZTdjMWM3ZTBmNGUifQ=="/>
  </w:docVars>
  <w:rsids>
    <w:rsidRoot w:val="45000045"/>
    <w:rsid w:val="00021DFB"/>
    <w:rsid w:val="00027D8E"/>
    <w:rsid w:val="000305E4"/>
    <w:rsid w:val="00037EFC"/>
    <w:rsid w:val="00052244"/>
    <w:rsid w:val="0007140C"/>
    <w:rsid w:val="0009011C"/>
    <w:rsid w:val="00097D79"/>
    <w:rsid w:val="000C12AD"/>
    <w:rsid w:val="000F10FB"/>
    <w:rsid w:val="000F225D"/>
    <w:rsid w:val="0012376B"/>
    <w:rsid w:val="001238EE"/>
    <w:rsid w:val="001330B2"/>
    <w:rsid w:val="0013588F"/>
    <w:rsid w:val="00195876"/>
    <w:rsid w:val="001B5F94"/>
    <w:rsid w:val="002213E5"/>
    <w:rsid w:val="0023269D"/>
    <w:rsid w:val="00296C01"/>
    <w:rsid w:val="002C0A8A"/>
    <w:rsid w:val="002E0D9B"/>
    <w:rsid w:val="002E7696"/>
    <w:rsid w:val="00306443"/>
    <w:rsid w:val="00307FB2"/>
    <w:rsid w:val="003B5E86"/>
    <w:rsid w:val="003C40E4"/>
    <w:rsid w:val="003F1EA3"/>
    <w:rsid w:val="003F6E8F"/>
    <w:rsid w:val="004255FF"/>
    <w:rsid w:val="004500A1"/>
    <w:rsid w:val="0045231A"/>
    <w:rsid w:val="00465839"/>
    <w:rsid w:val="00473DBB"/>
    <w:rsid w:val="004857C6"/>
    <w:rsid w:val="004B7BAC"/>
    <w:rsid w:val="004C202A"/>
    <w:rsid w:val="004D30F1"/>
    <w:rsid w:val="004D7235"/>
    <w:rsid w:val="004F2322"/>
    <w:rsid w:val="0050334F"/>
    <w:rsid w:val="00522B39"/>
    <w:rsid w:val="0055166A"/>
    <w:rsid w:val="005700FF"/>
    <w:rsid w:val="00591A6D"/>
    <w:rsid w:val="005C1572"/>
    <w:rsid w:val="005C5284"/>
    <w:rsid w:val="005D71A4"/>
    <w:rsid w:val="005F55F5"/>
    <w:rsid w:val="006111F3"/>
    <w:rsid w:val="0062399F"/>
    <w:rsid w:val="00624372"/>
    <w:rsid w:val="00642B6F"/>
    <w:rsid w:val="00650AD1"/>
    <w:rsid w:val="0066535A"/>
    <w:rsid w:val="00675891"/>
    <w:rsid w:val="0067759E"/>
    <w:rsid w:val="006D6202"/>
    <w:rsid w:val="006E4B17"/>
    <w:rsid w:val="006F6BD5"/>
    <w:rsid w:val="00702A6B"/>
    <w:rsid w:val="00724098"/>
    <w:rsid w:val="00743AA2"/>
    <w:rsid w:val="007616AD"/>
    <w:rsid w:val="0076276A"/>
    <w:rsid w:val="0076308E"/>
    <w:rsid w:val="00764339"/>
    <w:rsid w:val="0078530E"/>
    <w:rsid w:val="007B2996"/>
    <w:rsid w:val="007B5D86"/>
    <w:rsid w:val="007C6D4D"/>
    <w:rsid w:val="007E3538"/>
    <w:rsid w:val="00822C75"/>
    <w:rsid w:val="00833344"/>
    <w:rsid w:val="00853787"/>
    <w:rsid w:val="00882779"/>
    <w:rsid w:val="00885EF9"/>
    <w:rsid w:val="008D62C9"/>
    <w:rsid w:val="008E76DA"/>
    <w:rsid w:val="008F10B4"/>
    <w:rsid w:val="008F2B19"/>
    <w:rsid w:val="0090031D"/>
    <w:rsid w:val="009113A9"/>
    <w:rsid w:val="00914D1A"/>
    <w:rsid w:val="00923A04"/>
    <w:rsid w:val="00947F32"/>
    <w:rsid w:val="00970542"/>
    <w:rsid w:val="009757DB"/>
    <w:rsid w:val="00981F4E"/>
    <w:rsid w:val="009A4F3E"/>
    <w:rsid w:val="009B4A99"/>
    <w:rsid w:val="00A042DD"/>
    <w:rsid w:val="00A04AFF"/>
    <w:rsid w:val="00A37666"/>
    <w:rsid w:val="00A57A92"/>
    <w:rsid w:val="00A60EDE"/>
    <w:rsid w:val="00A82696"/>
    <w:rsid w:val="00A87D96"/>
    <w:rsid w:val="00A906BA"/>
    <w:rsid w:val="00A92774"/>
    <w:rsid w:val="00AC4C20"/>
    <w:rsid w:val="00B13A31"/>
    <w:rsid w:val="00B1486C"/>
    <w:rsid w:val="00B25FD4"/>
    <w:rsid w:val="00B401B9"/>
    <w:rsid w:val="00B459AE"/>
    <w:rsid w:val="00B475A0"/>
    <w:rsid w:val="00B9612F"/>
    <w:rsid w:val="00BA1FF1"/>
    <w:rsid w:val="00BB3E04"/>
    <w:rsid w:val="00BB404F"/>
    <w:rsid w:val="00BC6ADD"/>
    <w:rsid w:val="00BD3721"/>
    <w:rsid w:val="00BE72A5"/>
    <w:rsid w:val="00BF1B53"/>
    <w:rsid w:val="00C03BB4"/>
    <w:rsid w:val="00C06249"/>
    <w:rsid w:val="00C06F89"/>
    <w:rsid w:val="00C56EA6"/>
    <w:rsid w:val="00C8223E"/>
    <w:rsid w:val="00C92D4E"/>
    <w:rsid w:val="00CA7FC5"/>
    <w:rsid w:val="00CD64B7"/>
    <w:rsid w:val="00D33D40"/>
    <w:rsid w:val="00D731BC"/>
    <w:rsid w:val="00D77F64"/>
    <w:rsid w:val="00D835A6"/>
    <w:rsid w:val="00E27D05"/>
    <w:rsid w:val="00E735C7"/>
    <w:rsid w:val="00E95F13"/>
    <w:rsid w:val="00EA1D7F"/>
    <w:rsid w:val="00EB208A"/>
    <w:rsid w:val="00ED02C9"/>
    <w:rsid w:val="00EE2AC5"/>
    <w:rsid w:val="00EE34CC"/>
    <w:rsid w:val="00EE5F92"/>
    <w:rsid w:val="00F000B8"/>
    <w:rsid w:val="00F06572"/>
    <w:rsid w:val="00F13BF3"/>
    <w:rsid w:val="00F2146C"/>
    <w:rsid w:val="00F32883"/>
    <w:rsid w:val="00F544CA"/>
    <w:rsid w:val="00F839E8"/>
    <w:rsid w:val="00F94DBD"/>
    <w:rsid w:val="00FA17E4"/>
    <w:rsid w:val="00FA1BE8"/>
    <w:rsid w:val="00FA7436"/>
    <w:rsid w:val="00FE6D83"/>
    <w:rsid w:val="037D672D"/>
    <w:rsid w:val="30DE25CB"/>
    <w:rsid w:val="373F4329"/>
    <w:rsid w:val="3BD7E32A"/>
    <w:rsid w:val="45000045"/>
    <w:rsid w:val="49BF6310"/>
    <w:rsid w:val="5777E136"/>
    <w:rsid w:val="5FEF47C5"/>
    <w:rsid w:val="6F7F0A9E"/>
    <w:rsid w:val="700E2FF3"/>
    <w:rsid w:val="701C6B33"/>
    <w:rsid w:val="774B8D15"/>
    <w:rsid w:val="77B3821B"/>
    <w:rsid w:val="77F79D04"/>
    <w:rsid w:val="7FDE55B5"/>
    <w:rsid w:val="9F7FEA35"/>
    <w:rsid w:val="BBFFF62D"/>
    <w:rsid w:val="BDEE4AFD"/>
    <w:rsid w:val="CFBB0447"/>
    <w:rsid w:val="EB059124"/>
    <w:rsid w:val="EDBF16AF"/>
    <w:rsid w:val="EF3FABE5"/>
    <w:rsid w:val="EFFFE4A3"/>
    <w:rsid w:val="FAEB5AEF"/>
    <w:rsid w:val="FBDFE96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link w:val="16"/>
    <w:semiHidden/>
    <w:unhideWhenUsed/>
    <w:qFormat/>
    <w:uiPriority w:val="0"/>
    <w:pPr>
      <w:keepNext/>
      <w:keepLines/>
      <w:spacing w:beforeLines="0" w:beforeAutospacing="0" w:afterLines="0" w:afterAutospacing="0" w:line="560" w:lineRule="exact"/>
      <w:ind w:firstLine="964" w:firstLineChars="200"/>
      <w:outlineLvl w:val="1"/>
    </w:pPr>
    <w:rPr>
      <w:rFonts w:ascii="Arial" w:hAnsi="Arial" w:eastAsia="黑体" w:cstheme="minorBidi"/>
      <w:sz w:val="32"/>
      <w:szCs w:val="24"/>
    </w:rPr>
  </w:style>
  <w:style w:type="character" w:default="1" w:styleId="13">
    <w:name w:val="Default Paragraph Font"/>
    <w:unhideWhenUsed/>
    <w:qFormat/>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3">
    <w:name w:val="Body Text"/>
    <w:basedOn w:val="1"/>
    <w:next w:val="4"/>
    <w:unhideWhenUsed/>
    <w:qFormat/>
    <w:uiPriority w:val="99"/>
    <w:pPr>
      <w:spacing w:after="120" w:afterLines="0"/>
    </w:pPr>
    <w:rPr>
      <w:rFonts w:ascii="Times New Roman" w:hAnsi="Times New Roman" w:cs="Times New Roman"/>
      <w:szCs w:val="28"/>
      <w:lang w:bidi="th-TH"/>
    </w:rPr>
  </w:style>
  <w:style w:type="paragraph" w:customStyle="1" w:styleId="4">
    <w:name w:val="_Style 4"/>
    <w:basedOn w:val="1"/>
    <w:next w:val="1"/>
    <w:qFormat/>
    <w:uiPriority w:val="0"/>
    <w:pPr>
      <w:wordWrap w:val="0"/>
      <w:spacing w:before="360" w:beforeLines="0" w:after="360" w:afterLines="0"/>
      <w:ind w:left="950" w:right="950"/>
      <w:jc w:val="center"/>
    </w:pPr>
    <w:rPr>
      <w:rFonts w:ascii="Times New Roman" w:hAnsi="Times New Roman" w:eastAsia="宋体" w:cs="Times New Roman"/>
      <w:i/>
    </w:rPr>
  </w:style>
  <w:style w:type="paragraph" w:styleId="5">
    <w:name w:val="Date"/>
    <w:basedOn w:val="1"/>
    <w:next w:val="1"/>
    <w:qFormat/>
    <w:uiPriority w:val="0"/>
    <w:pPr>
      <w:ind w:left="100" w:leftChars="2500"/>
    </w:pPr>
    <w:rPr>
      <w:szCs w:val="21"/>
    </w:rPr>
  </w:style>
  <w:style w:type="paragraph" w:styleId="6">
    <w:name w:val="Balloon Text"/>
    <w:basedOn w:val="1"/>
    <w:semiHidden/>
    <w:qFormat/>
    <w:uiPriority w:val="0"/>
    <w:rPr>
      <w:sz w:val="18"/>
      <w:szCs w:val="18"/>
    </w:rPr>
  </w:style>
  <w:style w:type="paragraph" w:styleId="7">
    <w:name w:val="footer"/>
    <w:basedOn w:val="1"/>
    <w:next w:val="5"/>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Title"/>
    <w:basedOn w:val="1"/>
    <w:next w:val="1"/>
    <w:link w:val="17"/>
    <w:qFormat/>
    <w:uiPriority w:val="0"/>
    <w:pPr>
      <w:spacing w:before="240" w:after="60"/>
      <w:jc w:val="center"/>
      <w:outlineLvl w:val="0"/>
    </w:pPr>
    <w:rPr>
      <w:rFonts w:ascii="Cambria" w:hAnsi="Cambria" w:eastAsia="方正小标宋简体"/>
      <w:bCs/>
      <w:sz w:val="44"/>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page number"/>
    <w:basedOn w:val="13"/>
    <w:qFormat/>
    <w:uiPriority w:val="0"/>
  </w:style>
  <w:style w:type="paragraph" w:customStyle="1" w:styleId="15">
    <w:name w:val="修改段"/>
    <w:basedOn w:val="1"/>
    <w:link w:val="29"/>
    <w:qFormat/>
    <w:uiPriority w:val="0"/>
    <w:pPr>
      <w:ind w:firstLine="0" w:firstLineChars="0"/>
    </w:pPr>
    <w:rPr>
      <w:rFonts w:hint="eastAsia" w:ascii="Times New Roman" w:hAnsi="Times New Roman"/>
      <w:color w:val="FF0000"/>
      <w:u w:val="single"/>
    </w:rPr>
  </w:style>
  <w:style w:type="character" w:customStyle="1" w:styleId="16">
    <w:name w:val="标题 2 Char"/>
    <w:link w:val="2"/>
    <w:qFormat/>
    <w:uiPriority w:val="0"/>
    <w:rPr>
      <w:rFonts w:ascii="Arial" w:hAnsi="Arial" w:eastAsia="黑体" w:cstheme="minorBidi"/>
      <w:sz w:val="32"/>
      <w:szCs w:val="24"/>
    </w:rPr>
  </w:style>
  <w:style w:type="character" w:customStyle="1" w:styleId="17">
    <w:name w:val="标题 Char"/>
    <w:basedOn w:val="13"/>
    <w:link w:val="10"/>
    <w:qFormat/>
    <w:uiPriority w:val="0"/>
    <w:rPr>
      <w:rFonts w:ascii="Cambria" w:hAnsi="Cambria" w:eastAsia="方正小标宋简体" w:cs="Times New Roman"/>
      <w:bCs/>
      <w:kern w:val="2"/>
      <w:sz w:val="44"/>
      <w:szCs w:val="32"/>
    </w:rPr>
  </w:style>
  <w:style w:type="character" w:customStyle="1" w:styleId="18">
    <w:name w:val="正文二级标题 Char"/>
    <w:basedOn w:val="13"/>
    <w:link w:val="19"/>
    <w:qFormat/>
    <w:uiPriority w:val="0"/>
    <w:rPr>
      <w:rFonts w:ascii="仿宋_GB2312" w:eastAsia="仿宋_GB2312"/>
      <w:b/>
      <w:kern w:val="2"/>
      <w:sz w:val="32"/>
      <w:szCs w:val="32"/>
    </w:rPr>
  </w:style>
  <w:style w:type="paragraph" w:customStyle="1" w:styleId="19">
    <w:name w:val="正文二级标题"/>
    <w:basedOn w:val="1"/>
    <w:link w:val="18"/>
    <w:qFormat/>
    <w:uiPriority w:val="0"/>
    <w:pPr>
      <w:spacing w:line="560" w:lineRule="exact"/>
      <w:ind w:firstLine="643" w:firstLineChars="200"/>
    </w:pPr>
    <w:rPr>
      <w:rFonts w:ascii="仿宋_GB2312" w:eastAsia="仿宋_GB2312"/>
      <w:b/>
      <w:sz w:val="32"/>
      <w:szCs w:val="32"/>
    </w:rPr>
  </w:style>
  <w:style w:type="character" w:customStyle="1" w:styleId="20">
    <w:name w:val="主送单位 Char"/>
    <w:basedOn w:val="13"/>
    <w:link w:val="21"/>
    <w:qFormat/>
    <w:uiPriority w:val="0"/>
    <w:rPr>
      <w:rFonts w:ascii="仿宋_GB2312" w:eastAsia="仿宋_GB2312"/>
      <w:kern w:val="2"/>
      <w:sz w:val="32"/>
      <w:szCs w:val="32"/>
    </w:rPr>
  </w:style>
  <w:style w:type="paragraph" w:customStyle="1" w:styleId="21">
    <w:name w:val="主送单位"/>
    <w:basedOn w:val="1"/>
    <w:link w:val="20"/>
    <w:qFormat/>
    <w:uiPriority w:val="0"/>
    <w:pPr>
      <w:spacing w:line="560" w:lineRule="exact"/>
    </w:pPr>
    <w:rPr>
      <w:rFonts w:ascii="仿宋_GB2312" w:eastAsia="仿宋_GB2312"/>
      <w:sz w:val="32"/>
      <w:szCs w:val="32"/>
    </w:rPr>
  </w:style>
  <w:style w:type="character" w:customStyle="1" w:styleId="22">
    <w:name w:val="正文格式 Char"/>
    <w:basedOn w:val="13"/>
    <w:link w:val="23"/>
    <w:qFormat/>
    <w:uiPriority w:val="0"/>
    <w:rPr>
      <w:rFonts w:ascii="仿宋_GB2312" w:eastAsia="仿宋_GB2312"/>
      <w:kern w:val="2"/>
      <w:sz w:val="32"/>
      <w:szCs w:val="32"/>
    </w:rPr>
  </w:style>
  <w:style w:type="paragraph" w:customStyle="1" w:styleId="23">
    <w:name w:val="正文格式"/>
    <w:basedOn w:val="1"/>
    <w:link w:val="22"/>
    <w:qFormat/>
    <w:uiPriority w:val="0"/>
    <w:pPr>
      <w:spacing w:line="560" w:lineRule="exact"/>
      <w:ind w:firstLine="640" w:firstLineChars="200"/>
    </w:pPr>
    <w:rPr>
      <w:rFonts w:ascii="仿宋_GB2312" w:eastAsia="仿宋_GB2312"/>
      <w:sz w:val="32"/>
      <w:szCs w:val="32"/>
    </w:rPr>
  </w:style>
  <w:style w:type="character" w:customStyle="1" w:styleId="24">
    <w:name w:val="正文一级标题 Char"/>
    <w:basedOn w:val="13"/>
    <w:link w:val="25"/>
    <w:qFormat/>
    <w:uiPriority w:val="0"/>
    <w:rPr>
      <w:rFonts w:ascii="黑体" w:eastAsia="黑体"/>
      <w:kern w:val="2"/>
      <w:sz w:val="32"/>
      <w:szCs w:val="32"/>
    </w:rPr>
  </w:style>
  <w:style w:type="paragraph" w:customStyle="1" w:styleId="25">
    <w:name w:val="正文一级标题"/>
    <w:basedOn w:val="1"/>
    <w:link w:val="24"/>
    <w:qFormat/>
    <w:uiPriority w:val="0"/>
    <w:pPr>
      <w:spacing w:line="560" w:lineRule="exact"/>
      <w:ind w:firstLine="640" w:firstLineChars="200"/>
    </w:pPr>
    <w:rPr>
      <w:rFonts w:ascii="黑体" w:eastAsia="黑体"/>
      <w:sz w:val="32"/>
      <w:szCs w:val="32"/>
    </w:rPr>
  </w:style>
  <w:style w:type="character" w:customStyle="1" w:styleId="26">
    <w:name w:val="公文标题 Char"/>
    <w:basedOn w:val="13"/>
    <w:link w:val="27"/>
    <w:qFormat/>
    <w:uiPriority w:val="0"/>
    <w:rPr>
      <w:rFonts w:ascii="方正小标宋简体" w:hAnsi="宋体" w:eastAsia="方正小标宋简体"/>
      <w:kern w:val="2"/>
      <w:sz w:val="44"/>
      <w:szCs w:val="44"/>
    </w:rPr>
  </w:style>
  <w:style w:type="paragraph" w:customStyle="1" w:styleId="27">
    <w:name w:val="公文标题"/>
    <w:basedOn w:val="1"/>
    <w:link w:val="26"/>
    <w:qFormat/>
    <w:uiPriority w:val="0"/>
    <w:pPr>
      <w:spacing w:line="662" w:lineRule="exact"/>
      <w:jc w:val="center"/>
    </w:pPr>
    <w:rPr>
      <w:rFonts w:ascii="方正小标宋简体" w:hAnsi="宋体" w:eastAsia="方正小标宋简体"/>
      <w:sz w:val="44"/>
      <w:szCs w:val="44"/>
    </w:rPr>
  </w:style>
  <w:style w:type="paragraph" w:customStyle="1" w:styleId="28">
    <w:name w:val="List Paragraph"/>
    <w:basedOn w:val="1"/>
    <w:qFormat/>
    <w:uiPriority w:val="0"/>
    <w:pPr>
      <w:ind w:firstLine="420" w:firstLineChars="200"/>
    </w:pPr>
  </w:style>
  <w:style w:type="character" w:customStyle="1" w:styleId="29">
    <w:name w:val="修改段 Char"/>
    <w:link w:val="15"/>
    <w:qFormat/>
    <w:uiPriority w:val="0"/>
    <w:rPr>
      <w:rFonts w:hint="eastAsia" w:ascii="Times New Roman" w:hAnsi="Times New Roman"/>
      <w:color w:val="FF0000"/>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gxxc\D:\&#38886;&#26611;&#26611;&#65306;&#32508;&#21512;&#31867;&#25991;&#20214;\&#25991;&#20070;&#23460;\2019&#24180;&#27169;&#26495;\&#26611;&#22478;&#25919;&#21457;2018.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柳城政发2018.dot</Template>
  <Pages>12</Pages>
  <Words>4273</Words>
  <Characters>4289</Characters>
  <Lines>3</Lines>
  <Paragraphs>1</Paragraphs>
  <TotalTime>37</TotalTime>
  <ScaleCrop>false</ScaleCrop>
  <LinksUpToDate>false</LinksUpToDate>
  <CharactersWithSpaces>4402</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2019-02-13T02:36:00Z</dcterms:created>
  <dc:creator>韦柳柳</dc:creator>
  <cp:lastModifiedBy>政府办</cp:lastModifiedBy>
  <cp:lastPrinted>2025-02-20T02:33:00Z</cp:lastPrinted>
  <dcterms:modified xsi:type="dcterms:W3CDTF">2026-09-03T03:49:56Z</dcterms:modified>
  <dc:title>柳城政办〔2013〕</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3698B3937E614E76BF9C555A96FFF11D_13</vt:lpwstr>
  </property>
</Properties>
</file>