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1A156">
      <w:pPr>
        <w:keepNext w:val="0"/>
        <w:keepLines w:val="0"/>
        <w:pageBreakBefore w:val="0"/>
        <w:widowControl w:val="0"/>
        <w:kinsoku/>
        <w:wordWrap/>
        <w:overflowPunct/>
        <w:topLinePunct w:val="0"/>
        <w:autoSpaceDE/>
        <w:autoSpaceDN/>
        <w:bidi w:val="0"/>
        <w:adjustRightInd/>
        <w:snapToGrid w:val="0"/>
        <w:spacing w:line="580" w:lineRule="exact"/>
        <w:ind w:firstLine="0" w:firstLineChars="0"/>
        <w:jc w:val="left"/>
        <w:textAlignment w:val="auto"/>
        <w:rPr>
          <w:rFonts w:hint="eastAsia" w:ascii="黑体" w:hAnsi="黑体" w:eastAsia="黑体" w:cs="黑体"/>
          <w:color w:val="auto"/>
          <w:kern w:val="0"/>
          <w:sz w:val="28"/>
          <w:szCs w:val="28"/>
          <w:highlight w:val="none"/>
          <w:u w:val="none" w:color="auto"/>
          <w:shd w:val="clear" w:color="auto" w:fill="FFFFFF"/>
          <w:lang w:val="en-US" w:eastAsia="zh-CN"/>
        </w:rPr>
      </w:pPr>
      <w:bookmarkStart w:id="0" w:name="_MON_1572155919"/>
      <w:bookmarkEnd w:id="0"/>
    </w:p>
    <w:p w14:paraId="71F45049">
      <w:pPr>
        <w:pStyle w:val="5"/>
      </w:pPr>
    </w:p>
    <w:p w14:paraId="3E5A1428"/>
    <w:p w14:paraId="3A270028">
      <w:pPr>
        <w:pStyle w:val="2"/>
      </w:pPr>
    </w:p>
    <w:p w14:paraId="5AEFDAAE">
      <w:pPr>
        <w:pStyle w:val="3"/>
      </w:pPr>
    </w:p>
    <w:p w14:paraId="542B62E6">
      <w:pPr>
        <w:ind w:firstLine="640"/>
      </w:pPr>
    </w:p>
    <w:p w14:paraId="51EAD869">
      <w:pPr>
        <w:pStyle w:val="2"/>
        <w:rPr>
          <w:highlight w:val="none"/>
        </w:rPr>
      </w:pPr>
    </w:p>
    <w:p w14:paraId="452EEB31">
      <w:pPr>
        <w:spacing w:line="240" w:lineRule="auto"/>
        <w:ind w:firstLine="0" w:firstLineChars="0"/>
        <w:jc w:val="center"/>
        <w:rPr>
          <w:rFonts w:ascii="方正小标宋简体" w:eastAsia="方正小标宋简体"/>
          <w:sz w:val="52"/>
          <w:szCs w:val="52"/>
          <w:highlight w:val="none"/>
        </w:rPr>
      </w:pPr>
      <w:r>
        <w:rPr>
          <w:rFonts w:hint="eastAsia" w:ascii="方正小标宋简体" w:eastAsia="方正小标宋简体"/>
          <w:sz w:val="52"/>
          <w:szCs w:val="52"/>
          <w:highlight w:val="none"/>
        </w:rPr>
        <w:t>柳</w:t>
      </w:r>
      <w:r>
        <w:rPr>
          <w:rFonts w:hint="eastAsia" w:ascii="方正小标宋简体" w:eastAsia="方正小标宋简体"/>
          <w:sz w:val="52"/>
          <w:szCs w:val="52"/>
          <w:highlight w:val="none"/>
          <w:lang w:val="en-US" w:eastAsia="zh-CN"/>
        </w:rPr>
        <w:t>城县</w:t>
      </w:r>
      <w:r>
        <w:rPr>
          <w:rFonts w:hint="eastAsia" w:ascii="方正小标宋简体" w:eastAsia="方正小标宋简体"/>
          <w:sz w:val="52"/>
          <w:szCs w:val="52"/>
          <w:highlight w:val="none"/>
        </w:rPr>
        <w:t>国民经济和社会发展</w:t>
      </w:r>
    </w:p>
    <w:p w14:paraId="540CE3A1">
      <w:pPr>
        <w:spacing w:line="240" w:lineRule="auto"/>
        <w:ind w:firstLine="0" w:firstLineChars="0"/>
        <w:jc w:val="center"/>
        <w:rPr>
          <w:rFonts w:ascii="方正小标宋简体" w:eastAsia="方正小标宋简体"/>
          <w:sz w:val="52"/>
          <w:szCs w:val="52"/>
          <w:highlight w:val="none"/>
        </w:rPr>
      </w:pPr>
      <w:r>
        <w:rPr>
          <w:rFonts w:hint="eastAsia" w:ascii="方正小标宋简体" w:eastAsia="方正小标宋简体"/>
          <w:sz w:val="52"/>
          <w:szCs w:val="52"/>
          <w:highlight w:val="none"/>
        </w:rPr>
        <w:t>第十五个五年规划纲要</w:t>
      </w:r>
    </w:p>
    <w:p w14:paraId="5E1D114E">
      <w:pPr>
        <w:ind w:firstLine="640"/>
      </w:pPr>
    </w:p>
    <w:p w14:paraId="627DE557">
      <w:pPr>
        <w:pStyle w:val="5"/>
      </w:pPr>
    </w:p>
    <w:p w14:paraId="72910FA1">
      <w:pPr>
        <w:ind w:firstLine="640"/>
      </w:pPr>
    </w:p>
    <w:p w14:paraId="1CD4ACCD">
      <w:pPr>
        <w:ind w:firstLine="640"/>
      </w:pPr>
    </w:p>
    <w:p w14:paraId="341BD4F1">
      <w:pPr>
        <w:ind w:firstLine="640"/>
      </w:pPr>
    </w:p>
    <w:p w14:paraId="3A33C24F">
      <w:pPr>
        <w:ind w:firstLine="640"/>
      </w:pPr>
    </w:p>
    <w:p w14:paraId="793CB3A0">
      <w:pPr>
        <w:ind w:firstLine="640"/>
      </w:pPr>
    </w:p>
    <w:p w14:paraId="6470DF21">
      <w:pPr>
        <w:ind w:firstLine="640"/>
      </w:pPr>
    </w:p>
    <w:p w14:paraId="2A8E8290">
      <w:pPr>
        <w:ind w:firstLine="640"/>
        <w:rPr>
          <w:rFonts w:hint="eastAsia" w:eastAsia="仿宋_GB2312"/>
          <w:lang w:val="en-US" w:eastAsia="zh-CN"/>
        </w:rPr>
      </w:pPr>
    </w:p>
    <w:p w14:paraId="10F0BDEF">
      <w:pPr>
        <w:ind w:firstLine="640"/>
      </w:pPr>
    </w:p>
    <w:p w14:paraId="4142E601">
      <w:pPr>
        <w:widowControl/>
        <w:adjustRightInd/>
        <w:snapToGrid/>
        <w:spacing w:line="240" w:lineRule="auto"/>
        <w:ind w:firstLine="0" w:firstLineChars="0"/>
        <w:jc w:val="left"/>
      </w:pPr>
      <w:r>
        <w:br w:type="page"/>
      </w:r>
    </w:p>
    <w:p w14:paraId="55605077">
      <w:pPr>
        <w:pageBreakBefore w:val="0"/>
        <w:overflowPunct/>
        <w:topLinePunct w:val="0"/>
        <w:bidi w:val="0"/>
        <w:spacing w:line="288" w:lineRule="auto"/>
        <w:jc w:val="both"/>
        <w:rPr>
          <w:rFonts w:hint="eastAsia" w:ascii="黑体" w:hAnsi="黑体" w:eastAsia="黑体" w:cs="黑体"/>
          <w:color w:val="000000" w:themeColor="text1"/>
          <w:sz w:val="16"/>
          <w:szCs w:val="16"/>
          <w:highlight w:val="none"/>
          <w:lang w:val="en-US" w:eastAsia="zh-CN"/>
          <w14:textFill>
            <w14:solidFill>
              <w14:schemeClr w14:val="tx1"/>
            </w14:solidFill>
          </w14:textFill>
        </w:rPr>
      </w:pPr>
    </w:p>
    <w:p w14:paraId="2B652F0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前</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言</w:t>
      </w:r>
    </w:p>
    <w:p w14:paraId="4462555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highlight w:val="none"/>
          <w14:textFill>
            <w14:solidFill>
              <w14:schemeClr w14:val="tx1"/>
            </w14:solidFill>
          </w14:textFill>
        </w:rPr>
      </w:pPr>
    </w:p>
    <w:p w14:paraId="7D5148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highlight w:val="none"/>
          <w14:textFill>
            <w14:solidFill>
              <w14:schemeClr w14:val="tx1"/>
            </w14:solidFill>
          </w14:textFill>
        </w:rPr>
      </w:pPr>
      <w:r>
        <w:rPr>
          <w:rFonts w:hint="eastAsia" w:ascii="Times New Roman" w:hAnsi="Times New Roman" w:eastAsia="仿宋_GB2312" w:cs="Times New Roman"/>
          <w:color w:val="000000" w:themeColor="text1"/>
          <w:sz w:val="32"/>
          <w:highlight w:val="none"/>
          <w14:textFill>
            <w14:solidFill>
              <w14:schemeClr w14:val="tx1"/>
            </w14:solidFill>
          </w14:textFill>
        </w:rPr>
        <w:t>“十四五”时期，在自治区、</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柳州</w:t>
      </w:r>
      <w:r>
        <w:rPr>
          <w:rFonts w:hint="eastAsia" w:ascii="Times New Roman" w:hAnsi="Times New Roman" w:eastAsia="仿宋_GB2312" w:cs="Times New Roman"/>
          <w:color w:val="000000" w:themeColor="text1"/>
          <w:sz w:val="32"/>
          <w:highlight w:val="none"/>
          <w14:textFill>
            <w14:solidFill>
              <w14:schemeClr w14:val="tx1"/>
            </w14:solidFill>
          </w14:textFill>
        </w:rPr>
        <w:t>市的正确领导下，柳城</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县</w:t>
      </w:r>
      <w:r>
        <w:rPr>
          <w:rFonts w:hint="eastAsia" w:ascii="Times New Roman" w:hAnsi="Times New Roman" w:eastAsia="仿宋_GB2312" w:cs="Times New Roman"/>
          <w:color w:val="000000" w:themeColor="text1"/>
          <w:sz w:val="32"/>
          <w:highlight w:val="none"/>
          <w14:textFill>
            <w14:solidFill>
              <w14:schemeClr w14:val="tx1"/>
            </w14:solidFill>
          </w14:textFill>
        </w:rPr>
        <w:t>深入贯彻落实习近平新时代中国特色社会主义思想和党的二十大精神，牢牢把握高质量发展主题，主动融入新发展格局，攻坚克难、砥砺奋进，经济社会发展取得历史性成就</w:t>
      </w:r>
      <w:r>
        <w:rPr>
          <w:rFonts w:hint="default"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综合实力稳步提升，产业结构持续优化，基础设施不断完善，生态环境更加优美，民生福祉显著增</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强</w:t>
      </w:r>
      <w:r>
        <w:rPr>
          <w:rFonts w:hint="eastAsia" w:ascii="Times New Roman" w:hAnsi="Times New Roman" w:eastAsia="仿宋_GB2312" w:cs="Times New Roman"/>
          <w:color w:val="000000" w:themeColor="text1"/>
          <w:sz w:val="32"/>
          <w:highlight w:val="none"/>
          <w14:textFill>
            <w14:solidFill>
              <w14:schemeClr w14:val="tx1"/>
            </w14:solidFill>
          </w14:textFill>
        </w:rPr>
        <w:t>，多民族融合发展态势良好，为“十五五”时期实现更高水平发展奠定了坚实基础。</w:t>
      </w:r>
    </w:p>
    <w:p w14:paraId="5989E5D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十五五”时期，是我国全面建设社会主义现代化国家的关键时期，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也是</w:t>
      </w:r>
      <w:r>
        <w:rPr>
          <w:rFonts w:hint="eastAsia" w:ascii="Times New Roman" w:hAnsi="Times New Roman" w:eastAsia="仿宋_GB2312" w:cs="Times New Roman"/>
          <w:color w:val="000000" w:themeColor="text1"/>
          <w:sz w:val="32"/>
          <w:highlight w:val="none"/>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县抢抓国家重大战略机遇、破解发展瓶颈、实现跨越式发展的</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关键</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机遇期和攻坚突破期。</w:t>
      </w:r>
      <w:r>
        <w:rPr>
          <w:rFonts w:hint="eastAsia" w:ascii="仿宋_GB2312" w:hAnsi="仿宋_GB2312" w:eastAsia="仿宋_GB2312" w:cs="仿宋_GB2312"/>
          <w:color w:val="000000" w:themeColor="text1"/>
          <w:sz w:val="32"/>
          <w:szCs w:val="32"/>
          <w:highlight w:val="none"/>
          <w14:textFill>
            <w14:solidFill>
              <w14:schemeClr w14:val="tx1"/>
            </w14:solidFill>
          </w14:textFill>
        </w:rPr>
        <w:t>站在新的历史起点上，柳城县必须立足自身优势，准确识变、科学应变、主动求变，以更高的站位、更</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广</w:t>
      </w:r>
      <w:r>
        <w:rPr>
          <w:rFonts w:hint="eastAsia" w:ascii="仿宋_GB2312" w:hAnsi="仿宋_GB2312" w:eastAsia="仿宋_GB2312" w:cs="仿宋_GB2312"/>
          <w:color w:val="000000" w:themeColor="text1"/>
          <w:sz w:val="32"/>
          <w:szCs w:val="32"/>
          <w:highlight w:val="none"/>
          <w14:textFill>
            <w14:solidFill>
              <w14:schemeClr w14:val="tx1"/>
            </w14:solidFill>
          </w14:textFill>
        </w:rPr>
        <w:t>的视野、更大的决心，</w:t>
      </w:r>
      <w:r>
        <w:rPr>
          <w:rFonts w:hint="eastAsia" w:ascii="Times New Roman" w:hAnsi="Times New Roman" w:eastAsia="仿宋_GB2312" w:cs="Times New Roman"/>
          <w:color w:val="000000" w:themeColor="text1"/>
          <w:sz w:val="32"/>
          <w:highlight w:val="none"/>
          <w14:textFill>
            <w14:solidFill>
              <w14:schemeClr w14:val="tx1"/>
            </w14:solidFill>
          </w14:textFill>
        </w:rPr>
        <w:t>加快推进</w:t>
      </w:r>
      <w:r>
        <w:rPr>
          <w:rFonts w:hint="eastAsia" w:ascii="仿宋_GB2312" w:hAnsi="仿宋_GB2312" w:eastAsia="仿宋_GB2312" w:cs="仿宋_GB2312"/>
          <w:color w:val="000000" w:themeColor="text1"/>
          <w:sz w:val="32"/>
          <w:szCs w:val="32"/>
          <w:highlight w:val="none"/>
          <w14:textFill>
            <w14:solidFill>
              <w14:schemeClr w14:val="tx1"/>
            </w14:solidFill>
          </w14:textFill>
        </w:rPr>
        <w:t>国</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民经济和社会</w:t>
      </w:r>
      <w:r>
        <w:rPr>
          <w:rFonts w:hint="eastAsia" w:ascii="仿宋_GB2312" w:hAnsi="仿宋_GB2312" w:eastAsia="仿宋_GB2312" w:cs="仿宋_GB2312"/>
          <w:color w:val="000000" w:themeColor="text1"/>
          <w:spacing w:val="-6"/>
          <w:sz w:val="32"/>
          <w:szCs w:val="32"/>
          <w:highlight w:val="none"/>
          <w:lang w:eastAsia="zh-Hans"/>
          <w14:textFill>
            <w14:solidFill>
              <w14:schemeClr w14:val="tx1"/>
            </w14:solidFill>
          </w14:textFill>
        </w:rPr>
        <w:t>高</w:t>
      </w:r>
      <w:r>
        <w:rPr>
          <w:rFonts w:hint="eastAsia" w:ascii="仿宋_GB2312" w:hAnsi="仿宋_GB2312" w:eastAsia="仿宋_GB2312" w:cs="仿宋_GB2312"/>
          <w:color w:val="000000" w:themeColor="text1"/>
          <w:spacing w:val="-6"/>
          <w:sz w:val="32"/>
          <w:szCs w:val="32"/>
          <w:highlight w:val="none"/>
          <w:lang w:val="en-US" w:eastAsia="zh-Hans"/>
          <w14:textFill>
            <w14:solidFill>
              <w14:schemeClr w14:val="tx1"/>
            </w14:solidFill>
          </w14:textFill>
        </w:rPr>
        <w:t>质量</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发展，</w:t>
      </w:r>
      <w:r>
        <w:rPr>
          <w:rFonts w:hint="eastAsia" w:ascii="Times New Roman" w:hAnsi="Times New Roman" w:eastAsia="仿宋_GB2312" w:cs="Times New Roman"/>
          <w:color w:val="000000" w:themeColor="text1"/>
          <w:spacing w:val="-6"/>
          <w:sz w:val="32"/>
          <w:highlight w:val="none"/>
          <w14:textFill>
            <w14:solidFill>
              <w14:schemeClr w14:val="tx1"/>
            </w14:solidFill>
          </w14:textFill>
        </w:rPr>
        <w:t>奋力谱写新时代柳</w:t>
      </w:r>
      <w:r>
        <w:rPr>
          <w:rFonts w:hint="eastAsia" w:ascii="Times New Roman" w:hAnsi="Times New Roman" w:eastAsia="仿宋_GB2312" w:cs="Times New Roman"/>
          <w:color w:val="000000" w:themeColor="text1"/>
          <w:spacing w:val="-6"/>
          <w:sz w:val="32"/>
          <w:highlight w:val="none"/>
          <w:lang w:eastAsia="zh-Hans"/>
          <w14:textFill>
            <w14:solidFill>
              <w14:schemeClr w14:val="tx1"/>
            </w14:solidFill>
          </w14:textFill>
        </w:rPr>
        <w:t>城更加华</w:t>
      </w:r>
      <w:r>
        <w:rPr>
          <w:rFonts w:hint="eastAsia" w:ascii="Times New Roman" w:hAnsi="Times New Roman" w:eastAsia="仿宋_GB2312" w:cs="Times New Roman"/>
          <w:color w:val="000000" w:themeColor="text1"/>
          <w:spacing w:val="-6"/>
          <w:sz w:val="32"/>
          <w:highlight w:val="none"/>
          <w14:textFill>
            <w14:solidFill>
              <w14:schemeClr w14:val="tx1"/>
            </w14:solidFill>
          </w14:textFill>
        </w:rPr>
        <w:t>美</w:t>
      </w:r>
      <w:r>
        <w:rPr>
          <w:rFonts w:hint="eastAsia" w:ascii="Times New Roman" w:hAnsi="Times New Roman" w:eastAsia="仿宋_GB2312" w:cs="Times New Roman"/>
          <w:color w:val="000000" w:themeColor="text1"/>
          <w:spacing w:val="-6"/>
          <w:sz w:val="32"/>
          <w:highlight w:val="none"/>
          <w:lang w:eastAsia="zh-Hans"/>
          <w14:textFill>
            <w14:solidFill>
              <w14:schemeClr w14:val="tx1"/>
            </w14:solidFill>
          </w14:textFill>
        </w:rPr>
        <w:t>的</w:t>
      </w:r>
      <w:r>
        <w:rPr>
          <w:rFonts w:hint="eastAsia" w:ascii="Times New Roman" w:hAnsi="Times New Roman" w:eastAsia="仿宋_GB2312" w:cs="Times New Roman"/>
          <w:color w:val="000000" w:themeColor="text1"/>
          <w:spacing w:val="-6"/>
          <w:sz w:val="32"/>
          <w:highlight w:val="none"/>
          <w14:textFill>
            <w14:solidFill>
              <w14:schemeClr w14:val="tx1"/>
            </w14:solidFill>
          </w14:textFill>
        </w:rPr>
        <w:t>篇章。</w:t>
      </w:r>
    </w:p>
    <w:p w14:paraId="28B91A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highlight w:val="none"/>
          <w14:textFill>
            <w14:solidFill>
              <w14:schemeClr w14:val="tx1"/>
            </w14:solidFill>
          </w14:textFill>
        </w:rPr>
      </w:pPr>
      <w:r>
        <w:rPr>
          <w:rFonts w:hint="eastAsia" w:ascii="Times New Roman" w:hAnsi="Times New Roman" w:eastAsia="仿宋_GB2312" w:cs="Times New Roman"/>
          <w:color w:val="000000" w:themeColor="text1"/>
          <w:sz w:val="32"/>
          <w:highlight w:val="none"/>
          <w14:textFill>
            <w14:solidFill>
              <w14:schemeClr w14:val="tx1"/>
            </w14:solidFill>
          </w14:textFill>
        </w:rPr>
        <w:t>根据《中共柳</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城县</w:t>
      </w:r>
      <w:r>
        <w:rPr>
          <w:rFonts w:hint="eastAsia" w:ascii="Times New Roman" w:hAnsi="Times New Roman" w:eastAsia="仿宋_GB2312" w:cs="Times New Roman"/>
          <w:color w:val="000000" w:themeColor="text1"/>
          <w:sz w:val="32"/>
          <w:highlight w:val="none"/>
          <w14:textFill>
            <w14:solidFill>
              <w14:schemeClr w14:val="tx1"/>
            </w14:solidFill>
          </w14:textFill>
        </w:rPr>
        <w:t>委员会关于制定柳</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城县</w:t>
      </w:r>
      <w:r>
        <w:rPr>
          <w:rFonts w:hint="eastAsia" w:ascii="Times New Roman" w:hAnsi="Times New Roman" w:eastAsia="仿宋_GB2312" w:cs="Times New Roman"/>
          <w:color w:val="000000" w:themeColor="text1"/>
          <w:sz w:val="32"/>
          <w:highlight w:val="none"/>
          <w14:textFill>
            <w14:solidFill>
              <w14:schemeClr w14:val="tx1"/>
            </w14:solidFill>
          </w14:textFill>
        </w:rPr>
        <w:t>国民经济和社会发展第十五个五年规划的建议》编制的《柳</w:t>
      </w:r>
      <w:r>
        <w:rPr>
          <w:rFonts w:hint="eastAsia" w:ascii="Times New Roman" w:hAnsi="Times New Roman" w:eastAsia="仿宋_GB2312" w:cs="Times New Roman"/>
          <w:color w:val="000000" w:themeColor="text1"/>
          <w:sz w:val="32"/>
          <w:highlight w:val="none"/>
          <w:lang w:eastAsia="zh-Hans"/>
          <w14:textFill>
            <w14:solidFill>
              <w14:schemeClr w14:val="tx1"/>
            </w14:solidFill>
          </w14:textFill>
        </w:rPr>
        <w:t>城县</w:t>
      </w:r>
      <w:r>
        <w:rPr>
          <w:rFonts w:hint="eastAsia" w:ascii="Times New Roman" w:hAnsi="Times New Roman" w:eastAsia="仿宋_GB2312" w:cs="Times New Roman"/>
          <w:color w:val="000000" w:themeColor="text1"/>
          <w:sz w:val="32"/>
          <w:highlight w:val="none"/>
          <w14:textFill>
            <w14:solidFill>
              <w14:schemeClr w14:val="tx1"/>
            </w14:solidFill>
          </w14:textFill>
        </w:rPr>
        <w:t>国民经济和社会发展第十五个五年规划</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纲要</w:t>
      </w:r>
      <w:r>
        <w:rPr>
          <w:rFonts w:hint="eastAsia" w:ascii="Times New Roman" w:hAnsi="Times New Roman" w:eastAsia="仿宋_GB2312" w:cs="Times New Roman"/>
          <w:color w:val="000000" w:themeColor="text1"/>
          <w:sz w:val="32"/>
          <w:highlight w:val="none"/>
          <w14:textFill>
            <w14:solidFill>
              <w14:schemeClr w14:val="tx1"/>
            </w14:solidFill>
          </w14:textFill>
        </w:rPr>
        <w:t>》，主要阐明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十五五”时期柳城县</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国民</w:t>
      </w:r>
      <w:r>
        <w:rPr>
          <w:rFonts w:hint="eastAsia" w:ascii="仿宋_GB2312" w:hAnsi="仿宋_GB2312" w:eastAsia="仿宋_GB2312" w:cs="仿宋_GB2312"/>
          <w:color w:val="000000" w:themeColor="text1"/>
          <w:sz w:val="32"/>
          <w:szCs w:val="32"/>
          <w:highlight w:val="none"/>
          <w14:textFill>
            <w14:solidFill>
              <w14:schemeClr w14:val="tx1"/>
            </w14:solidFill>
          </w14:textFill>
        </w:rPr>
        <w:t>经济</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社会发展的指导思想、基本原则、发展目标、主要任务和保障措施，</w:t>
      </w:r>
      <w:r>
        <w:rPr>
          <w:rFonts w:hint="eastAsia" w:ascii="Times New Roman" w:hAnsi="Times New Roman" w:eastAsia="仿宋_GB2312" w:cs="Times New Roman"/>
          <w:color w:val="000000" w:themeColor="text1"/>
          <w:sz w:val="32"/>
          <w:highlight w:val="none"/>
          <w14:textFill>
            <w14:solidFill>
              <w14:schemeClr w14:val="tx1"/>
            </w14:solidFill>
          </w14:textFill>
        </w:rPr>
        <w:t>是</w:t>
      </w:r>
      <w:r>
        <w:rPr>
          <w:rFonts w:hint="default" w:ascii="Times New Roman" w:hAnsi="Times New Roman" w:eastAsia="仿宋_GB2312" w:cs="Times New Roman"/>
          <w:color w:val="000000" w:themeColor="text1"/>
          <w:sz w:val="32"/>
          <w:highlight w:val="none"/>
          <w14:textFill>
            <w14:solidFill>
              <w14:schemeClr w14:val="tx1"/>
            </w14:solidFill>
          </w14:textFill>
        </w:rPr>
        <w:t>柳城县</w:t>
      </w:r>
      <w:r>
        <w:rPr>
          <w:rFonts w:hint="eastAsia" w:ascii="Times New Roman" w:hAnsi="Times New Roman" w:eastAsia="仿宋_GB2312" w:cs="Times New Roman"/>
          <w:color w:val="000000" w:themeColor="text1"/>
          <w:sz w:val="32"/>
          <w:highlight w:val="none"/>
          <w14:textFill>
            <w14:solidFill>
              <w14:schemeClr w14:val="tx1"/>
            </w14:solidFill>
          </w14:textFill>
        </w:rPr>
        <w:t>“十五五”时期经济社会发展的宏伟蓝图、引领发展与改革的纲领性文件。</w:t>
      </w:r>
    </w:p>
    <w:p w14:paraId="2879A402">
      <w:pPr>
        <w:pStyle w:val="21"/>
        <w:keepNext w:val="0"/>
        <w:keepLines w:val="0"/>
        <w:pageBreakBefore w:val="0"/>
        <w:kinsoku/>
        <w:wordWrap/>
        <w:overflowPunct/>
        <w:topLinePunct w:val="0"/>
        <w:autoSpaceDE/>
        <w:autoSpaceDN/>
        <w:bidi w:val="0"/>
        <w:adjustRightInd/>
        <w:snapToGrid/>
        <w:spacing w:line="560" w:lineRule="exact"/>
        <w:ind w:left="0" w:leftChars="0" w:firstLine="0" w:firstLineChars="0"/>
        <w:rPr>
          <w:rFonts w:hint="eastAsia"/>
          <w:color w:val="000000" w:themeColor="text1"/>
          <w:highlight w:val="yellow"/>
          <w14:textFill>
            <w14:solidFill>
              <w14:schemeClr w14:val="tx1"/>
            </w14:solidFill>
          </w14:textFill>
        </w:rPr>
      </w:pPr>
    </w:p>
    <w:p w14:paraId="1557E783">
      <w:pPr>
        <w:pStyle w:val="22"/>
        <w:rPr>
          <w:rFonts w:hint="eastAsia"/>
          <w:color w:val="000000" w:themeColor="text1"/>
          <w:highlight w:val="yellow"/>
          <w14:textFill>
            <w14:solidFill>
              <w14:schemeClr w14:val="tx1"/>
            </w14:solidFill>
          </w14:textFill>
        </w:rPr>
      </w:pPr>
    </w:p>
    <w:p w14:paraId="4A4E5D8C">
      <w:pPr>
        <w:spacing w:before="0" w:beforeLines="0" w:after="0" w:afterLines="0" w:line="240" w:lineRule="auto"/>
        <w:ind w:left="0" w:leftChars="0" w:right="0" w:rightChars="0" w:firstLine="0" w:firstLineChars="0"/>
        <w:jc w:val="center"/>
        <w:rPr>
          <w:rFonts w:hint="eastAsia" w:ascii="黑体" w:hAnsi="黑体" w:eastAsia="黑体" w:cs="黑体"/>
          <w:b/>
          <w:bCs/>
          <w:color w:val="000000" w:themeColor="text1"/>
          <w:kern w:val="2"/>
          <w:sz w:val="32"/>
          <w:szCs w:val="32"/>
          <w:highlight w:val="yellow"/>
          <w:lang w:val="en-US" w:eastAsia="zh-CN" w:bidi="ar-SA"/>
          <w14:textFill>
            <w14:solidFill>
              <w14:schemeClr w14:val="tx1"/>
            </w14:solidFill>
          </w14:textFill>
        </w:rPr>
        <w:sectPr>
          <w:footerReference r:id="rId5" w:type="default"/>
          <w:pgSz w:w="11906" w:h="16838"/>
          <w:pgMar w:top="1440" w:right="1689" w:bottom="1440" w:left="1689" w:header="851" w:footer="992" w:gutter="0"/>
          <w:pgNumType w:fmt="decimal" w:start="1"/>
          <w:cols w:space="425" w:num="1"/>
          <w:docGrid w:type="lines" w:linePitch="312" w:charSpace="0"/>
        </w:sectPr>
      </w:pPr>
    </w:p>
    <w:p w14:paraId="2D08EE02">
      <w:pPr>
        <w:keepNext w:val="0"/>
        <w:keepLines w:val="0"/>
        <w:pageBreakBefore w:val="0"/>
        <w:widowControl w:val="0"/>
        <w:tabs>
          <w:tab w:val="left" w:pos="3603"/>
          <w:tab w:val="center" w:pos="4324"/>
        </w:tabs>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rPr>
          <w:rFonts w:hint="eastAsia" w:ascii="宋体" w:hAnsi="宋体" w:cs="Times New Roman"/>
          <w:b/>
          <w:bCs/>
          <w:kern w:val="2"/>
          <w:sz w:val="32"/>
          <w:szCs w:val="36"/>
          <w:lang w:val="en-US" w:eastAsia="zh-CN" w:bidi="ar-SA"/>
        </w:rPr>
      </w:pPr>
      <w:r>
        <w:rPr>
          <w:rFonts w:hint="eastAsia" w:ascii="宋体" w:hAnsi="宋体" w:cs="Times New Roman"/>
          <w:b/>
          <w:bCs/>
          <w:kern w:val="2"/>
          <w:sz w:val="32"/>
          <w:szCs w:val="36"/>
          <w:lang w:val="en-US" w:eastAsia="zh-CN" w:bidi="ar-SA"/>
        </w:rPr>
        <w:tab/>
      </w:r>
    </w:p>
    <w:sdt>
      <w:sdtPr>
        <w:rPr>
          <w:rFonts w:ascii="宋体" w:hAnsi="宋体" w:eastAsia="宋体" w:cs="Times New Roman"/>
          <w:b/>
          <w:bCs/>
          <w:kern w:val="2"/>
          <w:sz w:val="32"/>
          <w:szCs w:val="36"/>
          <w:lang w:val="en-US" w:eastAsia="zh-CN" w:bidi="ar-SA"/>
        </w:rPr>
        <w:id w:val="147457551"/>
        <w15:color w:val="DBDBDB"/>
        <w:docPartObj>
          <w:docPartGallery w:val="Table of Contents"/>
          <w:docPartUnique/>
        </w:docPartObj>
      </w:sdtPr>
      <w:sdtEndPr>
        <w:rPr>
          <w:rFonts w:ascii="Calibri" w:hAnsi="Calibri" w:eastAsia="宋体" w:cs="Times New Roman"/>
          <w:b/>
          <w:bCs/>
          <w:kern w:val="2"/>
          <w:sz w:val="21"/>
          <w:szCs w:val="22"/>
          <w:lang w:val="en-US" w:eastAsia="zh-CN" w:bidi="ar-SA"/>
        </w:rPr>
      </w:sdtEndPr>
      <w:sdtContent>
        <w:p w14:paraId="041F48BF">
          <w:pPr>
            <w:keepNext w:val="0"/>
            <w:keepLines w:val="0"/>
            <w:pageBreakBefore w:val="0"/>
            <w:widowControl w:val="0"/>
            <w:tabs>
              <w:tab w:val="left" w:pos="3603"/>
              <w:tab w:val="center" w:pos="4324"/>
            </w:tabs>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rPr>
              <w:b/>
              <w:bCs/>
              <w:sz w:val="32"/>
              <w:szCs w:val="36"/>
              <w:highlight w:val="none"/>
            </w:rPr>
          </w:pPr>
          <w:r>
            <w:rPr>
              <w:rFonts w:hint="eastAsia" w:ascii="宋体" w:hAnsi="宋体" w:cs="Times New Roman"/>
              <w:b/>
              <w:bCs/>
              <w:kern w:val="2"/>
              <w:sz w:val="32"/>
              <w:szCs w:val="36"/>
              <w:lang w:val="en-US" w:eastAsia="zh-CN" w:bidi="ar-SA"/>
            </w:rPr>
            <w:tab/>
          </w:r>
          <w:r>
            <w:rPr>
              <w:rFonts w:hint="eastAsia" w:ascii="方正小标宋简体" w:eastAsia="方正小标宋简体"/>
              <w:sz w:val="44"/>
              <w:szCs w:val="44"/>
              <w:highlight w:val="none"/>
            </w:rPr>
            <w:t xml:space="preserve">目 </w:t>
          </w:r>
          <w:r>
            <w:rPr>
              <w:rFonts w:ascii="方正小标宋简体" w:eastAsia="方正小标宋简体"/>
              <w:sz w:val="44"/>
              <w:szCs w:val="44"/>
              <w:highlight w:val="none"/>
            </w:rPr>
            <w:t xml:space="preserve"> </w:t>
          </w:r>
          <w:r>
            <w:rPr>
              <w:rFonts w:hint="eastAsia" w:ascii="方正小标宋简体" w:eastAsia="方正小标宋简体"/>
              <w:sz w:val="44"/>
              <w:szCs w:val="44"/>
              <w:highlight w:val="none"/>
            </w:rPr>
            <w:t>录</w:t>
          </w:r>
        </w:p>
        <w:p w14:paraId="08763C92">
          <w:pPr>
            <w:pStyle w:val="12"/>
            <w:keepNext w:val="0"/>
            <w:keepLines w:val="0"/>
            <w:pageBreakBefore w:val="0"/>
            <w:widowControl w:val="0"/>
            <w:tabs>
              <w:tab w:val="right" w:leader="dot" w:pos="8528"/>
            </w:tabs>
            <w:kinsoku/>
            <w:wordWrap/>
            <w:overflowPunct/>
            <w:topLinePunct w:val="0"/>
            <w:autoSpaceDE/>
            <w:autoSpaceDN/>
            <w:bidi w:val="0"/>
            <w:adjustRightInd/>
            <w:snapToGrid/>
            <w:spacing w:line="460" w:lineRule="exact"/>
            <w:textAlignment w:val="auto"/>
            <w:rPr>
              <w:sz w:val="10"/>
              <w:szCs w:val="10"/>
              <w:highlight w:val="none"/>
            </w:rPr>
          </w:pPr>
        </w:p>
        <w:p w14:paraId="71A58289">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8"/>
              <w:szCs w:val="32"/>
              <w:highlight w:val="none"/>
            </w:rPr>
            <w:fldChar w:fldCharType="begin"/>
          </w:r>
          <w:r>
            <w:rPr>
              <w:sz w:val="28"/>
              <w:szCs w:val="32"/>
              <w:highlight w:val="none"/>
            </w:rPr>
            <w:instrText xml:space="preserve">TOC \o "1-3" \h \u </w:instrText>
          </w:r>
          <w:r>
            <w:rPr>
              <w:sz w:val="28"/>
              <w:szCs w:val="32"/>
              <w:highlight w:val="none"/>
            </w:rPr>
            <w:fldChar w:fldCharType="separate"/>
          </w:r>
          <w:r>
            <w:rPr>
              <w:sz w:val="28"/>
              <w:szCs w:val="28"/>
              <w:highlight w:val="none"/>
            </w:rPr>
            <w:fldChar w:fldCharType="begin"/>
          </w:r>
          <w:r>
            <w:rPr>
              <w:sz w:val="28"/>
              <w:szCs w:val="28"/>
              <w:highlight w:val="none"/>
            </w:rPr>
            <w:instrText xml:space="preserve"> HYPERLINK \l _Toc2045381013 </w:instrText>
          </w:r>
          <w:r>
            <w:rPr>
              <w:sz w:val="28"/>
              <w:szCs w:val="28"/>
              <w:highlight w:val="none"/>
            </w:rPr>
            <w:fldChar w:fldCharType="separate"/>
          </w:r>
          <w:r>
            <w:rPr>
              <w:rFonts w:hint="eastAsia" w:asciiTheme="minorEastAsia" w:hAnsiTheme="minorEastAsia" w:eastAsiaTheme="minorEastAsia" w:cstheme="minorEastAsia"/>
              <w:b/>
              <w:bCs/>
              <w:sz w:val="28"/>
              <w:szCs w:val="28"/>
              <w:highlight w:val="none"/>
              <w:lang w:val="en-US" w:eastAsia="zh-CN"/>
            </w:rPr>
            <w:t>第</w:t>
          </w:r>
          <w:r>
            <w:rPr>
              <w:rFonts w:hint="eastAsia" w:asciiTheme="minorEastAsia" w:hAnsiTheme="minorEastAsia" w:eastAsiaTheme="minorEastAsia" w:cstheme="minorEastAsia"/>
              <w:b/>
              <w:bCs/>
              <w:sz w:val="28"/>
              <w:szCs w:val="28"/>
              <w:highlight w:val="none"/>
              <w:lang w:val="en-US" w:eastAsia="zh-Hans"/>
            </w:rPr>
            <w:t xml:space="preserve">一章 </w:t>
          </w:r>
          <w:r>
            <w:rPr>
              <w:rFonts w:hint="eastAsia" w:asciiTheme="minorEastAsia" w:hAnsiTheme="minorEastAsia" w:eastAsiaTheme="minorEastAsia" w:cstheme="minorEastAsia"/>
              <w:b/>
              <w:bCs/>
              <w:sz w:val="28"/>
              <w:szCs w:val="28"/>
              <w:highlight w:val="none"/>
              <w:lang w:val="en-US" w:eastAsia="zh-CN"/>
            </w:rPr>
            <w:t>踔</w:t>
          </w:r>
          <w:r>
            <w:rPr>
              <w:rFonts w:hint="eastAsia" w:asciiTheme="minorEastAsia" w:hAnsiTheme="minorEastAsia" w:eastAsiaTheme="minorEastAsia" w:cstheme="minorEastAsia"/>
              <w:b/>
              <w:bCs/>
              <w:color w:val="auto"/>
              <w:sz w:val="28"/>
              <w:szCs w:val="28"/>
              <w:highlight w:val="none"/>
              <w:lang w:val="en-US" w:eastAsia="zh-CN"/>
            </w:rPr>
            <w:t>厉</w:t>
          </w:r>
          <w:r>
            <w:rPr>
              <w:rFonts w:hint="eastAsia" w:asciiTheme="minorEastAsia" w:hAnsiTheme="minorEastAsia" w:eastAsiaTheme="minorEastAsia" w:cstheme="minorEastAsia"/>
              <w:b/>
              <w:bCs/>
              <w:sz w:val="28"/>
              <w:szCs w:val="28"/>
              <w:highlight w:val="none"/>
              <w:lang w:val="en-US" w:eastAsia="zh-CN"/>
            </w:rPr>
            <w:t>奋发、勇毅前行，奋力开启“十五五”</w:t>
          </w:r>
          <w:r>
            <w:rPr>
              <w:rFonts w:hint="eastAsia" w:asciiTheme="minorEastAsia" w:hAnsiTheme="minorEastAsia" w:eastAsiaTheme="minorEastAsia" w:cstheme="minorEastAsia"/>
              <w:b/>
              <w:bCs/>
              <w:sz w:val="28"/>
              <w:szCs w:val="28"/>
              <w:highlight w:val="none"/>
              <w:lang w:val="en-US" w:eastAsia="zh-Hans"/>
            </w:rPr>
            <w:t>新</w:t>
          </w:r>
          <w:r>
            <w:rPr>
              <w:rFonts w:hint="eastAsia" w:asciiTheme="minorEastAsia" w:hAnsiTheme="minorEastAsia" w:eastAsiaTheme="minorEastAsia" w:cstheme="minorEastAsia"/>
              <w:b/>
              <w:bCs/>
              <w:sz w:val="28"/>
              <w:szCs w:val="28"/>
              <w:highlight w:val="none"/>
              <w:lang w:val="en-US" w:eastAsia="zh-CN"/>
            </w:rPr>
            <w:t>征程</w:t>
          </w:r>
          <w:r>
            <w:rPr>
              <w:sz w:val="28"/>
              <w:szCs w:val="28"/>
              <w:highlight w:val="none"/>
            </w:rPr>
            <w:tab/>
          </w:r>
          <w:r>
            <w:rPr>
              <w:b/>
              <w:bCs/>
              <w:sz w:val="28"/>
              <w:szCs w:val="28"/>
              <w:highlight w:val="none"/>
            </w:rPr>
            <w:fldChar w:fldCharType="begin"/>
          </w:r>
          <w:r>
            <w:rPr>
              <w:b/>
              <w:bCs/>
              <w:sz w:val="28"/>
              <w:szCs w:val="28"/>
              <w:highlight w:val="none"/>
            </w:rPr>
            <w:instrText xml:space="preserve"> PAGEREF _Toc2045381013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sz w:val="28"/>
              <w:szCs w:val="28"/>
              <w:highlight w:val="none"/>
            </w:rPr>
            <w:fldChar w:fldCharType="end"/>
          </w:r>
        </w:p>
        <w:p w14:paraId="0E2C3DC9">
          <w:pPr>
            <w:pStyle w:val="13"/>
            <w:pageBreakBefore w:val="0"/>
            <w:widowControl w:val="0"/>
            <w:tabs>
              <w:tab w:val="right" w:leader="dot" w:pos="8528"/>
            </w:tabs>
            <w:kinsoku/>
            <w:wordWrap/>
            <w:overflowPunct/>
            <w:topLinePunct w:val="0"/>
            <w:autoSpaceDE/>
            <w:autoSpaceDN/>
            <w:bidi w:val="0"/>
            <w:adjustRightInd/>
            <w:snapToGrid/>
            <w:spacing w:after="200" w:line="580" w:lineRule="exact"/>
            <w:ind w:left="0" w:leftChars="0" w:firstLine="480" w:firstLineChars="200"/>
            <w:textAlignment w:val="auto"/>
            <w:rPr>
              <w:sz w:val="24"/>
              <w:szCs w:val="24"/>
              <w:highlight w:val="none"/>
            </w:rPr>
          </w:pPr>
          <w:r>
            <w:rPr>
              <w:sz w:val="24"/>
              <w:szCs w:val="24"/>
              <w:highlight w:val="none"/>
            </w:rPr>
            <w:fldChar w:fldCharType="begin"/>
          </w:r>
          <w:r>
            <w:rPr>
              <w:sz w:val="24"/>
              <w:szCs w:val="24"/>
              <w:highlight w:val="none"/>
            </w:rPr>
            <w:instrText xml:space="preserve"> HYPERLINK \l _Toc1947947962 </w:instrText>
          </w:r>
          <w:r>
            <w:rPr>
              <w:sz w:val="24"/>
              <w:szCs w:val="24"/>
              <w:highlight w:val="none"/>
            </w:rPr>
            <w:fldChar w:fldCharType="separate"/>
          </w:r>
          <w:r>
            <w:rPr>
              <w:rFonts w:hint="eastAsia" w:ascii="楷体" w:hAnsi="楷体" w:eastAsia="楷体" w:cs="楷体"/>
              <w:sz w:val="28"/>
              <w:szCs w:val="28"/>
              <w:highlight w:val="none"/>
            </w:rPr>
            <w:t>第一</w:t>
          </w:r>
          <w:r>
            <w:rPr>
              <w:rFonts w:hint="eastAsia" w:ascii="楷体" w:hAnsi="楷体" w:eastAsia="楷体" w:cs="楷体"/>
              <w:sz w:val="28"/>
              <w:szCs w:val="28"/>
              <w:highlight w:val="none"/>
              <w:lang w:val="en-US" w:eastAsia="zh-CN"/>
            </w:rPr>
            <w:t>节</w:t>
          </w:r>
          <w:r>
            <w:rPr>
              <w:rFonts w:hint="eastAsia" w:ascii="楷体" w:hAnsi="楷体" w:eastAsia="楷体" w:cs="楷体"/>
              <w:sz w:val="28"/>
              <w:szCs w:val="28"/>
              <w:highlight w:val="none"/>
            </w:rPr>
            <w:t>“十四五”时期发展</w:t>
          </w:r>
          <w:r>
            <w:rPr>
              <w:rFonts w:hint="eastAsia" w:ascii="楷体" w:hAnsi="楷体" w:eastAsia="楷体" w:cs="楷体"/>
              <w:sz w:val="28"/>
              <w:szCs w:val="28"/>
              <w:highlight w:val="none"/>
              <w:lang w:val="en-US" w:eastAsia="zh-CN"/>
            </w:rPr>
            <w:t>成就</w:t>
          </w:r>
          <w:r>
            <w:rPr>
              <w:sz w:val="24"/>
              <w:szCs w:val="24"/>
              <w:highlight w:val="none"/>
            </w:rPr>
            <w:tab/>
          </w:r>
          <w:r>
            <w:rPr>
              <w:sz w:val="28"/>
              <w:szCs w:val="28"/>
              <w:highlight w:val="none"/>
            </w:rPr>
            <w:fldChar w:fldCharType="begin"/>
          </w:r>
          <w:r>
            <w:rPr>
              <w:sz w:val="28"/>
              <w:szCs w:val="28"/>
              <w:highlight w:val="none"/>
            </w:rPr>
            <w:instrText xml:space="preserve"> PAGEREF _Toc1947947962 \h </w:instrText>
          </w:r>
          <w:r>
            <w:rPr>
              <w:sz w:val="28"/>
              <w:szCs w:val="28"/>
              <w:highlight w:val="none"/>
            </w:rPr>
            <w:fldChar w:fldCharType="separate"/>
          </w:r>
          <w:r>
            <w:rPr>
              <w:sz w:val="28"/>
              <w:szCs w:val="28"/>
              <w:highlight w:val="none"/>
            </w:rPr>
            <w:t>1</w:t>
          </w:r>
          <w:r>
            <w:rPr>
              <w:sz w:val="28"/>
              <w:szCs w:val="28"/>
              <w:highlight w:val="none"/>
            </w:rPr>
            <w:fldChar w:fldCharType="end"/>
          </w:r>
          <w:r>
            <w:rPr>
              <w:sz w:val="24"/>
              <w:szCs w:val="24"/>
              <w:highlight w:val="none"/>
            </w:rPr>
            <w:fldChar w:fldCharType="end"/>
          </w:r>
        </w:p>
        <w:p w14:paraId="2AEA0B7C">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_Toc773198819 </w:instrText>
          </w:r>
          <w:r>
            <w:rPr>
              <w:sz w:val="24"/>
              <w:szCs w:val="24"/>
              <w:highlight w:val="none"/>
            </w:rPr>
            <w:fldChar w:fldCharType="separate"/>
          </w:r>
          <w:r>
            <w:rPr>
              <w:rFonts w:hint="eastAsia" w:ascii="楷体" w:hAnsi="楷体" w:eastAsia="楷体" w:cs="楷体"/>
              <w:sz w:val="28"/>
              <w:szCs w:val="28"/>
              <w:highlight w:val="none"/>
            </w:rPr>
            <w:t>第二</w:t>
          </w:r>
          <w:r>
            <w:rPr>
              <w:rFonts w:hint="eastAsia" w:ascii="楷体" w:hAnsi="楷体" w:eastAsia="楷体" w:cs="楷体"/>
              <w:sz w:val="28"/>
              <w:szCs w:val="28"/>
              <w:highlight w:val="none"/>
              <w:lang w:val="en-US" w:eastAsia="zh-CN"/>
            </w:rPr>
            <w:t>节</w:t>
          </w:r>
          <w:r>
            <w:rPr>
              <w:rFonts w:hint="eastAsia" w:ascii="楷体" w:hAnsi="楷体" w:eastAsia="楷体" w:cs="楷体"/>
              <w:sz w:val="28"/>
              <w:szCs w:val="28"/>
              <w:highlight w:val="none"/>
            </w:rPr>
            <w:t>“十五五”时期面临的发展环境</w:t>
          </w:r>
          <w:r>
            <w:rPr>
              <w:sz w:val="24"/>
              <w:szCs w:val="24"/>
              <w:highlight w:val="none"/>
            </w:rPr>
            <w:tab/>
          </w:r>
          <w:r>
            <w:rPr>
              <w:sz w:val="28"/>
              <w:szCs w:val="28"/>
              <w:highlight w:val="none"/>
            </w:rPr>
            <w:fldChar w:fldCharType="begin"/>
          </w:r>
          <w:r>
            <w:rPr>
              <w:sz w:val="28"/>
              <w:szCs w:val="28"/>
              <w:highlight w:val="none"/>
            </w:rPr>
            <w:instrText xml:space="preserve"> PAGEREF _Toc773198819 \h </w:instrText>
          </w:r>
          <w:r>
            <w:rPr>
              <w:sz w:val="28"/>
              <w:szCs w:val="28"/>
              <w:highlight w:val="none"/>
            </w:rPr>
            <w:fldChar w:fldCharType="separate"/>
          </w:r>
          <w:r>
            <w:rPr>
              <w:sz w:val="28"/>
              <w:szCs w:val="28"/>
              <w:highlight w:val="none"/>
            </w:rPr>
            <w:t>4</w:t>
          </w:r>
          <w:r>
            <w:rPr>
              <w:sz w:val="28"/>
              <w:szCs w:val="28"/>
              <w:highlight w:val="none"/>
            </w:rPr>
            <w:fldChar w:fldCharType="end"/>
          </w:r>
          <w:r>
            <w:rPr>
              <w:sz w:val="24"/>
              <w:szCs w:val="24"/>
              <w:highlight w:val="none"/>
            </w:rPr>
            <w:fldChar w:fldCharType="end"/>
          </w:r>
        </w:p>
        <w:p w14:paraId="22B88337">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eastAsia="宋体"/>
              <w:b/>
              <w:bCs/>
              <w:sz w:val="28"/>
              <w:szCs w:val="28"/>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_Toc729002936 </w:instrText>
          </w:r>
          <w:r>
            <w:rPr>
              <w:rFonts w:eastAsia="宋体"/>
              <w:b/>
              <w:bCs/>
              <w:sz w:val="28"/>
              <w:szCs w:val="28"/>
              <w:highlight w:val="none"/>
            </w:rPr>
            <w:fldChar w:fldCharType="separate"/>
          </w:r>
          <w:r>
            <w:rPr>
              <w:rFonts w:hint="eastAsia" w:eastAsia="宋体"/>
              <w:b/>
              <w:bCs/>
              <w:sz w:val="28"/>
              <w:szCs w:val="28"/>
              <w:highlight w:val="none"/>
              <w:lang w:val="en-US" w:eastAsia="zh-Hans"/>
            </w:rPr>
            <w:t xml:space="preserve">第二章 </w:t>
          </w:r>
          <w:r>
            <w:rPr>
              <w:rFonts w:hint="default" w:eastAsia="宋体"/>
              <w:b/>
              <w:bCs/>
              <w:sz w:val="28"/>
              <w:szCs w:val="28"/>
              <w:highlight w:val="none"/>
              <w:lang w:val="en-US" w:eastAsia="zh-CN"/>
            </w:rPr>
            <w:t>“十五五”时期经济社会发展的总体要求和主要目标</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_Toc729002936 \h </w:instrText>
          </w:r>
          <w:r>
            <w:rPr>
              <w:rFonts w:eastAsia="宋体"/>
              <w:b/>
              <w:bCs/>
              <w:sz w:val="28"/>
              <w:szCs w:val="28"/>
              <w:highlight w:val="none"/>
            </w:rPr>
            <w:fldChar w:fldCharType="separate"/>
          </w:r>
          <w:r>
            <w:rPr>
              <w:rFonts w:eastAsia="宋体"/>
              <w:b/>
              <w:bCs/>
              <w:sz w:val="28"/>
              <w:szCs w:val="28"/>
              <w:highlight w:val="none"/>
            </w:rPr>
            <w:t>8</w:t>
          </w:r>
          <w:r>
            <w:rPr>
              <w:rFonts w:eastAsia="宋体"/>
              <w:b/>
              <w:bCs/>
              <w:sz w:val="28"/>
              <w:szCs w:val="28"/>
              <w:highlight w:val="none"/>
            </w:rPr>
            <w:fldChar w:fldCharType="end"/>
          </w:r>
          <w:r>
            <w:rPr>
              <w:rFonts w:eastAsia="宋体"/>
              <w:b/>
              <w:bCs/>
              <w:sz w:val="28"/>
              <w:szCs w:val="28"/>
              <w:highlight w:val="none"/>
            </w:rPr>
            <w:fldChar w:fldCharType="end"/>
          </w:r>
        </w:p>
        <w:p w14:paraId="10ABFA46">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_Toc958139217 </w:instrText>
          </w:r>
          <w:r>
            <w:rPr>
              <w:sz w:val="24"/>
              <w:szCs w:val="24"/>
              <w:highlight w:val="none"/>
            </w:rPr>
            <w:fldChar w:fldCharType="separate"/>
          </w:r>
          <w:r>
            <w:rPr>
              <w:rFonts w:hint="eastAsia" w:ascii="楷体" w:hAnsi="楷体" w:eastAsia="楷体" w:cs="楷体"/>
              <w:sz w:val="28"/>
              <w:szCs w:val="28"/>
              <w:highlight w:val="none"/>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rPr>
            <w:t>指导思想</w:t>
          </w:r>
          <w:r>
            <w:rPr>
              <w:sz w:val="24"/>
              <w:szCs w:val="24"/>
              <w:highlight w:val="none"/>
            </w:rPr>
            <w:tab/>
          </w:r>
          <w:r>
            <w:rPr>
              <w:sz w:val="28"/>
              <w:szCs w:val="28"/>
              <w:highlight w:val="none"/>
            </w:rPr>
            <w:fldChar w:fldCharType="begin"/>
          </w:r>
          <w:r>
            <w:rPr>
              <w:sz w:val="28"/>
              <w:szCs w:val="28"/>
              <w:highlight w:val="none"/>
            </w:rPr>
            <w:instrText xml:space="preserve"> PAGEREF _Toc958139217 \h </w:instrText>
          </w:r>
          <w:r>
            <w:rPr>
              <w:sz w:val="28"/>
              <w:szCs w:val="28"/>
              <w:highlight w:val="none"/>
            </w:rPr>
            <w:fldChar w:fldCharType="separate"/>
          </w:r>
          <w:r>
            <w:rPr>
              <w:sz w:val="28"/>
              <w:szCs w:val="28"/>
              <w:highlight w:val="none"/>
            </w:rPr>
            <w:t>8</w:t>
          </w:r>
          <w:r>
            <w:rPr>
              <w:sz w:val="28"/>
              <w:szCs w:val="28"/>
              <w:highlight w:val="none"/>
            </w:rPr>
            <w:fldChar w:fldCharType="end"/>
          </w:r>
          <w:r>
            <w:rPr>
              <w:sz w:val="24"/>
              <w:szCs w:val="24"/>
              <w:highlight w:val="none"/>
            </w:rPr>
            <w:fldChar w:fldCharType="end"/>
          </w:r>
        </w:p>
        <w:p w14:paraId="4B197020">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_Toc1613434913 </w:instrText>
          </w:r>
          <w:r>
            <w:rPr>
              <w:sz w:val="24"/>
              <w:szCs w:val="24"/>
              <w:highlight w:val="none"/>
            </w:rPr>
            <w:fldChar w:fldCharType="separate"/>
          </w:r>
          <w:r>
            <w:rPr>
              <w:rFonts w:hint="eastAsia" w:ascii="楷体" w:hAnsi="楷体" w:eastAsia="楷体" w:cs="楷体"/>
              <w:sz w:val="28"/>
              <w:szCs w:val="28"/>
              <w:highlight w:val="none"/>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rPr>
            <w:t>基本原则</w:t>
          </w:r>
          <w:r>
            <w:rPr>
              <w:sz w:val="24"/>
              <w:szCs w:val="24"/>
              <w:highlight w:val="none"/>
            </w:rPr>
            <w:tab/>
          </w:r>
          <w:r>
            <w:rPr>
              <w:sz w:val="28"/>
              <w:szCs w:val="28"/>
              <w:highlight w:val="none"/>
            </w:rPr>
            <w:fldChar w:fldCharType="begin"/>
          </w:r>
          <w:r>
            <w:rPr>
              <w:sz w:val="28"/>
              <w:szCs w:val="28"/>
              <w:highlight w:val="none"/>
            </w:rPr>
            <w:instrText xml:space="preserve"> PAGEREF _Toc1613434913 \h </w:instrText>
          </w:r>
          <w:r>
            <w:rPr>
              <w:sz w:val="28"/>
              <w:szCs w:val="28"/>
              <w:highlight w:val="none"/>
            </w:rPr>
            <w:fldChar w:fldCharType="separate"/>
          </w:r>
          <w:r>
            <w:rPr>
              <w:sz w:val="28"/>
              <w:szCs w:val="28"/>
              <w:highlight w:val="none"/>
            </w:rPr>
            <w:t>9</w:t>
          </w:r>
          <w:r>
            <w:rPr>
              <w:sz w:val="28"/>
              <w:szCs w:val="28"/>
              <w:highlight w:val="none"/>
            </w:rPr>
            <w:fldChar w:fldCharType="end"/>
          </w:r>
          <w:r>
            <w:rPr>
              <w:sz w:val="24"/>
              <w:szCs w:val="24"/>
              <w:highlight w:val="none"/>
            </w:rPr>
            <w:fldChar w:fldCharType="end"/>
          </w:r>
        </w:p>
        <w:p w14:paraId="2F7C190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_Toc724572122 </w:instrText>
          </w:r>
          <w:r>
            <w:rPr>
              <w:sz w:val="24"/>
              <w:szCs w:val="24"/>
              <w:highlight w:val="none"/>
            </w:rPr>
            <w:fldChar w:fldCharType="separate"/>
          </w:r>
          <w:r>
            <w:rPr>
              <w:rFonts w:hint="eastAsia" w:ascii="楷体" w:hAnsi="楷体" w:eastAsia="楷体" w:cs="楷体"/>
              <w:sz w:val="28"/>
              <w:szCs w:val="28"/>
              <w:highlight w:val="none"/>
            </w:rPr>
            <w:t>第三节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rPr>
            <w:t>发展定位</w:t>
          </w:r>
          <w:r>
            <w:rPr>
              <w:sz w:val="24"/>
              <w:szCs w:val="24"/>
              <w:highlight w:val="none"/>
            </w:rPr>
            <w:tab/>
          </w:r>
          <w:r>
            <w:rPr>
              <w:sz w:val="28"/>
              <w:szCs w:val="28"/>
              <w:highlight w:val="none"/>
            </w:rPr>
            <w:fldChar w:fldCharType="begin"/>
          </w:r>
          <w:r>
            <w:rPr>
              <w:sz w:val="28"/>
              <w:szCs w:val="28"/>
              <w:highlight w:val="none"/>
            </w:rPr>
            <w:instrText xml:space="preserve"> PAGEREF _Toc724572122 \h </w:instrText>
          </w:r>
          <w:r>
            <w:rPr>
              <w:sz w:val="28"/>
              <w:szCs w:val="28"/>
              <w:highlight w:val="none"/>
            </w:rPr>
            <w:fldChar w:fldCharType="separate"/>
          </w:r>
          <w:r>
            <w:rPr>
              <w:sz w:val="28"/>
              <w:szCs w:val="28"/>
              <w:highlight w:val="none"/>
            </w:rPr>
            <w:t>10</w:t>
          </w:r>
          <w:r>
            <w:rPr>
              <w:sz w:val="28"/>
              <w:szCs w:val="28"/>
              <w:highlight w:val="none"/>
            </w:rPr>
            <w:fldChar w:fldCharType="end"/>
          </w:r>
          <w:r>
            <w:rPr>
              <w:sz w:val="24"/>
              <w:szCs w:val="24"/>
              <w:highlight w:val="none"/>
            </w:rPr>
            <w:fldChar w:fldCharType="end"/>
          </w:r>
        </w:p>
        <w:p w14:paraId="3E9D54C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_Toc1651375964 </w:instrText>
          </w:r>
          <w:r>
            <w:rPr>
              <w:sz w:val="24"/>
              <w:szCs w:val="24"/>
              <w:highlight w:val="none"/>
            </w:rPr>
            <w:fldChar w:fldCharType="separate"/>
          </w:r>
          <w:r>
            <w:rPr>
              <w:rFonts w:hint="eastAsia" w:ascii="楷体" w:hAnsi="楷体" w:eastAsia="楷体" w:cs="楷体"/>
              <w:sz w:val="28"/>
              <w:szCs w:val="28"/>
              <w:highlight w:val="none"/>
            </w:rPr>
            <w:t>第四节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rPr>
            <w:t>主要目标</w:t>
          </w:r>
          <w:r>
            <w:rPr>
              <w:sz w:val="24"/>
              <w:szCs w:val="24"/>
              <w:highlight w:val="none"/>
            </w:rPr>
            <w:tab/>
          </w:r>
          <w:r>
            <w:rPr>
              <w:sz w:val="28"/>
              <w:szCs w:val="28"/>
              <w:highlight w:val="none"/>
            </w:rPr>
            <w:fldChar w:fldCharType="begin"/>
          </w:r>
          <w:r>
            <w:rPr>
              <w:sz w:val="28"/>
              <w:szCs w:val="28"/>
              <w:highlight w:val="none"/>
            </w:rPr>
            <w:instrText xml:space="preserve"> PAGEREF _Toc1651375964 \h </w:instrText>
          </w:r>
          <w:r>
            <w:rPr>
              <w:sz w:val="28"/>
              <w:szCs w:val="28"/>
              <w:highlight w:val="none"/>
            </w:rPr>
            <w:fldChar w:fldCharType="separate"/>
          </w:r>
          <w:r>
            <w:rPr>
              <w:sz w:val="28"/>
              <w:szCs w:val="28"/>
              <w:highlight w:val="none"/>
            </w:rPr>
            <w:t>12</w:t>
          </w:r>
          <w:r>
            <w:rPr>
              <w:sz w:val="28"/>
              <w:szCs w:val="28"/>
              <w:highlight w:val="none"/>
            </w:rPr>
            <w:fldChar w:fldCharType="end"/>
          </w:r>
          <w:r>
            <w:rPr>
              <w:sz w:val="24"/>
              <w:szCs w:val="24"/>
              <w:highlight w:val="none"/>
            </w:rPr>
            <w:fldChar w:fldCharType="end"/>
          </w:r>
        </w:p>
        <w:p w14:paraId="00D804E7">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_Toc597173120 </w:instrText>
          </w:r>
          <w:r>
            <w:rPr>
              <w:rFonts w:eastAsia="宋体"/>
              <w:b/>
              <w:bCs/>
              <w:sz w:val="28"/>
              <w:szCs w:val="28"/>
              <w:highlight w:val="none"/>
            </w:rPr>
            <w:fldChar w:fldCharType="separate"/>
          </w:r>
          <w:r>
            <w:rPr>
              <w:rFonts w:hint="eastAsia" w:eastAsia="宋体"/>
              <w:b/>
              <w:bCs/>
              <w:sz w:val="28"/>
              <w:szCs w:val="28"/>
              <w:highlight w:val="none"/>
              <w:lang w:val="en-US" w:eastAsia="zh-CN"/>
            </w:rPr>
            <w:t>第三章 加快建设现代化产业体系，巩固壮大实体经济根基</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_Toc597173120 \h </w:instrText>
          </w:r>
          <w:r>
            <w:rPr>
              <w:rFonts w:eastAsia="宋体"/>
              <w:b/>
              <w:bCs/>
              <w:sz w:val="28"/>
              <w:szCs w:val="28"/>
              <w:highlight w:val="none"/>
            </w:rPr>
            <w:fldChar w:fldCharType="separate"/>
          </w:r>
          <w:r>
            <w:rPr>
              <w:rFonts w:eastAsia="宋体"/>
              <w:b/>
              <w:bCs/>
              <w:sz w:val="28"/>
              <w:szCs w:val="28"/>
              <w:highlight w:val="none"/>
            </w:rPr>
            <w:t>16</w:t>
          </w:r>
          <w:r>
            <w:rPr>
              <w:rFonts w:eastAsia="宋体"/>
              <w:b/>
              <w:bCs/>
              <w:sz w:val="28"/>
              <w:szCs w:val="28"/>
              <w:highlight w:val="none"/>
            </w:rPr>
            <w:fldChar w:fldCharType="end"/>
          </w:r>
          <w:r>
            <w:rPr>
              <w:rFonts w:eastAsia="宋体"/>
              <w:b/>
              <w:bCs/>
              <w:sz w:val="28"/>
              <w:szCs w:val="28"/>
              <w:highlight w:val="none"/>
            </w:rPr>
            <w:fldChar w:fldCharType="end"/>
          </w:r>
        </w:p>
        <w:p w14:paraId="3F49C0F2">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hint="eastAsia" w:ascii="楷体" w:hAnsi="楷体" w:eastAsia="楷体" w:cs="楷体"/>
              <w:sz w:val="28"/>
              <w:szCs w:val="28"/>
              <w:highlight w:val="none"/>
              <w:lang w:val="en-US" w:eastAsia="zh-CN"/>
            </w:rPr>
          </w:pPr>
          <w:r>
            <w:rPr>
              <w:sz w:val="24"/>
              <w:szCs w:val="24"/>
              <w:highlight w:val="none"/>
            </w:rPr>
            <w:fldChar w:fldCharType="begin"/>
          </w:r>
          <w:r>
            <w:rPr>
              <w:sz w:val="24"/>
              <w:szCs w:val="24"/>
              <w:highlight w:val="none"/>
            </w:rPr>
            <w:instrText xml:space="preserve"> HYPERLINK \l _Toc1497545409 </w:instrText>
          </w:r>
          <w:r>
            <w:rPr>
              <w:sz w:val="24"/>
              <w:szCs w:val="24"/>
              <w:highlight w:val="none"/>
            </w:rPr>
            <w:fldChar w:fldCharType="separate"/>
          </w:r>
          <w:r>
            <w:rPr>
              <w:rFonts w:hint="eastAsia" w:ascii="楷体" w:hAnsi="楷体" w:eastAsia="楷体" w:cs="楷体"/>
              <w:sz w:val="28"/>
              <w:szCs w:val="28"/>
              <w:highlight w:val="none"/>
              <w:lang w:val="en-US" w:eastAsia="zh-CN"/>
            </w:rPr>
            <w:t>第一节 做强做优做大传统支柱产业</w:t>
          </w:r>
          <w:r>
            <w:rPr>
              <w:rFonts w:hint="default" w:ascii="楷体" w:hAnsi="楷体" w:eastAsia="楷体" w:cs="楷体"/>
              <w:sz w:val="28"/>
              <w:szCs w:val="28"/>
              <w:highlight w:val="none"/>
              <w:lang w:val="en-US" w:eastAsia="zh-CN"/>
            </w:rPr>
            <w:t>，</w:t>
          </w:r>
          <w:r>
            <w:rPr>
              <w:rFonts w:hint="eastAsia" w:ascii="楷体" w:hAnsi="楷体" w:eastAsia="楷体" w:cs="楷体"/>
              <w:sz w:val="28"/>
              <w:szCs w:val="28"/>
              <w:highlight w:val="none"/>
              <w:lang w:val="en-US" w:eastAsia="zh-CN"/>
            </w:rPr>
            <w:t>打造“四个百亿”产业集群</w:t>
          </w:r>
        </w:p>
        <w:p w14:paraId="3EA816B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hint="eastAsia" w:eastAsia="宋体"/>
              <w:sz w:val="24"/>
              <w:szCs w:val="24"/>
              <w:highlight w:val="none"/>
              <w:lang w:val="en-US" w:eastAsia="zh-CN"/>
            </w:rPr>
          </w:pPr>
          <w:r>
            <w:rPr>
              <w:sz w:val="24"/>
              <w:szCs w:val="24"/>
              <w:highlight w:val="none"/>
            </w:rPr>
            <w:tab/>
          </w:r>
          <w:r>
            <w:rPr>
              <w:sz w:val="28"/>
              <w:szCs w:val="28"/>
              <w:highlight w:val="none"/>
            </w:rPr>
            <w:fldChar w:fldCharType="begin"/>
          </w:r>
          <w:r>
            <w:rPr>
              <w:sz w:val="28"/>
              <w:szCs w:val="28"/>
              <w:highlight w:val="none"/>
            </w:rPr>
            <w:instrText xml:space="preserve"> PAGEREF _Toc1497545409 \h </w:instrText>
          </w:r>
          <w:r>
            <w:rPr>
              <w:sz w:val="28"/>
              <w:szCs w:val="28"/>
              <w:highlight w:val="none"/>
            </w:rPr>
            <w:fldChar w:fldCharType="separate"/>
          </w:r>
          <w:r>
            <w:rPr>
              <w:rFonts w:hint="eastAsia"/>
              <w:sz w:val="28"/>
              <w:szCs w:val="28"/>
              <w:highlight w:val="none"/>
              <w:lang w:val="en-US" w:eastAsia="zh-CN"/>
            </w:rPr>
            <w:t>16</w:t>
          </w:r>
          <w:r>
            <w:rPr>
              <w:sz w:val="28"/>
              <w:szCs w:val="28"/>
              <w:highlight w:val="none"/>
            </w:rPr>
            <w:fldChar w:fldCharType="end"/>
          </w:r>
          <w:r>
            <w:rPr>
              <w:sz w:val="24"/>
              <w:szCs w:val="24"/>
              <w:highlight w:val="none"/>
            </w:rPr>
            <w:fldChar w:fldCharType="end"/>
          </w:r>
        </w:p>
        <w:p w14:paraId="29CDADA5">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_Toc1497545409 </w:instrText>
          </w:r>
          <w:r>
            <w:rPr>
              <w:sz w:val="24"/>
              <w:szCs w:val="24"/>
              <w:highlight w:val="none"/>
            </w:rPr>
            <w:fldChar w:fldCharType="separate"/>
          </w:r>
          <w:r>
            <w:rPr>
              <w:rFonts w:hint="eastAsia" w:ascii="楷体" w:hAnsi="楷体" w:eastAsia="楷体" w:cs="楷体"/>
              <w:sz w:val="28"/>
              <w:szCs w:val="28"/>
              <w:highlight w:val="none"/>
              <w:lang w:val="en-US" w:eastAsia="zh-CN"/>
            </w:rPr>
            <w:t>第二节 培育</w:t>
          </w:r>
          <w:r>
            <w:rPr>
              <w:rFonts w:hint="eastAsia" w:ascii="楷体" w:hAnsi="楷体" w:eastAsia="楷体" w:cs="楷体"/>
              <w:sz w:val="28"/>
              <w:szCs w:val="28"/>
              <w:highlight w:val="none"/>
              <w:lang w:val="en-US" w:eastAsia="zh-Hans"/>
            </w:rPr>
            <w:t>壮大</w:t>
          </w:r>
          <w:r>
            <w:rPr>
              <w:rFonts w:hint="eastAsia" w:ascii="楷体" w:hAnsi="楷体" w:eastAsia="楷体" w:cs="楷体"/>
              <w:sz w:val="28"/>
              <w:szCs w:val="28"/>
              <w:highlight w:val="none"/>
              <w:lang w:val="en-US" w:eastAsia="zh-CN"/>
            </w:rPr>
            <w:t>新兴产业</w:t>
          </w:r>
          <w:r>
            <w:rPr>
              <w:rFonts w:hint="eastAsia" w:ascii="楷体" w:hAnsi="楷体" w:eastAsia="楷体" w:cs="楷体"/>
              <w:sz w:val="28"/>
              <w:szCs w:val="28"/>
              <w:highlight w:val="none"/>
              <w:lang w:val="en-US" w:eastAsia="zh-Hans"/>
            </w:rPr>
            <w:t>和未来产业</w:t>
          </w:r>
          <w:r>
            <w:rPr>
              <w:rFonts w:hint="default" w:ascii="楷体" w:hAnsi="楷体" w:eastAsia="楷体" w:cs="楷体"/>
              <w:sz w:val="28"/>
              <w:szCs w:val="28"/>
              <w:highlight w:val="none"/>
              <w:lang w:val="en-US" w:eastAsia="zh-CN"/>
            </w:rPr>
            <w:t>，</w:t>
          </w:r>
          <w:r>
            <w:rPr>
              <w:rFonts w:hint="eastAsia" w:ascii="楷体" w:hAnsi="楷体" w:eastAsia="楷体" w:cs="楷体"/>
              <w:sz w:val="28"/>
              <w:szCs w:val="28"/>
              <w:highlight w:val="none"/>
              <w:lang w:val="en-US" w:eastAsia="zh-Hans"/>
            </w:rPr>
            <w:t>推动产业优化升级</w:t>
          </w:r>
          <w:r>
            <w:rPr>
              <w:sz w:val="24"/>
              <w:szCs w:val="24"/>
              <w:highlight w:val="none"/>
            </w:rPr>
            <w:tab/>
          </w:r>
          <w:r>
            <w:rPr>
              <w:sz w:val="28"/>
              <w:szCs w:val="28"/>
              <w:highlight w:val="none"/>
            </w:rPr>
            <w:fldChar w:fldCharType="begin"/>
          </w:r>
          <w:r>
            <w:rPr>
              <w:sz w:val="28"/>
              <w:szCs w:val="28"/>
              <w:highlight w:val="none"/>
            </w:rPr>
            <w:instrText xml:space="preserve"> PAGEREF _Toc1497545409 \h </w:instrText>
          </w:r>
          <w:r>
            <w:rPr>
              <w:sz w:val="28"/>
              <w:szCs w:val="28"/>
              <w:highlight w:val="none"/>
            </w:rPr>
            <w:fldChar w:fldCharType="separate"/>
          </w:r>
          <w:r>
            <w:rPr>
              <w:sz w:val="28"/>
              <w:szCs w:val="28"/>
              <w:highlight w:val="none"/>
            </w:rPr>
            <w:t>25</w:t>
          </w:r>
          <w:r>
            <w:rPr>
              <w:sz w:val="28"/>
              <w:szCs w:val="28"/>
              <w:highlight w:val="none"/>
            </w:rPr>
            <w:fldChar w:fldCharType="end"/>
          </w:r>
          <w:r>
            <w:rPr>
              <w:sz w:val="24"/>
              <w:szCs w:val="24"/>
              <w:highlight w:val="none"/>
            </w:rPr>
            <w:fldChar w:fldCharType="end"/>
          </w:r>
        </w:p>
        <w:p w14:paraId="445D6D7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_Toc737346223 </w:instrText>
          </w:r>
          <w:r>
            <w:rPr>
              <w:sz w:val="24"/>
              <w:szCs w:val="24"/>
              <w:highlight w:val="none"/>
            </w:rPr>
            <w:fldChar w:fldCharType="separate"/>
          </w:r>
          <w:r>
            <w:rPr>
              <w:rFonts w:hint="eastAsia" w:ascii="楷体" w:hAnsi="楷体" w:eastAsia="楷体" w:cs="楷体"/>
              <w:sz w:val="28"/>
              <w:szCs w:val="28"/>
              <w:highlight w:val="none"/>
              <w:lang w:val="en-US" w:eastAsia="zh-Hans"/>
            </w:rPr>
            <w:t>第三节</w:t>
          </w:r>
          <w:r>
            <w:rPr>
              <w:rFonts w:hint="default" w:ascii="楷体" w:hAnsi="楷体" w:eastAsia="楷体" w:cs="楷体"/>
              <w:sz w:val="28"/>
              <w:szCs w:val="28"/>
              <w:highlight w:val="none"/>
              <w:lang w:val="en-US" w:eastAsia="zh-Hans"/>
            </w:rPr>
            <w:t xml:space="preserve"> </w:t>
          </w:r>
          <w:r>
            <w:rPr>
              <w:rFonts w:hint="eastAsia" w:ascii="楷体" w:hAnsi="楷体" w:eastAsia="楷体" w:cs="楷体"/>
              <w:sz w:val="28"/>
              <w:szCs w:val="28"/>
              <w:highlight w:val="none"/>
              <w:lang w:val="en-US" w:eastAsia="zh-CN"/>
            </w:rPr>
            <w:t>优化</w:t>
          </w:r>
          <w:r>
            <w:rPr>
              <w:rFonts w:hint="eastAsia" w:ascii="楷体" w:hAnsi="楷体" w:eastAsia="楷体" w:cs="楷体"/>
              <w:sz w:val="28"/>
              <w:szCs w:val="28"/>
              <w:highlight w:val="none"/>
              <w:lang w:val="en-US" w:eastAsia="zh-Hans"/>
            </w:rPr>
            <w:t>空间</w:t>
          </w:r>
          <w:r>
            <w:rPr>
              <w:rFonts w:hint="eastAsia" w:ascii="楷体" w:hAnsi="楷体" w:eastAsia="楷体" w:cs="楷体"/>
              <w:sz w:val="28"/>
              <w:szCs w:val="28"/>
              <w:highlight w:val="none"/>
              <w:lang w:val="en-US" w:eastAsia="zh-CN"/>
            </w:rPr>
            <w:t>布局</w:t>
          </w:r>
          <w:r>
            <w:rPr>
              <w:rFonts w:hint="default" w:ascii="楷体" w:hAnsi="楷体" w:eastAsia="楷体" w:cs="楷体"/>
              <w:sz w:val="28"/>
              <w:szCs w:val="28"/>
              <w:highlight w:val="none"/>
              <w:lang w:val="en-US" w:eastAsia="zh-CN"/>
            </w:rPr>
            <w:t>，</w:t>
          </w:r>
          <w:r>
            <w:rPr>
              <w:rFonts w:hint="eastAsia" w:ascii="楷体" w:hAnsi="楷体" w:eastAsia="楷体" w:cs="楷体"/>
              <w:sz w:val="28"/>
              <w:szCs w:val="28"/>
              <w:highlight w:val="none"/>
              <w:lang w:val="en-US" w:eastAsia="zh-CN"/>
            </w:rPr>
            <w:t>园区提档升级</w:t>
          </w:r>
          <w:r>
            <w:rPr>
              <w:rFonts w:hint="default" w:ascii="楷体" w:hAnsi="楷体" w:eastAsia="楷体" w:cs="楷体"/>
              <w:sz w:val="28"/>
              <w:szCs w:val="28"/>
              <w:highlight w:val="none"/>
              <w:lang w:val="en-US" w:eastAsia="zh-CN"/>
            </w:rPr>
            <w:t>，</w:t>
          </w:r>
          <w:r>
            <w:rPr>
              <w:rFonts w:hint="eastAsia" w:ascii="楷体" w:hAnsi="楷体" w:eastAsia="楷体" w:cs="楷体"/>
              <w:sz w:val="28"/>
              <w:szCs w:val="28"/>
              <w:highlight w:val="none"/>
              <w:lang w:val="en-US" w:eastAsia="zh-Hans"/>
            </w:rPr>
            <w:t>推动高质量发展</w:t>
          </w:r>
          <w:r>
            <w:rPr>
              <w:sz w:val="24"/>
              <w:szCs w:val="24"/>
              <w:highlight w:val="none"/>
            </w:rPr>
            <w:tab/>
          </w:r>
          <w:r>
            <w:rPr>
              <w:sz w:val="28"/>
              <w:szCs w:val="28"/>
              <w:highlight w:val="none"/>
            </w:rPr>
            <w:fldChar w:fldCharType="begin"/>
          </w:r>
          <w:r>
            <w:rPr>
              <w:sz w:val="28"/>
              <w:szCs w:val="28"/>
              <w:highlight w:val="none"/>
            </w:rPr>
            <w:instrText xml:space="preserve"> PAGEREF _Toc737346223 \h </w:instrText>
          </w:r>
          <w:r>
            <w:rPr>
              <w:sz w:val="28"/>
              <w:szCs w:val="28"/>
              <w:highlight w:val="none"/>
            </w:rPr>
            <w:fldChar w:fldCharType="separate"/>
          </w:r>
          <w:r>
            <w:rPr>
              <w:sz w:val="28"/>
              <w:szCs w:val="28"/>
              <w:highlight w:val="none"/>
            </w:rPr>
            <w:t>28</w:t>
          </w:r>
          <w:r>
            <w:rPr>
              <w:sz w:val="28"/>
              <w:szCs w:val="28"/>
              <w:highlight w:val="none"/>
            </w:rPr>
            <w:fldChar w:fldCharType="end"/>
          </w:r>
          <w:r>
            <w:rPr>
              <w:sz w:val="24"/>
              <w:szCs w:val="24"/>
              <w:highlight w:val="none"/>
            </w:rPr>
            <w:fldChar w:fldCharType="end"/>
          </w:r>
        </w:p>
        <w:p w14:paraId="53BADF84">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_Toc1597326771 </w:instrText>
          </w:r>
          <w:r>
            <w:rPr>
              <w:sz w:val="24"/>
              <w:szCs w:val="24"/>
              <w:highlight w:val="none"/>
            </w:rPr>
            <w:fldChar w:fldCharType="separate"/>
          </w:r>
          <w:r>
            <w:rPr>
              <w:rFonts w:hint="eastAsia" w:ascii="楷体" w:hAnsi="楷体" w:eastAsia="楷体" w:cs="楷体"/>
              <w:sz w:val="28"/>
              <w:szCs w:val="28"/>
              <w:highlight w:val="none"/>
              <w:lang w:val="en-US" w:eastAsia="zh-CN"/>
            </w:rPr>
            <w:t>第</w:t>
          </w:r>
          <w:r>
            <w:rPr>
              <w:rFonts w:hint="eastAsia" w:ascii="楷体" w:hAnsi="楷体" w:eastAsia="楷体" w:cs="楷体"/>
              <w:sz w:val="28"/>
              <w:szCs w:val="28"/>
              <w:highlight w:val="none"/>
              <w:lang w:val="en-US" w:eastAsia="zh-Hans"/>
            </w:rPr>
            <w:t>四节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推动现代</w:t>
          </w:r>
          <w:r>
            <w:rPr>
              <w:rFonts w:hint="eastAsia" w:ascii="楷体" w:hAnsi="楷体" w:eastAsia="楷体" w:cs="楷体"/>
              <w:sz w:val="28"/>
              <w:szCs w:val="28"/>
              <w:highlight w:val="none"/>
              <w:lang w:val="en-US" w:eastAsia="zh-CN"/>
            </w:rPr>
            <w:t>服务业</w:t>
          </w:r>
          <w:r>
            <w:rPr>
              <w:rFonts w:hint="eastAsia" w:ascii="楷体" w:hAnsi="楷体" w:eastAsia="楷体" w:cs="楷体"/>
              <w:sz w:val="28"/>
              <w:szCs w:val="28"/>
              <w:highlight w:val="none"/>
              <w:lang w:val="en-US" w:eastAsia="zh-Hans"/>
            </w:rPr>
            <w:t>提</w:t>
          </w:r>
          <w:r>
            <w:rPr>
              <w:rFonts w:hint="eastAsia" w:ascii="楷体" w:hAnsi="楷体" w:eastAsia="楷体" w:cs="楷体"/>
              <w:sz w:val="28"/>
              <w:szCs w:val="28"/>
              <w:highlight w:val="none"/>
              <w:lang w:val="en-US" w:eastAsia="zh-CN"/>
            </w:rPr>
            <w:t>质</w:t>
          </w:r>
          <w:r>
            <w:rPr>
              <w:rFonts w:hint="eastAsia" w:ascii="楷体" w:hAnsi="楷体" w:eastAsia="楷体" w:cs="楷体"/>
              <w:sz w:val="28"/>
              <w:szCs w:val="28"/>
              <w:highlight w:val="none"/>
              <w:lang w:val="en-US" w:eastAsia="zh-Hans"/>
            </w:rPr>
            <w:t>升级</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实现</w:t>
          </w:r>
          <w:r>
            <w:rPr>
              <w:rFonts w:hint="eastAsia" w:ascii="楷体" w:hAnsi="楷体" w:eastAsia="楷体" w:cs="楷体"/>
              <w:sz w:val="28"/>
              <w:szCs w:val="28"/>
              <w:highlight w:val="none"/>
              <w:lang w:val="en-US" w:eastAsia="zh-CN"/>
            </w:rPr>
            <w:t>跨越式发展</w:t>
          </w:r>
          <w:r>
            <w:rPr>
              <w:sz w:val="24"/>
              <w:szCs w:val="24"/>
              <w:highlight w:val="none"/>
            </w:rPr>
            <w:tab/>
          </w:r>
          <w:r>
            <w:rPr>
              <w:sz w:val="28"/>
              <w:szCs w:val="28"/>
              <w:highlight w:val="none"/>
            </w:rPr>
            <w:fldChar w:fldCharType="begin"/>
          </w:r>
          <w:r>
            <w:rPr>
              <w:sz w:val="28"/>
              <w:szCs w:val="28"/>
              <w:highlight w:val="none"/>
            </w:rPr>
            <w:instrText xml:space="preserve"> PAGEREF _Toc1597326771 \h </w:instrText>
          </w:r>
          <w:r>
            <w:rPr>
              <w:sz w:val="28"/>
              <w:szCs w:val="28"/>
              <w:highlight w:val="none"/>
            </w:rPr>
            <w:fldChar w:fldCharType="separate"/>
          </w:r>
          <w:r>
            <w:rPr>
              <w:sz w:val="28"/>
              <w:szCs w:val="28"/>
              <w:highlight w:val="none"/>
            </w:rPr>
            <w:t>32</w:t>
          </w:r>
          <w:r>
            <w:rPr>
              <w:sz w:val="28"/>
              <w:szCs w:val="28"/>
              <w:highlight w:val="none"/>
            </w:rPr>
            <w:fldChar w:fldCharType="end"/>
          </w:r>
          <w:r>
            <w:rPr>
              <w:sz w:val="24"/>
              <w:szCs w:val="24"/>
              <w:highlight w:val="none"/>
            </w:rPr>
            <w:fldChar w:fldCharType="end"/>
          </w:r>
        </w:p>
        <w:p w14:paraId="5C638E6C">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_Toc577969050 </w:instrText>
          </w:r>
          <w:r>
            <w:rPr>
              <w:rFonts w:eastAsia="宋体"/>
              <w:b/>
              <w:bCs/>
              <w:sz w:val="28"/>
              <w:szCs w:val="28"/>
              <w:highlight w:val="none"/>
            </w:rPr>
            <w:fldChar w:fldCharType="separate"/>
          </w:r>
          <w:r>
            <w:rPr>
              <w:rFonts w:hint="eastAsia" w:eastAsia="宋体"/>
              <w:b/>
              <w:bCs/>
              <w:sz w:val="28"/>
              <w:szCs w:val="28"/>
              <w:highlight w:val="none"/>
              <w:lang w:val="en-US" w:eastAsia="zh-CN"/>
            </w:rPr>
            <w:t xml:space="preserve">第四章 </w:t>
          </w:r>
          <w:r>
            <w:rPr>
              <w:rFonts w:hint="eastAsia" w:eastAsia="宋体"/>
              <w:b/>
              <w:bCs/>
              <w:sz w:val="28"/>
              <w:szCs w:val="28"/>
              <w:highlight w:val="none"/>
              <w:lang w:val="en-US" w:eastAsia="zh-Hans"/>
            </w:rPr>
            <w:t>持续推进</w:t>
          </w:r>
          <w:r>
            <w:rPr>
              <w:rFonts w:hint="eastAsia" w:eastAsia="宋体"/>
              <w:b/>
              <w:bCs/>
              <w:sz w:val="28"/>
              <w:szCs w:val="28"/>
              <w:highlight w:val="none"/>
              <w:lang w:val="en-US" w:eastAsia="zh-CN"/>
            </w:rPr>
            <w:t>现代农业</w:t>
          </w:r>
          <w:r>
            <w:rPr>
              <w:rFonts w:hint="eastAsia" w:eastAsia="宋体"/>
              <w:b/>
              <w:bCs/>
              <w:sz w:val="28"/>
              <w:szCs w:val="28"/>
              <w:highlight w:val="none"/>
              <w:lang w:val="en-US" w:eastAsia="zh-Hans"/>
            </w:rPr>
            <w:t>农村建设</w:t>
          </w:r>
          <w:r>
            <w:rPr>
              <w:rFonts w:hint="eastAsia" w:eastAsia="宋体"/>
              <w:b/>
              <w:bCs/>
              <w:sz w:val="28"/>
              <w:szCs w:val="28"/>
              <w:highlight w:val="none"/>
              <w:lang w:val="en-US" w:eastAsia="zh-CN"/>
            </w:rPr>
            <w:t>，绘就</w:t>
          </w:r>
          <w:r>
            <w:rPr>
              <w:rFonts w:hint="default" w:eastAsia="宋体"/>
              <w:b/>
              <w:bCs/>
              <w:sz w:val="28"/>
              <w:szCs w:val="28"/>
              <w:highlight w:val="none"/>
              <w:lang w:val="en-US" w:eastAsia="zh-CN"/>
            </w:rPr>
            <w:t>和美</w:t>
          </w:r>
          <w:r>
            <w:rPr>
              <w:rFonts w:hint="eastAsia" w:eastAsia="宋体"/>
              <w:b/>
              <w:bCs/>
              <w:sz w:val="28"/>
              <w:szCs w:val="28"/>
              <w:highlight w:val="none"/>
              <w:lang w:val="en-US" w:eastAsia="zh-CN"/>
            </w:rPr>
            <w:t>乡村</w:t>
          </w:r>
          <w:r>
            <w:rPr>
              <w:rFonts w:hint="eastAsia" w:eastAsia="宋体"/>
              <w:b/>
              <w:bCs/>
              <w:sz w:val="28"/>
              <w:szCs w:val="28"/>
              <w:highlight w:val="none"/>
              <w:lang w:val="en-US" w:eastAsia="zh-Hans"/>
            </w:rPr>
            <w:t>新</w:t>
          </w:r>
          <w:r>
            <w:rPr>
              <w:rFonts w:hint="eastAsia" w:eastAsia="宋体"/>
              <w:b/>
              <w:bCs/>
              <w:sz w:val="28"/>
              <w:szCs w:val="28"/>
              <w:highlight w:val="none"/>
              <w:lang w:val="en-US" w:eastAsia="zh-CN"/>
            </w:rPr>
            <w:t>画卷</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_Toc577969050 \h </w:instrText>
          </w:r>
          <w:r>
            <w:rPr>
              <w:rFonts w:eastAsia="宋体"/>
              <w:b/>
              <w:bCs/>
              <w:sz w:val="28"/>
              <w:szCs w:val="28"/>
              <w:highlight w:val="none"/>
            </w:rPr>
            <w:fldChar w:fldCharType="separate"/>
          </w:r>
          <w:r>
            <w:rPr>
              <w:rFonts w:eastAsia="宋体"/>
              <w:b/>
              <w:bCs/>
              <w:sz w:val="28"/>
              <w:szCs w:val="28"/>
              <w:highlight w:val="none"/>
            </w:rPr>
            <w:t>37</w:t>
          </w:r>
          <w:r>
            <w:rPr>
              <w:rFonts w:eastAsia="宋体"/>
              <w:b/>
              <w:bCs/>
              <w:sz w:val="28"/>
              <w:szCs w:val="28"/>
              <w:highlight w:val="none"/>
            </w:rPr>
            <w:fldChar w:fldCharType="end"/>
          </w:r>
          <w:r>
            <w:rPr>
              <w:rFonts w:eastAsia="宋体"/>
              <w:b/>
              <w:bCs/>
              <w:sz w:val="28"/>
              <w:szCs w:val="28"/>
              <w:highlight w:val="none"/>
            </w:rPr>
            <w:fldChar w:fldCharType="end"/>
          </w:r>
        </w:p>
        <w:p w14:paraId="78285F96">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_Toc857287969 </w:instrText>
          </w:r>
          <w:r>
            <w:rPr>
              <w:sz w:val="24"/>
              <w:szCs w:val="24"/>
              <w:highlight w:val="none"/>
            </w:rPr>
            <w:fldChar w:fldCharType="separate"/>
          </w:r>
          <w:r>
            <w:rPr>
              <w:rFonts w:hint="eastAsia" w:ascii="楷体" w:hAnsi="楷体" w:eastAsia="楷体" w:cs="楷体"/>
              <w:sz w:val="28"/>
              <w:szCs w:val="28"/>
              <w:highlight w:val="none"/>
              <w:lang w:val="en-US" w:eastAsia="zh-CN"/>
            </w:rPr>
            <w:t>第一节 优化</w:t>
          </w:r>
          <w:r>
            <w:rPr>
              <w:rFonts w:hint="eastAsia" w:ascii="楷体" w:hAnsi="楷体" w:eastAsia="楷体" w:cs="楷体"/>
              <w:sz w:val="28"/>
              <w:szCs w:val="28"/>
              <w:highlight w:val="none"/>
              <w:lang w:val="en-US" w:eastAsia="zh-Hans"/>
            </w:rPr>
            <w:t>农业</w:t>
          </w:r>
          <w:r>
            <w:rPr>
              <w:rFonts w:hint="eastAsia" w:ascii="楷体" w:hAnsi="楷体" w:eastAsia="楷体" w:cs="楷体"/>
              <w:sz w:val="28"/>
              <w:szCs w:val="28"/>
              <w:highlight w:val="none"/>
              <w:lang w:val="en-US" w:eastAsia="zh-CN"/>
            </w:rPr>
            <w:t>生产力布局，</w:t>
          </w:r>
          <w:r>
            <w:rPr>
              <w:rFonts w:hint="eastAsia" w:ascii="楷体" w:hAnsi="楷体" w:eastAsia="楷体" w:cs="楷体"/>
              <w:sz w:val="28"/>
              <w:szCs w:val="28"/>
              <w:highlight w:val="none"/>
              <w:lang w:val="en-US" w:eastAsia="zh-Hans"/>
            </w:rPr>
            <w:t>拓展农业发展空间</w:t>
          </w:r>
          <w:r>
            <w:rPr>
              <w:sz w:val="24"/>
              <w:szCs w:val="24"/>
              <w:highlight w:val="none"/>
            </w:rPr>
            <w:tab/>
          </w:r>
          <w:r>
            <w:rPr>
              <w:sz w:val="28"/>
              <w:szCs w:val="28"/>
              <w:highlight w:val="none"/>
            </w:rPr>
            <w:fldChar w:fldCharType="begin"/>
          </w:r>
          <w:r>
            <w:rPr>
              <w:sz w:val="28"/>
              <w:szCs w:val="28"/>
              <w:highlight w:val="none"/>
            </w:rPr>
            <w:instrText xml:space="preserve"> PAGEREF _Toc857287969 \h </w:instrText>
          </w:r>
          <w:r>
            <w:rPr>
              <w:sz w:val="28"/>
              <w:szCs w:val="28"/>
              <w:highlight w:val="none"/>
            </w:rPr>
            <w:fldChar w:fldCharType="separate"/>
          </w:r>
          <w:r>
            <w:rPr>
              <w:sz w:val="28"/>
              <w:szCs w:val="28"/>
              <w:highlight w:val="none"/>
            </w:rPr>
            <w:t>37</w:t>
          </w:r>
          <w:r>
            <w:rPr>
              <w:sz w:val="28"/>
              <w:szCs w:val="28"/>
              <w:highlight w:val="none"/>
            </w:rPr>
            <w:fldChar w:fldCharType="end"/>
          </w:r>
          <w:r>
            <w:rPr>
              <w:sz w:val="24"/>
              <w:szCs w:val="24"/>
              <w:highlight w:val="none"/>
            </w:rPr>
            <w:fldChar w:fldCharType="end"/>
          </w:r>
        </w:p>
        <w:p w14:paraId="30A6F3BA">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_Toc971107260 </w:instrText>
          </w:r>
          <w:r>
            <w:rPr>
              <w:sz w:val="24"/>
              <w:szCs w:val="24"/>
              <w:highlight w:val="none"/>
            </w:rPr>
            <w:fldChar w:fldCharType="separate"/>
          </w:r>
          <w:r>
            <w:rPr>
              <w:rFonts w:hint="eastAsia" w:ascii="楷体" w:hAnsi="楷体" w:eastAsia="楷体" w:cs="楷体"/>
              <w:sz w:val="28"/>
              <w:szCs w:val="28"/>
              <w:highlight w:val="none"/>
              <w:lang w:val="en-US" w:eastAsia="zh-CN"/>
            </w:rPr>
            <w:t>第二节 调整优化农业产业结构，打造现代特色农业产业体系</w:t>
          </w:r>
          <w:r>
            <w:rPr>
              <w:sz w:val="24"/>
              <w:szCs w:val="24"/>
              <w:highlight w:val="none"/>
            </w:rPr>
            <w:tab/>
          </w:r>
          <w:r>
            <w:rPr>
              <w:sz w:val="28"/>
              <w:szCs w:val="28"/>
              <w:highlight w:val="none"/>
            </w:rPr>
            <w:fldChar w:fldCharType="begin"/>
          </w:r>
          <w:r>
            <w:rPr>
              <w:sz w:val="28"/>
              <w:szCs w:val="28"/>
              <w:highlight w:val="none"/>
            </w:rPr>
            <w:instrText xml:space="preserve"> PAGEREF _Toc971107260 \h </w:instrText>
          </w:r>
          <w:r>
            <w:rPr>
              <w:sz w:val="28"/>
              <w:szCs w:val="28"/>
              <w:highlight w:val="none"/>
            </w:rPr>
            <w:fldChar w:fldCharType="separate"/>
          </w:r>
          <w:r>
            <w:rPr>
              <w:sz w:val="28"/>
              <w:szCs w:val="28"/>
              <w:highlight w:val="none"/>
            </w:rPr>
            <w:t>39</w:t>
          </w:r>
          <w:r>
            <w:rPr>
              <w:sz w:val="28"/>
              <w:szCs w:val="28"/>
              <w:highlight w:val="none"/>
            </w:rPr>
            <w:fldChar w:fldCharType="end"/>
          </w:r>
          <w:r>
            <w:rPr>
              <w:sz w:val="24"/>
              <w:szCs w:val="24"/>
              <w:highlight w:val="none"/>
            </w:rPr>
            <w:fldChar w:fldCharType="end"/>
          </w:r>
        </w:p>
        <w:p w14:paraId="56632025">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_Toc971107260 </w:instrText>
          </w:r>
          <w:r>
            <w:rPr>
              <w:sz w:val="24"/>
              <w:szCs w:val="24"/>
              <w:highlight w:val="none"/>
            </w:rPr>
            <w:fldChar w:fldCharType="separate"/>
          </w:r>
          <w:r>
            <w:rPr>
              <w:rFonts w:hint="eastAsia" w:ascii="楷体" w:hAnsi="楷体" w:eastAsia="楷体" w:cs="楷体"/>
              <w:sz w:val="28"/>
              <w:szCs w:val="28"/>
              <w:highlight w:val="none"/>
              <w:lang w:val="en-US" w:eastAsia="zh-CN"/>
            </w:rPr>
            <w:t>第三节 加快农业现代化建设，提高农业高水平发展</w:t>
          </w:r>
          <w:r>
            <w:rPr>
              <w:sz w:val="24"/>
              <w:szCs w:val="24"/>
              <w:highlight w:val="none"/>
            </w:rPr>
            <w:tab/>
          </w:r>
          <w:r>
            <w:rPr>
              <w:sz w:val="28"/>
              <w:szCs w:val="28"/>
              <w:highlight w:val="none"/>
            </w:rPr>
            <w:fldChar w:fldCharType="begin"/>
          </w:r>
          <w:r>
            <w:rPr>
              <w:sz w:val="28"/>
              <w:szCs w:val="28"/>
              <w:highlight w:val="none"/>
            </w:rPr>
            <w:instrText xml:space="preserve"> PAGEREF _Toc971107260 \h </w:instrText>
          </w:r>
          <w:r>
            <w:rPr>
              <w:sz w:val="28"/>
              <w:szCs w:val="28"/>
              <w:highlight w:val="none"/>
            </w:rPr>
            <w:fldChar w:fldCharType="separate"/>
          </w:r>
          <w:r>
            <w:rPr>
              <w:rFonts w:hint="eastAsia"/>
              <w:sz w:val="28"/>
              <w:szCs w:val="28"/>
              <w:highlight w:val="none"/>
              <w:lang w:val="en-US" w:eastAsia="zh-CN"/>
            </w:rPr>
            <w:t>44</w:t>
          </w:r>
          <w:r>
            <w:rPr>
              <w:sz w:val="28"/>
              <w:szCs w:val="28"/>
              <w:highlight w:val="none"/>
            </w:rPr>
            <w:fldChar w:fldCharType="end"/>
          </w:r>
          <w:r>
            <w:rPr>
              <w:sz w:val="24"/>
              <w:szCs w:val="24"/>
              <w:highlight w:val="none"/>
            </w:rPr>
            <w:fldChar w:fldCharType="end"/>
          </w:r>
        </w:p>
        <w:p w14:paraId="0583C3BD">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_Toc524001620 </w:instrText>
          </w:r>
          <w:r>
            <w:rPr>
              <w:sz w:val="24"/>
              <w:szCs w:val="24"/>
              <w:highlight w:val="none"/>
            </w:rPr>
            <w:fldChar w:fldCharType="separate"/>
          </w:r>
          <w:r>
            <w:rPr>
              <w:rFonts w:hint="eastAsia" w:ascii="楷体" w:hAnsi="楷体" w:eastAsia="楷体" w:cs="楷体"/>
              <w:sz w:val="28"/>
              <w:szCs w:val="28"/>
              <w:highlight w:val="none"/>
              <w:lang w:val="en-US" w:eastAsia="zh-CN"/>
            </w:rPr>
            <w:t>第四节</w:t>
          </w:r>
          <w:r>
            <w:rPr>
              <w:rFonts w:hint="eastAsia"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CN"/>
            </w:rPr>
            <w:t>常态化帮扶”机制新部署</w:t>
          </w:r>
          <w:r>
            <w:rPr>
              <w:sz w:val="24"/>
              <w:szCs w:val="24"/>
              <w:highlight w:val="none"/>
            </w:rPr>
            <w:tab/>
          </w:r>
          <w:r>
            <w:rPr>
              <w:sz w:val="28"/>
              <w:szCs w:val="28"/>
              <w:highlight w:val="none"/>
            </w:rPr>
            <w:fldChar w:fldCharType="begin"/>
          </w:r>
          <w:r>
            <w:rPr>
              <w:sz w:val="28"/>
              <w:szCs w:val="28"/>
              <w:highlight w:val="none"/>
            </w:rPr>
            <w:instrText xml:space="preserve"> PAGEREF _Toc524001620 \h </w:instrText>
          </w:r>
          <w:r>
            <w:rPr>
              <w:sz w:val="28"/>
              <w:szCs w:val="28"/>
              <w:highlight w:val="none"/>
            </w:rPr>
            <w:fldChar w:fldCharType="separate"/>
          </w:r>
          <w:r>
            <w:rPr>
              <w:sz w:val="28"/>
              <w:szCs w:val="28"/>
              <w:highlight w:val="none"/>
            </w:rPr>
            <w:t>46</w:t>
          </w:r>
          <w:r>
            <w:rPr>
              <w:sz w:val="28"/>
              <w:szCs w:val="28"/>
              <w:highlight w:val="none"/>
            </w:rPr>
            <w:fldChar w:fldCharType="end"/>
          </w:r>
          <w:r>
            <w:rPr>
              <w:sz w:val="24"/>
              <w:szCs w:val="24"/>
              <w:highlight w:val="none"/>
            </w:rPr>
            <w:fldChar w:fldCharType="end"/>
          </w:r>
        </w:p>
        <w:p w14:paraId="63968CCB">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_Toc64790993 </w:instrText>
          </w:r>
          <w:r>
            <w:rPr>
              <w:sz w:val="24"/>
              <w:szCs w:val="24"/>
              <w:highlight w:val="none"/>
            </w:rPr>
            <w:fldChar w:fldCharType="separate"/>
          </w:r>
          <w:r>
            <w:rPr>
              <w:rFonts w:hint="eastAsia" w:ascii="楷体" w:hAnsi="楷体" w:eastAsia="楷体" w:cs="楷体"/>
              <w:sz w:val="28"/>
              <w:szCs w:val="28"/>
              <w:highlight w:val="none"/>
              <w:lang w:val="en-US" w:eastAsia="zh-CN"/>
            </w:rPr>
            <w:t xml:space="preserve">第五节 </w:t>
          </w:r>
          <w:r>
            <w:rPr>
              <w:rFonts w:hint="eastAsia" w:ascii="楷体" w:hAnsi="楷体" w:eastAsia="楷体" w:cs="楷体"/>
              <w:sz w:val="28"/>
              <w:szCs w:val="28"/>
              <w:highlight w:val="none"/>
              <w:lang w:val="en-US" w:eastAsia="zh-Hans"/>
            </w:rPr>
            <w:t>大力发展现代化农村建设</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促进</w:t>
          </w:r>
          <w:r>
            <w:rPr>
              <w:rFonts w:hint="eastAsia" w:ascii="楷体" w:hAnsi="楷体" w:eastAsia="楷体" w:cs="楷体"/>
              <w:sz w:val="28"/>
              <w:szCs w:val="28"/>
              <w:highlight w:val="none"/>
              <w:lang w:val="en-US" w:eastAsia="zh-CN"/>
            </w:rPr>
            <w:t>乡村</w:t>
          </w:r>
          <w:r>
            <w:rPr>
              <w:rFonts w:hint="eastAsia" w:ascii="楷体" w:hAnsi="楷体" w:eastAsia="楷体" w:cs="楷体"/>
              <w:sz w:val="28"/>
              <w:szCs w:val="28"/>
              <w:highlight w:val="none"/>
              <w:lang w:val="en-US" w:eastAsia="zh-Hans"/>
            </w:rPr>
            <w:t>全面</w:t>
          </w:r>
          <w:r>
            <w:rPr>
              <w:rFonts w:hint="eastAsia" w:ascii="楷体" w:hAnsi="楷体" w:eastAsia="楷体" w:cs="楷体"/>
              <w:sz w:val="28"/>
              <w:szCs w:val="28"/>
              <w:highlight w:val="none"/>
              <w:lang w:val="en-US" w:eastAsia="zh-CN"/>
            </w:rPr>
            <w:t>振兴</w:t>
          </w:r>
          <w:r>
            <w:rPr>
              <w:sz w:val="24"/>
              <w:szCs w:val="24"/>
              <w:highlight w:val="none"/>
            </w:rPr>
            <w:tab/>
          </w:r>
          <w:r>
            <w:rPr>
              <w:sz w:val="28"/>
              <w:szCs w:val="28"/>
              <w:highlight w:val="none"/>
            </w:rPr>
            <w:fldChar w:fldCharType="begin"/>
          </w:r>
          <w:r>
            <w:rPr>
              <w:sz w:val="28"/>
              <w:szCs w:val="28"/>
              <w:highlight w:val="none"/>
            </w:rPr>
            <w:instrText xml:space="preserve"> PAGEREF _Toc64790993 \h </w:instrText>
          </w:r>
          <w:r>
            <w:rPr>
              <w:sz w:val="28"/>
              <w:szCs w:val="28"/>
              <w:highlight w:val="none"/>
            </w:rPr>
            <w:fldChar w:fldCharType="separate"/>
          </w:r>
          <w:r>
            <w:rPr>
              <w:sz w:val="28"/>
              <w:szCs w:val="28"/>
              <w:highlight w:val="none"/>
            </w:rPr>
            <w:t>47</w:t>
          </w:r>
          <w:r>
            <w:rPr>
              <w:sz w:val="28"/>
              <w:szCs w:val="28"/>
              <w:highlight w:val="none"/>
            </w:rPr>
            <w:fldChar w:fldCharType="end"/>
          </w:r>
          <w:r>
            <w:rPr>
              <w:sz w:val="24"/>
              <w:szCs w:val="24"/>
              <w:highlight w:val="none"/>
            </w:rPr>
            <w:fldChar w:fldCharType="end"/>
          </w:r>
        </w:p>
        <w:p w14:paraId="345F4AE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hint="default" w:eastAsia="宋体"/>
              <w:highlight w:val="none"/>
              <w:lang w:val="en-US" w:eastAsia="zh-CN"/>
            </w:rPr>
          </w:pPr>
          <w:r>
            <w:rPr>
              <w:sz w:val="24"/>
              <w:szCs w:val="24"/>
              <w:highlight w:val="none"/>
            </w:rPr>
            <w:fldChar w:fldCharType="begin"/>
          </w:r>
          <w:r>
            <w:rPr>
              <w:sz w:val="24"/>
              <w:szCs w:val="24"/>
              <w:highlight w:val="none"/>
            </w:rPr>
            <w:instrText xml:space="preserve"> HYPERLINK \l _Toc64790993 </w:instrText>
          </w:r>
          <w:r>
            <w:rPr>
              <w:sz w:val="24"/>
              <w:szCs w:val="24"/>
              <w:highlight w:val="none"/>
            </w:rPr>
            <w:fldChar w:fldCharType="separate"/>
          </w:r>
          <w:r>
            <w:rPr>
              <w:rFonts w:hint="eastAsia" w:ascii="楷体" w:hAnsi="楷体" w:eastAsia="楷体" w:cs="楷体"/>
              <w:sz w:val="28"/>
              <w:szCs w:val="28"/>
              <w:highlight w:val="none"/>
              <w:lang w:val="en-US" w:eastAsia="zh-CN"/>
            </w:rPr>
            <w:t>第六节 支持保障农民就业增收，有效提高农民收入</w:t>
          </w:r>
          <w:r>
            <w:rPr>
              <w:sz w:val="24"/>
              <w:szCs w:val="24"/>
              <w:highlight w:val="none"/>
            </w:rPr>
            <w:tab/>
          </w:r>
          <w:r>
            <w:rPr>
              <w:sz w:val="28"/>
              <w:szCs w:val="28"/>
              <w:highlight w:val="none"/>
            </w:rPr>
            <w:fldChar w:fldCharType="begin"/>
          </w:r>
          <w:r>
            <w:rPr>
              <w:sz w:val="28"/>
              <w:szCs w:val="28"/>
              <w:highlight w:val="none"/>
            </w:rPr>
            <w:instrText xml:space="preserve"> PAGEREF _Toc64790993 \h </w:instrText>
          </w:r>
          <w:r>
            <w:rPr>
              <w:sz w:val="28"/>
              <w:szCs w:val="28"/>
              <w:highlight w:val="none"/>
            </w:rPr>
            <w:fldChar w:fldCharType="separate"/>
          </w:r>
          <w:r>
            <w:rPr>
              <w:rFonts w:hint="eastAsia"/>
              <w:sz w:val="28"/>
              <w:szCs w:val="28"/>
              <w:highlight w:val="none"/>
              <w:lang w:val="en-US" w:eastAsia="zh-CN"/>
            </w:rPr>
            <w:t>50</w:t>
          </w:r>
          <w:r>
            <w:rPr>
              <w:sz w:val="28"/>
              <w:szCs w:val="28"/>
              <w:highlight w:val="none"/>
            </w:rPr>
            <w:fldChar w:fldCharType="end"/>
          </w:r>
          <w:r>
            <w:rPr>
              <w:sz w:val="24"/>
              <w:szCs w:val="24"/>
              <w:highlight w:val="none"/>
            </w:rPr>
            <w:fldChar w:fldCharType="end"/>
          </w:r>
        </w:p>
        <w:p w14:paraId="576099F6">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eastAsia="宋体"/>
              <w:b/>
              <w:bCs/>
              <w:sz w:val="28"/>
              <w:szCs w:val="28"/>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_Toc168010322 </w:instrText>
          </w:r>
          <w:r>
            <w:rPr>
              <w:rFonts w:eastAsia="宋体"/>
              <w:b/>
              <w:bCs/>
              <w:sz w:val="28"/>
              <w:szCs w:val="28"/>
              <w:highlight w:val="none"/>
            </w:rPr>
            <w:fldChar w:fldCharType="separate"/>
          </w:r>
          <w:r>
            <w:rPr>
              <w:rFonts w:hint="eastAsia" w:eastAsia="宋体"/>
              <w:b/>
              <w:bCs/>
              <w:sz w:val="28"/>
              <w:szCs w:val="28"/>
              <w:highlight w:val="none"/>
              <w:lang w:val="en-US" w:eastAsia="zh-Hans"/>
            </w:rPr>
            <w:t>第五章 深度融入区域发展格局，实现高水平对外开放合作</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_Toc168010322 \h </w:instrText>
          </w:r>
          <w:r>
            <w:rPr>
              <w:rFonts w:eastAsia="宋体"/>
              <w:b/>
              <w:bCs/>
              <w:sz w:val="28"/>
              <w:szCs w:val="28"/>
              <w:highlight w:val="none"/>
            </w:rPr>
            <w:fldChar w:fldCharType="separate"/>
          </w:r>
          <w:r>
            <w:rPr>
              <w:rFonts w:eastAsia="宋体"/>
              <w:b/>
              <w:bCs/>
              <w:sz w:val="28"/>
              <w:szCs w:val="28"/>
              <w:highlight w:val="none"/>
            </w:rPr>
            <w:t>51</w:t>
          </w:r>
          <w:r>
            <w:rPr>
              <w:rFonts w:eastAsia="宋体"/>
              <w:b/>
              <w:bCs/>
              <w:sz w:val="28"/>
              <w:szCs w:val="28"/>
              <w:highlight w:val="none"/>
            </w:rPr>
            <w:fldChar w:fldCharType="end"/>
          </w:r>
          <w:r>
            <w:rPr>
              <w:rFonts w:eastAsia="宋体"/>
              <w:b/>
              <w:bCs/>
              <w:sz w:val="28"/>
              <w:szCs w:val="28"/>
              <w:highlight w:val="none"/>
            </w:rPr>
            <w:fldChar w:fldCharType="end"/>
          </w:r>
        </w:p>
        <w:p w14:paraId="35A8F938">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_Toc1955969696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加快推动区域经济高质量协同发展</w:t>
          </w:r>
          <w:r>
            <w:rPr>
              <w:sz w:val="24"/>
              <w:szCs w:val="24"/>
              <w:highlight w:val="none"/>
            </w:rPr>
            <w:tab/>
          </w:r>
          <w:r>
            <w:rPr>
              <w:sz w:val="28"/>
              <w:szCs w:val="28"/>
              <w:highlight w:val="none"/>
            </w:rPr>
            <w:fldChar w:fldCharType="begin"/>
          </w:r>
          <w:r>
            <w:rPr>
              <w:sz w:val="28"/>
              <w:szCs w:val="28"/>
              <w:highlight w:val="none"/>
            </w:rPr>
            <w:instrText xml:space="preserve"> PAGEREF _Toc1955969696 \h </w:instrText>
          </w:r>
          <w:r>
            <w:rPr>
              <w:sz w:val="28"/>
              <w:szCs w:val="28"/>
              <w:highlight w:val="none"/>
            </w:rPr>
            <w:fldChar w:fldCharType="separate"/>
          </w:r>
          <w:r>
            <w:rPr>
              <w:sz w:val="28"/>
              <w:szCs w:val="28"/>
              <w:highlight w:val="none"/>
            </w:rPr>
            <w:t>51</w:t>
          </w:r>
          <w:r>
            <w:rPr>
              <w:sz w:val="28"/>
              <w:szCs w:val="28"/>
              <w:highlight w:val="none"/>
            </w:rPr>
            <w:fldChar w:fldCharType="end"/>
          </w:r>
          <w:r>
            <w:rPr>
              <w:sz w:val="24"/>
              <w:szCs w:val="24"/>
              <w:highlight w:val="none"/>
            </w:rPr>
            <w:fldChar w:fldCharType="end"/>
          </w:r>
        </w:p>
        <w:p w14:paraId="747692BA">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_Toc303012396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全面推进现代化基础设施建设</w:t>
          </w:r>
          <w:r>
            <w:rPr>
              <w:sz w:val="24"/>
              <w:szCs w:val="24"/>
              <w:highlight w:val="none"/>
            </w:rPr>
            <w:tab/>
          </w:r>
          <w:r>
            <w:rPr>
              <w:sz w:val="28"/>
              <w:szCs w:val="28"/>
              <w:highlight w:val="none"/>
            </w:rPr>
            <w:fldChar w:fldCharType="begin"/>
          </w:r>
          <w:r>
            <w:rPr>
              <w:sz w:val="28"/>
              <w:szCs w:val="28"/>
              <w:highlight w:val="none"/>
            </w:rPr>
            <w:instrText xml:space="preserve"> PAGEREF _Toc303012396 \h </w:instrText>
          </w:r>
          <w:r>
            <w:rPr>
              <w:sz w:val="28"/>
              <w:szCs w:val="28"/>
              <w:highlight w:val="none"/>
            </w:rPr>
            <w:fldChar w:fldCharType="separate"/>
          </w:r>
          <w:r>
            <w:rPr>
              <w:sz w:val="28"/>
              <w:szCs w:val="28"/>
              <w:highlight w:val="none"/>
            </w:rPr>
            <w:t>52</w:t>
          </w:r>
          <w:r>
            <w:rPr>
              <w:sz w:val="28"/>
              <w:szCs w:val="28"/>
              <w:highlight w:val="none"/>
            </w:rPr>
            <w:fldChar w:fldCharType="end"/>
          </w:r>
          <w:r>
            <w:rPr>
              <w:sz w:val="24"/>
              <w:szCs w:val="24"/>
              <w:highlight w:val="none"/>
            </w:rPr>
            <w:fldChar w:fldCharType="end"/>
          </w:r>
        </w:p>
        <w:p w14:paraId="7DD0ED65">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_Toc1045612535 </w:instrText>
          </w:r>
          <w:r>
            <w:rPr>
              <w:sz w:val="24"/>
              <w:szCs w:val="24"/>
              <w:highlight w:val="none"/>
            </w:rPr>
            <w:fldChar w:fldCharType="separate"/>
          </w:r>
          <w:r>
            <w:rPr>
              <w:rFonts w:hint="eastAsia" w:ascii="楷体" w:hAnsi="楷体" w:eastAsia="楷体" w:cs="楷体"/>
              <w:sz w:val="28"/>
              <w:szCs w:val="28"/>
              <w:highlight w:val="none"/>
              <w:lang w:val="en-US" w:eastAsia="zh-Hans"/>
            </w:rPr>
            <w:t>第三节 加强对外开放合作</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深化拓展合作领域</w:t>
          </w:r>
          <w:r>
            <w:rPr>
              <w:sz w:val="24"/>
              <w:szCs w:val="24"/>
              <w:highlight w:val="none"/>
            </w:rPr>
            <w:tab/>
          </w:r>
          <w:r>
            <w:rPr>
              <w:sz w:val="28"/>
              <w:szCs w:val="28"/>
              <w:highlight w:val="none"/>
            </w:rPr>
            <w:fldChar w:fldCharType="begin"/>
          </w:r>
          <w:r>
            <w:rPr>
              <w:sz w:val="28"/>
              <w:szCs w:val="28"/>
              <w:highlight w:val="none"/>
            </w:rPr>
            <w:instrText xml:space="preserve"> PAGEREF _Toc1045612535 \h </w:instrText>
          </w:r>
          <w:r>
            <w:rPr>
              <w:sz w:val="28"/>
              <w:szCs w:val="28"/>
              <w:highlight w:val="none"/>
            </w:rPr>
            <w:fldChar w:fldCharType="separate"/>
          </w:r>
          <w:r>
            <w:rPr>
              <w:sz w:val="28"/>
              <w:szCs w:val="28"/>
              <w:highlight w:val="none"/>
            </w:rPr>
            <w:t>54</w:t>
          </w:r>
          <w:r>
            <w:rPr>
              <w:sz w:val="28"/>
              <w:szCs w:val="28"/>
              <w:highlight w:val="none"/>
            </w:rPr>
            <w:fldChar w:fldCharType="end"/>
          </w:r>
          <w:r>
            <w:rPr>
              <w:sz w:val="24"/>
              <w:szCs w:val="24"/>
              <w:highlight w:val="none"/>
            </w:rPr>
            <w:fldChar w:fldCharType="end"/>
          </w:r>
        </w:p>
        <w:p w14:paraId="78FEAC59">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_Toc751192344 </w:instrText>
          </w:r>
          <w:r>
            <w:rPr>
              <w:rFonts w:eastAsia="宋体"/>
              <w:b/>
              <w:bCs/>
              <w:sz w:val="28"/>
              <w:szCs w:val="28"/>
              <w:highlight w:val="none"/>
            </w:rPr>
            <w:fldChar w:fldCharType="separate"/>
          </w:r>
          <w:r>
            <w:rPr>
              <w:rFonts w:hint="eastAsia" w:eastAsia="宋体"/>
              <w:b/>
              <w:bCs/>
              <w:sz w:val="28"/>
              <w:szCs w:val="28"/>
              <w:highlight w:val="none"/>
              <w:lang w:val="en-US" w:eastAsia="zh-Hans"/>
            </w:rPr>
            <w:t>第六章 强化科技创新引领高质量发展，培育新质生产力</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_Toc751192344 \h </w:instrText>
          </w:r>
          <w:r>
            <w:rPr>
              <w:rFonts w:eastAsia="宋体"/>
              <w:b/>
              <w:bCs/>
              <w:sz w:val="28"/>
              <w:szCs w:val="28"/>
              <w:highlight w:val="none"/>
            </w:rPr>
            <w:fldChar w:fldCharType="separate"/>
          </w:r>
          <w:r>
            <w:rPr>
              <w:rFonts w:eastAsia="宋体"/>
              <w:b/>
              <w:bCs/>
              <w:sz w:val="28"/>
              <w:szCs w:val="28"/>
              <w:highlight w:val="none"/>
            </w:rPr>
            <w:t>57</w:t>
          </w:r>
          <w:r>
            <w:rPr>
              <w:rFonts w:eastAsia="宋体"/>
              <w:b/>
              <w:bCs/>
              <w:sz w:val="28"/>
              <w:szCs w:val="28"/>
              <w:highlight w:val="none"/>
            </w:rPr>
            <w:fldChar w:fldCharType="end"/>
          </w:r>
          <w:r>
            <w:rPr>
              <w:rFonts w:eastAsia="宋体"/>
              <w:b/>
              <w:bCs/>
              <w:sz w:val="28"/>
              <w:szCs w:val="28"/>
              <w:highlight w:val="none"/>
            </w:rPr>
            <w:fldChar w:fldCharType="end"/>
          </w:r>
        </w:p>
        <w:p w14:paraId="625297F8">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_Toc233364895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深化改革创新</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驱动高质量发展</w:t>
          </w:r>
          <w:r>
            <w:rPr>
              <w:sz w:val="24"/>
              <w:szCs w:val="24"/>
              <w:highlight w:val="none"/>
            </w:rPr>
            <w:tab/>
          </w:r>
          <w:r>
            <w:rPr>
              <w:sz w:val="28"/>
              <w:szCs w:val="28"/>
              <w:highlight w:val="none"/>
            </w:rPr>
            <w:fldChar w:fldCharType="begin"/>
          </w:r>
          <w:r>
            <w:rPr>
              <w:sz w:val="28"/>
              <w:szCs w:val="28"/>
              <w:highlight w:val="none"/>
            </w:rPr>
            <w:instrText xml:space="preserve"> PAGEREF _Toc233364895 \h </w:instrText>
          </w:r>
          <w:r>
            <w:rPr>
              <w:sz w:val="28"/>
              <w:szCs w:val="28"/>
              <w:highlight w:val="none"/>
            </w:rPr>
            <w:fldChar w:fldCharType="separate"/>
          </w:r>
          <w:r>
            <w:rPr>
              <w:sz w:val="28"/>
              <w:szCs w:val="28"/>
              <w:highlight w:val="none"/>
            </w:rPr>
            <w:t>57</w:t>
          </w:r>
          <w:r>
            <w:rPr>
              <w:sz w:val="28"/>
              <w:szCs w:val="28"/>
              <w:highlight w:val="none"/>
            </w:rPr>
            <w:fldChar w:fldCharType="end"/>
          </w:r>
          <w:r>
            <w:rPr>
              <w:sz w:val="24"/>
              <w:szCs w:val="24"/>
              <w:highlight w:val="none"/>
            </w:rPr>
            <w:fldChar w:fldCharType="end"/>
          </w:r>
        </w:p>
        <w:p w14:paraId="0EFE6D47">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_Toc858650843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推动科技创新和产业创新深度融合</w:t>
          </w:r>
          <w:r>
            <w:rPr>
              <w:sz w:val="24"/>
              <w:szCs w:val="24"/>
              <w:highlight w:val="none"/>
            </w:rPr>
            <w:tab/>
          </w:r>
          <w:r>
            <w:rPr>
              <w:sz w:val="28"/>
              <w:szCs w:val="28"/>
              <w:highlight w:val="none"/>
            </w:rPr>
            <w:fldChar w:fldCharType="begin"/>
          </w:r>
          <w:r>
            <w:rPr>
              <w:sz w:val="28"/>
              <w:szCs w:val="28"/>
              <w:highlight w:val="none"/>
            </w:rPr>
            <w:instrText xml:space="preserve"> PAGEREF _Toc858650843 \h </w:instrText>
          </w:r>
          <w:r>
            <w:rPr>
              <w:sz w:val="28"/>
              <w:szCs w:val="28"/>
              <w:highlight w:val="none"/>
            </w:rPr>
            <w:fldChar w:fldCharType="separate"/>
          </w:r>
          <w:r>
            <w:rPr>
              <w:sz w:val="28"/>
              <w:szCs w:val="28"/>
              <w:highlight w:val="none"/>
            </w:rPr>
            <w:t>58</w:t>
          </w:r>
          <w:r>
            <w:rPr>
              <w:sz w:val="28"/>
              <w:szCs w:val="28"/>
              <w:highlight w:val="none"/>
            </w:rPr>
            <w:fldChar w:fldCharType="end"/>
          </w:r>
          <w:r>
            <w:rPr>
              <w:sz w:val="24"/>
              <w:szCs w:val="24"/>
              <w:highlight w:val="none"/>
            </w:rPr>
            <w:fldChar w:fldCharType="end"/>
          </w:r>
        </w:p>
        <w:p w14:paraId="07821C41">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_Toc254610461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三</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建设高素质人才队伍</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打牢创新根基</w:t>
          </w:r>
          <w:r>
            <w:rPr>
              <w:sz w:val="24"/>
              <w:szCs w:val="24"/>
              <w:highlight w:val="none"/>
            </w:rPr>
            <w:tab/>
          </w:r>
          <w:r>
            <w:rPr>
              <w:sz w:val="28"/>
              <w:szCs w:val="28"/>
              <w:highlight w:val="none"/>
            </w:rPr>
            <w:fldChar w:fldCharType="begin"/>
          </w:r>
          <w:r>
            <w:rPr>
              <w:sz w:val="28"/>
              <w:szCs w:val="28"/>
              <w:highlight w:val="none"/>
            </w:rPr>
            <w:instrText xml:space="preserve"> PAGEREF _Toc254610461 \h </w:instrText>
          </w:r>
          <w:r>
            <w:rPr>
              <w:sz w:val="28"/>
              <w:szCs w:val="28"/>
              <w:highlight w:val="none"/>
            </w:rPr>
            <w:fldChar w:fldCharType="separate"/>
          </w:r>
          <w:r>
            <w:rPr>
              <w:sz w:val="28"/>
              <w:szCs w:val="28"/>
              <w:highlight w:val="none"/>
            </w:rPr>
            <w:t>60</w:t>
          </w:r>
          <w:r>
            <w:rPr>
              <w:sz w:val="28"/>
              <w:szCs w:val="28"/>
              <w:highlight w:val="none"/>
            </w:rPr>
            <w:fldChar w:fldCharType="end"/>
          </w:r>
          <w:r>
            <w:rPr>
              <w:sz w:val="24"/>
              <w:szCs w:val="24"/>
              <w:highlight w:val="none"/>
            </w:rPr>
            <w:fldChar w:fldCharType="end"/>
          </w:r>
        </w:p>
        <w:p w14:paraId="352EDA6D">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_Toc1450593203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四</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深入持久</w:t>
          </w:r>
          <w:r>
            <w:rPr>
              <w:rFonts w:hint="default" w:ascii="楷体" w:hAnsi="楷体" w:eastAsia="楷体" w:cs="楷体"/>
              <w:sz w:val="28"/>
              <w:szCs w:val="28"/>
              <w:highlight w:val="none"/>
              <w:lang w:val="en-US" w:eastAsia="zh-CN"/>
            </w:rPr>
            <w:t>优化创新发展生态</w:t>
          </w:r>
          <w:r>
            <w:rPr>
              <w:sz w:val="24"/>
              <w:szCs w:val="24"/>
              <w:highlight w:val="none"/>
            </w:rPr>
            <w:tab/>
          </w:r>
          <w:r>
            <w:rPr>
              <w:sz w:val="28"/>
              <w:szCs w:val="28"/>
              <w:highlight w:val="none"/>
            </w:rPr>
            <w:fldChar w:fldCharType="begin"/>
          </w:r>
          <w:r>
            <w:rPr>
              <w:sz w:val="28"/>
              <w:szCs w:val="28"/>
              <w:highlight w:val="none"/>
            </w:rPr>
            <w:instrText xml:space="preserve"> PAGEREF _Toc1450593203 \h </w:instrText>
          </w:r>
          <w:r>
            <w:rPr>
              <w:sz w:val="28"/>
              <w:szCs w:val="28"/>
              <w:highlight w:val="none"/>
            </w:rPr>
            <w:fldChar w:fldCharType="separate"/>
          </w:r>
          <w:r>
            <w:rPr>
              <w:sz w:val="28"/>
              <w:szCs w:val="28"/>
              <w:highlight w:val="none"/>
            </w:rPr>
            <w:t>60</w:t>
          </w:r>
          <w:r>
            <w:rPr>
              <w:sz w:val="28"/>
              <w:szCs w:val="28"/>
              <w:highlight w:val="none"/>
            </w:rPr>
            <w:fldChar w:fldCharType="end"/>
          </w:r>
          <w:r>
            <w:rPr>
              <w:sz w:val="24"/>
              <w:szCs w:val="24"/>
              <w:highlight w:val="none"/>
            </w:rPr>
            <w:fldChar w:fldCharType="end"/>
          </w:r>
        </w:p>
        <w:p w14:paraId="54A5AE0D">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eastAsia="宋体"/>
              <w:b/>
              <w:bCs/>
              <w:sz w:val="28"/>
              <w:szCs w:val="28"/>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_Toc1885602077 </w:instrText>
          </w:r>
          <w:r>
            <w:rPr>
              <w:rFonts w:eastAsia="宋体"/>
              <w:b/>
              <w:bCs/>
              <w:sz w:val="28"/>
              <w:szCs w:val="28"/>
              <w:highlight w:val="none"/>
            </w:rPr>
            <w:fldChar w:fldCharType="separate"/>
          </w:r>
          <w:r>
            <w:rPr>
              <w:rFonts w:hint="eastAsia" w:eastAsia="宋体"/>
              <w:b/>
              <w:bCs/>
              <w:sz w:val="28"/>
              <w:szCs w:val="28"/>
              <w:highlight w:val="none"/>
              <w:lang w:val="en-US" w:eastAsia="zh-CN"/>
            </w:rPr>
            <w:t>第七章 发挥经济体制改革牵引作用，激发内生发展动力</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_Toc1885602077 \h </w:instrText>
          </w:r>
          <w:r>
            <w:rPr>
              <w:rFonts w:eastAsia="宋体"/>
              <w:b/>
              <w:bCs/>
              <w:sz w:val="28"/>
              <w:szCs w:val="28"/>
              <w:highlight w:val="none"/>
            </w:rPr>
            <w:fldChar w:fldCharType="separate"/>
          </w:r>
          <w:r>
            <w:rPr>
              <w:rFonts w:eastAsia="宋体"/>
              <w:b/>
              <w:bCs/>
              <w:sz w:val="28"/>
              <w:szCs w:val="28"/>
              <w:highlight w:val="none"/>
            </w:rPr>
            <w:t>62</w:t>
          </w:r>
          <w:r>
            <w:rPr>
              <w:rFonts w:eastAsia="宋体"/>
              <w:b/>
              <w:bCs/>
              <w:sz w:val="28"/>
              <w:szCs w:val="28"/>
              <w:highlight w:val="none"/>
            </w:rPr>
            <w:fldChar w:fldCharType="end"/>
          </w:r>
          <w:r>
            <w:rPr>
              <w:rFonts w:eastAsia="宋体"/>
              <w:b/>
              <w:bCs/>
              <w:sz w:val="28"/>
              <w:szCs w:val="28"/>
              <w:highlight w:val="none"/>
            </w:rPr>
            <w:fldChar w:fldCharType="end"/>
          </w:r>
        </w:p>
        <w:p w14:paraId="3C643C77">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_Toc897929360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激发各类</w:t>
          </w:r>
          <w:r>
            <w:rPr>
              <w:rFonts w:hint="eastAsia" w:ascii="楷体" w:hAnsi="楷体" w:eastAsia="楷体" w:cs="楷体"/>
              <w:sz w:val="28"/>
              <w:szCs w:val="28"/>
              <w:highlight w:val="none"/>
              <w:lang w:val="en-US" w:eastAsia="zh-CN"/>
            </w:rPr>
            <w:t>经营</w:t>
          </w:r>
          <w:r>
            <w:rPr>
              <w:rFonts w:hint="eastAsia" w:ascii="楷体" w:hAnsi="楷体" w:eastAsia="楷体" w:cs="楷体"/>
              <w:sz w:val="28"/>
              <w:szCs w:val="28"/>
              <w:highlight w:val="none"/>
              <w:lang w:val="en-US" w:eastAsia="zh-Hans"/>
            </w:rPr>
            <w:t>主体活力</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推动经济持续健康发展</w:t>
          </w:r>
          <w:r>
            <w:rPr>
              <w:sz w:val="24"/>
              <w:szCs w:val="24"/>
              <w:highlight w:val="none"/>
            </w:rPr>
            <w:tab/>
          </w:r>
          <w:r>
            <w:rPr>
              <w:sz w:val="28"/>
              <w:szCs w:val="28"/>
              <w:highlight w:val="none"/>
            </w:rPr>
            <w:fldChar w:fldCharType="begin"/>
          </w:r>
          <w:r>
            <w:rPr>
              <w:sz w:val="28"/>
              <w:szCs w:val="28"/>
              <w:highlight w:val="none"/>
            </w:rPr>
            <w:instrText xml:space="preserve"> PAGEREF _Toc897929360 \h </w:instrText>
          </w:r>
          <w:r>
            <w:rPr>
              <w:sz w:val="28"/>
              <w:szCs w:val="28"/>
              <w:highlight w:val="none"/>
            </w:rPr>
            <w:fldChar w:fldCharType="separate"/>
          </w:r>
          <w:r>
            <w:rPr>
              <w:sz w:val="28"/>
              <w:szCs w:val="28"/>
              <w:highlight w:val="none"/>
            </w:rPr>
            <w:t>62</w:t>
          </w:r>
          <w:r>
            <w:rPr>
              <w:sz w:val="28"/>
              <w:szCs w:val="28"/>
              <w:highlight w:val="none"/>
            </w:rPr>
            <w:fldChar w:fldCharType="end"/>
          </w:r>
          <w:r>
            <w:rPr>
              <w:sz w:val="24"/>
              <w:szCs w:val="24"/>
              <w:highlight w:val="none"/>
            </w:rPr>
            <w:fldChar w:fldCharType="end"/>
          </w:r>
        </w:p>
        <w:p w14:paraId="24A34C17">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_Toc1131166051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二</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持续深化要素市场化配置</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增强高质量发展动力</w:t>
          </w:r>
          <w:r>
            <w:rPr>
              <w:sz w:val="24"/>
              <w:szCs w:val="24"/>
              <w:highlight w:val="none"/>
            </w:rPr>
            <w:tab/>
          </w:r>
          <w:r>
            <w:rPr>
              <w:sz w:val="28"/>
              <w:szCs w:val="28"/>
              <w:highlight w:val="none"/>
            </w:rPr>
            <w:fldChar w:fldCharType="begin"/>
          </w:r>
          <w:r>
            <w:rPr>
              <w:sz w:val="28"/>
              <w:szCs w:val="28"/>
              <w:highlight w:val="none"/>
            </w:rPr>
            <w:instrText xml:space="preserve"> PAGEREF _Toc1131166051 \h </w:instrText>
          </w:r>
          <w:r>
            <w:rPr>
              <w:sz w:val="28"/>
              <w:szCs w:val="28"/>
              <w:highlight w:val="none"/>
            </w:rPr>
            <w:fldChar w:fldCharType="separate"/>
          </w:r>
          <w:r>
            <w:rPr>
              <w:sz w:val="28"/>
              <w:szCs w:val="28"/>
              <w:highlight w:val="none"/>
            </w:rPr>
            <w:t>63</w:t>
          </w:r>
          <w:r>
            <w:rPr>
              <w:sz w:val="28"/>
              <w:szCs w:val="28"/>
              <w:highlight w:val="none"/>
            </w:rPr>
            <w:fldChar w:fldCharType="end"/>
          </w:r>
          <w:r>
            <w:rPr>
              <w:sz w:val="24"/>
              <w:szCs w:val="24"/>
              <w:highlight w:val="none"/>
            </w:rPr>
            <w:fldChar w:fldCharType="end"/>
          </w:r>
        </w:p>
        <w:p w14:paraId="3B4BAAC7">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hint="default" w:eastAsia="宋体"/>
              <w:highlight w:val="none"/>
              <w:lang w:val="en-US" w:eastAsia="zh-CN"/>
            </w:rPr>
          </w:pPr>
          <w:r>
            <w:rPr>
              <w:sz w:val="24"/>
              <w:szCs w:val="24"/>
              <w:highlight w:val="none"/>
            </w:rPr>
            <w:fldChar w:fldCharType="begin"/>
          </w:r>
          <w:r>
            <w:rPr>
              <w:sz w:val="24"/>
              <w:szCs w:val="24"/>
              <w:highlight w:val="none"/>
            </w:rPr>
            <w:instrText xml:space="preserve"> HYPERLINK \l _Toc1131166051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三</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激发内需消费潜力</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CN"/>
            </w:rPr>
            <w:t>培育经济新动能</w:t>
          </w:r>
          <w:r>
            <w:rPr>
              <w:sz w:val="24"/>
              <w:szCs w:val="24"/>
              <w:highlight w:val="none"/>
            </w:rPr>
            <w:tab/>
          </w:r>
          <w:r>
            <w:rPr>
              <w:sz w:val="28"/>
              <w:szCs w:val="28"/>
              <w:highlight w:val="none"/>
            </w:rPr>
            <w:fldChar w:fldCharType="begin"/>
          </w:r>
          <w:r>
            <w:rPr>
              <w:sz w:val="28"/>
              <w:szCs w:val="28"/>
              <w:highlight w:val="none"/>
            </w:rPr>
            <w:instrText xml:space="preserve"> PAGEREF _Toc1131166051 \h </w:instrText>
          </w:r>
          <w:r>
            <w:rPr>
              <w:sz w:val="28"/>
              <w:szCs w:val="28"/>
              <w:highlight w:val="none"/>
            </w:rPr>
            <w:fldChar w:fldCharType="separate"/>
          </w:r>
          <w:r>
            <w:rPr>
              <w:sz w:val="28"/>
              <w:szCs w:val="28"/>
              <w:highlight w:val="none"/>
            </w:rPr>
            <w:t>6</w:t>
          </w:r>
          <w:r>
            <w:rPr>
              <w:rFonts w:hint="eastAsia"/>
              <w:sz w:val="28"/>
              <w:szCs w:val="28"/>
              <w:highlight w:val="none"/>
              <w:lang w:val="en-US" w:eastAsia="zh-CN"/>
            </w:rPr>
            <w:t>4</w:t>
          </w:r>
          <w:r>
            <w:rPr>
              <w:sz w:val="28"/>
              <w:szCs w:val="28"/>
              <w:highlight w:val="none"/>
            </w:rPr>
            <w:fldChar w:fldCharType="end"/>
          </w:r>
          <w:r>
            <w:rPr>
              <w:sz w:val="24"/>
              <w:szCs w:val="24"/>
              <w:highlight w:val="none"/>
            </w:rPr>
            <w:fldChar w:fldCharType="end"/>
          </w:r>
        </w:p>
        <w:p w14:paraId="3E2ED332">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_Toc1982575913 </w:instrText>
          </w:r>
          <w:r>
            <w:rPr>
              <w:rFonts w:eastAsia="宋体"/>
              <w:b/>
              <w:bCs/>
              <w:sz w:val="28"/>
              <w:szCs w:val="28"/>
              <w:highlight w:val="none"/>
            </w:rPr>
            <w:fldChar w:fldCharType="separate"/>
          </w:r>
          <w:r>
            <w:rPr>
              <w:rFonts w:hint="eastAsia" w:eastAsia="宋体"/>
              <w:b/>
              <w:bCs/>
              <w:sz w:val="28"/>
              <w:szCs w:val="28"/>
              <w:highlight w:val="none"/>
              <w:lang w:val="en-US" w:eastAsia="zh-CN"/>
            </w:rPr>
            <w:t>第八章 推动新型城镇化建设，</w:t>
          </w:r>
          <w:r>
            <w:rPr>
              <w:rFonts w:hint="eastAsia" w:eastAsia="宋体"/>
              <w:b/>
              <w:bCs/>
              <w:sz w:val="28"/>
              <w:szCs w:val="28"/>
              <w:highlight w:val="none"/>
              <w:lang w:val="en-US" w:eastAsia="zh-Hans"/>
            </w:rPr>
            <w:t>统筹推进</w:t>
          </w:r>
          <w:r>
            <w:rPr>
              <w:rFonts w:hint="eastAsia" w:eastAsia="宋体"/>
              <w:b/>
              <w:bCs/>
              <w:sz w:val="28"/>
              <w:szCs w:val="28"/>
              <w:highlight w:val="none"/>
              <w:lang w:val="en-US" w:eastAsia="zh-CN"/>
            </w:rPr>
            <w:t>城乡融合发展</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_Toc1982575913 \h </w:instrText>
          </w:r>
          <w:r>
            <w:rPr>
              <w:rFonts w:eastAsia="宋体"/>
              <w:b/>
              <w:bCs/>
              <w:sz w:val="28"/>
              <w:szCs w:val="28"/>
              <w:highlight w:val="none"/>
            </w:rPr>
            <w:fldChar w:fldCharType="separate"/>
          </w:r>
          <w:r>
            <w:rPr>
              <w:rFonts w:eastAsia="宋体"/>
              <w:b/>
              <w:bCs/>
              <w:sz w:val="28"/>
              <w:szCs w:val="28"/>
              <w:highlight w:val="none"/>
            </w:rPr>
            <w:t>65</w:t>
          </w:r>
          <w:r>
            <w:rPr>
              <w:rFonts w:eastAsia="宋体"/>
              <w:b/>
              <w:bCs/>
              <w:sz w:val="28"/>
              <w:szCs w:val="28"/>
              <w:highlight w:val="none"/>
            </w:rPr>
            <w:fldChar w:fldCharType="end"/>
          </w:r>
          <w:r>
            <w:rPr>
              <w:rFonts w:eastAsia="宋体"/>
              <w:b/>
              <w:bCs/>
              <w:sz w:val="28"/>
              <w:szCs w:val="28"/>
              <w:highlight w:val="none"/>
            </w:rPr>
            <w:fldChar w:fldCharType="end"/>
          </w:r>
        </w:p>
        <w:p w14:paraId="4F6158CE">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_Toc797102939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完善县域国土空间规划</w:t>
          </w:r>
          <w:r>
            <w:rPr>
              <w:rFonts w:hint="eastAsia" w:ascii="楷体" w:hAnsi="楷体" w:eastAsia="楷体" w:cs="楷体"/>
              <w:sz w:val="28"/>
              <w:szCs w:val="28"/>
              <w:highlight w:val="none"/>
              <w:lang w:val="en-US" w:eastAsia="zh-Hans"/>
            </w:rPr>
            <w:t>布局</w:t>
          </w:r>
          <w:r>
            <w:rPr>
              <w:sz w:val="24"/>
              <w:szCs w:val="24"/>
              <w:highlight w:val="none"/>
            </w:rPr>
            <w:tab/>
          </w:r>
          <w:r>
            <w:rPr>
              <w:sz w:val="28"/>
              <w:szCs w:val="28"/>
              <w:highlight w:val="none"/>
            </w:rPr>
            <w:fldChar w:fldCharType="begin"/>
          </w:r>
          <w:r>
            <w:rPr>
              <w:sz w:val="28"/>
              <w:szCs w:val="28"/>
              <w:highlight w:val="none"/>
            </w:rPr>
            <w:instrText xml:space="preserve"> PAGEREF _Toc797102939 \h </w:instrText>
          </w:r>
          <w:r>
            <w:rPr>
              <w:sz w:val="28"/>
              <w:szCs w:val="28"/>
              <w:highlight w:val="none"/>
            </w:rPr>
            <w:fldChar w:fldCharType="separate"/>
          </w:r>
          <w:r>
            <w:rPr>
              <w:sz w:val="28"/>
              <w:szCs w:val="28"/>
              <w:highlight w:val="none"/>
            </w:rPr>
            <w:t>65</w:t>
          </w:r>
          <w:r>
            <w:rPr>
              <w:sz w:val="28"/>
              <w:szCs w:val="28"/>
              <w:highlight w:val="none"/>
            </w:rPr>
            <w:fldChar w:fldCharType="end"/>
          </w:r>
          <w:r>
            <w:rPr>
              <w:sz w:val="24"/>
              <w:szCs w:val="24"/>
              <w:highlight w:val="none"/>
            </w:rPr>
            <w:fldChar w:fldCharType="end"/>
          </w:r>
        </w:p>
        <w:p w14:paraId="33181FCF">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_Toc906105787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推进以人为本的新型城镇化建设</w:t>
          </w:r>
          <w:r>
            <w:rPr>
              <w:sz w:val="24"/>
              <w:szCs w:val="24"/>
              <w:highlight w:val="none"/>
            </w:rPr>
            <w:tab/>
          </w:r>
          <w:r>
            <w:rPr>
              <w:sz w:val="28"/>
              <w:szCs w:val="28"/>
              <w:highlight w:val="none"/>
            </w:rPr>
            <w:fldChar w:fldCharType="begin"/>
          </w:r>
          <w:r>
            <w:rPr>
              <w:sz w:val="28"/>
              <w:szCs w:val="28"/>
              <w:highlight w:val="none"/>
            </w:rPr>
            <w:instrText xml:space="preserve"> PAGEREF _Toc906105787 \h </w:instrText>
          </w:r>
          <w:r>
            <w:rPr>
              <w:sz w:val="28"/>
              <w:szCs w:val="28"/>
              <w:highlight w:val="none"/>
            </w:rPr>
            <w:fldChar w:fldCharType="separate"/>
          </w:r>
          <w:r>
            <w:rPr>
              <w:sz w:val="28"/>
              <w:szCs w:val="28"/>
              <w:highlight w:val="none"/>
            </w:rPr>
            <w:t>67</w:t>
          </w:r>
          <w:r>
            <w:rPr>
              <w:sz w:val="28"/>
              <w:szCs w:val="28"/>
              <w:highlight w:val="none"/>
            </w:rPr>
            <w:fldChar w:fldCharType="end"/>
          </w:r>
          <w:r>
            <w:rPr>
              <w:sz w:val="24"/>
              <w:szCs w:val="24"/>
              <w:highlight w:val="none"/>
            </w:rPr>
            <w:fldChar w:fldCharType="end"/>
          </w:r>
        </w:p>
        <w:p w14:paraId="62782E67">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_Toc1113421232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三</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统筹推进城乡融合发展</w:t>
          </w:r>
          <w:r>
            <w:rPr>
              <w:sz w:val="24"/>
              <w:szCs w:val="24"/>
              <w:highlight w:val="none"/>
            </w:rPr>
            <w:tab/>
          </w:r>
          <w:r>
            <w:rPr>
              <w:sz w:val="28"/>
              <w:szCs w:val="28"/>
              <w:highlight w:val="none"/>
            </w:rPr>
            <w:fldChar w:fldCharType="begin"/>
          </w:r>
          <w:r>
            <w:rPr>
              <w:sz w:val="28"/>
              <w:szCs w:val="28"/>
              <w:highlight w:val="none"/>
            </w:rPr>
            <w:instrText xml:space="preserve"> PAGEREF _Toc1113421232 \h </w:instrText>
          </w:r>
          <w:r>
            <w:rPr>
              <w:sz w:val="28"/>
              <w:szCs w:val="28"/>
              <w:highlight w:val="none"/>
            </w:rPr>
            <w:fldChar w:fldCharType="separate"/>
          </w:r>
          <w:r>
            <w:rPr>
              <w:sz w:val="28"/>
              <w:szCs w:val="28"/>
              <w:highlight w:val="none"/>
            </w:rPr>
            <w:t>68</w:t>
          </w:r>
          <w:r>
            <w:rPr>
              <w:sz w:val="28"/>
              <w:szCs w:val="28"/>
              <w:highlight w:val="none"/>
            </w:rPr>
            <w:fldChar w:fldCharType="end"/>
          </w:r>
          <w:r>
            <w:rPr>
              <w:sz w:val="24"/>
              <w:szCs w:val="24"/>
              <w:highlight w:val="none"/>
            </w:rPr>
            <w:fldChar w:fldCharType="end"/>
          </w:r>
        </w:p>
        <w:p w14:paraId="01F7CAF1">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_Toc98146266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四</w:t>
          </w:r>
          <w:r>
            <w:rPr>
              <w:rFonts w:hint="eastAsia" w:ascii="楷体" w:hAnsi="楷体" w:eastAsia="楷体" w:cs="楷体"/>
              <w:sz w:val="28"/>
              <w:szCs w:val="28"/>
              <w:highlight w:val="none"/>
              <w:lang w:val="en-US" w:eastAsia="zh-Hans"/>
            </w:rPr>
            <w:t>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深入实施“强县城”战略</w:t>
          </w:r>
          <w:r>
            <w:rPr>
              <w:sz w:val="24"/>
              <w:szCs w:val="24"/>
              <w:highlight w:val="none"/>
            </w:rPr>
            <w:tab/>
          </w:r>
          <w:r>
            <w:rPr>
              <w:sz w:val="28"/>
              <w:szCs w:val="28"/>
              <w:highlight w:val="none"/>
            </w:rPr>
            <w:fldChar w:fldCharType="begin"/>
          </w:r>
          <w:r>
            <w:rPr>
              <w:sz w:val="28"/>
              <w:szCs w:val="28"/>
              <w:highlight w:val="none"/>
            </w:rPr>
            <w:instrText xml:space="preserve"> PAGEREF _Toc98146266 \h </w:instrText>
          </w:r>
          <w:r>
            <w:rPr>
              <w:sz w:val="28"/>
              <w:szCs w:val="28"/>
              <w:highlight w:val="none"/>
            </w:rPr>
            <w:fldChar w:fldCharType="separate"/>
          </w:r>
          <w:r>
            <w:rPr>
              <w:sz w:val="28"/>
              <w:szCs w:val="28"/>
              <w:highlight w:val="none"/>
            </w:rPr>
            <w:t>70</w:t>
          </w:r>
          <w:r>
            <w:rPr>
              <w:sz w:val="28"/>
              <w:szCs w:val="28"/>
              <w:highlight w:val="none"/>
            </w:rPr>
            <w:fldChar w:fldCharType="end"/>
          </w:r>
          <w:r>
            <w:rPr>
              <w:sz w:val="24"/>
              <w:szCs w:val="24"/>
              <w:highlight w:val="none"/>
            </w:rPr>
            <w:fldChar w:fldCharType="end"/>
          </w:r>
        </w:p>
        <w:p w14:paraId="193D06DA">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_Toc276851766 </w:instrText>
          </w:r>
          <w:r>
            <w:rPr>
              <w:rFonts w:eastAsia="宋体"/>
              <w:b/>
              <w:bCs/>
              <w:sz w:val="28"/>
              <w:szCs w:val="28"/>
              <w:highlight w:val="none"/>
            </w:rPr>
            <w:fldChar w:fldCharType="separate"/>
          </w:r>
          <w:r>
            <w:rPr>
              <w:rFonts w:hint="eastAsia" w:eastAsia="宋体"/>
              <w:b/>
              <w:bCs/>
              <w:sz w:val="28"/>
              <w:szCs w:val="28"/>
              <w:highlight w:val="none"/>
              <w:lang w:val="en-US" w:eastAsia="zh-CN"/>
            </w:rPr>
            <w:t xml:space="preserve">第九章 </w:t>
          </w:r>
          <w:r>
            <w:rPr>
              <w:rFonts w:hint="eastAsia" w:eastAsia="宋体"/>
              <w:b/>
              <w:bCs/>
              <w:sz w:val="28"/>
              <w:szCs w:val="28"/>
              <w:highlight w:val="none"/>
              <w:lang w:val="en-US" w:eastAsia="zh-Hans"/>
            </w:rPr>
            <w:t>进一步</w:t>
          </w:r>
          <w:r>
            <w:rPr>
              <w:rFonts w:hint="eastAsia" w:eastAsia="宋体"/>
              <w:b/>
              <w:bCs/>
              <w:sz w:val="28"/>
              <w:szCs w:val="28"/>
              <w:highlight w:val="none"/>
              <w:lang w:val="en-US" w:eastAsia="zh-CN"/>
            </w:rPr>
            <w:t>繁荣发展文化事业，</w:t>
          </w:r>
          <w:r>
            <w:rPr>
              <w:rFonts w:hint="eastAsia" w:eastAsia="宋体"/>
              <w:b/>
              <w:bCs/>
              <w:sz w:val="28"/>
              <w:szCs w:val="28"/>
              <w:highlight w:val="none"/>
              <w:lang w:val="en-US" w:eastAsia="zh-Hans"/>
            </w:rPr>
            <w:t>弘扬社会主义优秀文化</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_Toc276851766 \h </w:instrText>
          </w:r>
          <w:r>
            <w:rPr>
              <w:rFonts w:eastAsia="宋体"/>
              <w:b/>
              <w:bCs/>
              <w:sz w:val="28"/>
              <w:szCs w:val="28"/>
              <w:highlight w:val="none"/>
            </w:rPr>
            <w:fldChar w:fldCharType="separate"/>
          </w:r>
          <w:r>
            <w:rPr>
              <w:rFonts w:eastAsia="宋体"/>
              <w:b/>
              <w:bCs/>
              <w:sz w:val="28"/>
              <w:szCs w:val="28"/>
              <w:highlight w:val="none"/>
            </w:rPr>
            <w:t>72</w:t>
          </w:r>
          <w:r>
            <w:rPr>
              <w:rFonts w:eastAsia="宋体"/>
              <w:b/>
              <w:bCs/>
              <w:sz w:val="28"/>
              <w:szCs w:val="28"/>
              <w:highlight w:val="none"/>
            </w:rPr>
            <w:fldChar w:fldCharType="end"/>
          </w:r>
          <w:r>
            <w:rPr>
              <w:rFonts w:eastAsia="宋体"/>
              <w:b/>
              <w:bCs/>
              <w:sz w:val="28"/>
              <w:szCs w:val="28"/>
              <w:highlight w:val="none"/>
            </w:rPr>
            <w:fldChar w:fldCharType="end"/>
          </w:r>
        </w:p>
        <w:p w14:paraId="0DE94CC3">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_Toc1598051760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系统推进文化事业</w:t>
          </w:r>
          <w:r>
            <w:rPr>
              <w:rFonts w:hint="eastAsia" w:ascii="楷体" w:hAnsi="楷体" w:eastAsia="楷体" w:cs="楷体"/>
              <w:sz w:val="28"/>
              <w:szCs w:val="28"/>
              <w:highlight w:val="none"/>
              <w:lang w:val="en-US" w:eastAsia="zh-CN"/>
            </w:rPr>
            <w:t>软实力</w:t>
          </w:r>
          <w:r>
            <w:rPr>
              <w:rFonts w:hint="eastAsia" w:ascii="楷体" w:hAnsi="楷体" w:eastAsia="楷体" w:cs="楷体"/>
              <w:sz w:val="28"/>
              <w:szCs w:val="28"/>
              <w:highlight w:val="none"/>
              <w:lang w:val="en-US" w:eastAsia="zh-Hans"/>
            </w:rPr>
            <w:t>工程</w:t>
          </w:r>
          <w:r>
            <w:rPr>
              <w:sz w:val="24"/>
              <w:szCs w:val="24"/>
              <w:highlight w:val="none"/>
            </w:rPr>
            <w:tab/>
          </w:r>
          <w:r>
            <w:rPr>
              <w:sz w:val="28"/>
              <w:szCs w:val="28"/>
              <w:highlight w:val="none"/>
            </w:rPr>
            <w:fldChar w:fldCharType="begin"/>
          </w:r>
          <w:r>
            <w:rPr>
              <w:sz w:val="28"/>
              <w:szCs w:val="28"/>
              <w:highlight w:val="none"/>
            </w:rPr>
            <w:instrText xml:space="preserve"> PAGEREF _Toc1598051760 \h </w:instrText>
          </w:r>
          <w:r>
            <w:rPr>
              <w:sz w:val="28"/>
              <w:szCs w:val="28"/>
              <w:highlight w:val="none"/>
            </w:rPr>
            <w:fldChar w:fldCharType="separate"/>
          </w:r>
          <w:r>
            <w:rPr>
              <w:sz w:val="28"/>
              <w:szCs w:val="28"/>
              <w:highlight w:val="none"/>
            </w:rPr>
            <w:t>72</w:t>
          </w:r>
          <w:r>
            <w:rPr>
              <w:sz w:val="28"/>
              <w:szCs w:val="28"/>
              <w:highlight w:val="none"/>
            </w:rPr>
            <w:fldChar w:fldCharType="end"/>
          </w:r>
          <w:r>
            <w:rPr>
              <w:sz w:val="24"/>
              <w:szCs w:val="24"/>
              <w:highlight w:val="none"/>
            </w:rPr>
            <w:fldChar w:fldCharType="end"/>
          </w:r>
        </w:p>
        <w:p w14:paraId="7A3CFCCF">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_Toc2025440938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挖掘培育特色文化品牌</w:t>
          </w:r>
          <w:r>
            <w:rPr>
              <w:rFonts w:hint="default" w:ascii="楷体" w:hAnsi="楷体" w:eastAsia="楷体" w:cs="楷体"/>
              <w:sz w:val="28"/>
              <w:szCs w:val="28"/>
              <w:highlight w:val="none"/>
              <w:lang w:val="en-US" w:eastAsia="zh-Hans"/>
            </w:rPr>
            <w:t>，</w:t>
          </w:r>
          <w:r>
            <w:rPr>
              <w:rFonts w:hint="eastAsia" w:ascii="楷体" w:hAnsi="楷体" w:eastAsia="楷体" w:cs="楷体"/>
              <w:sz w:val="28"/>
              <w:szCs w:val="28"/>
              <w:highlight w:val="none"/>
              <w:lang w:val="en-US" w:eastAsia="zh-Hans"/>
            </w:rPr>
            <w:t>打造柳城文化</w:t>
          </w:r>
          <w:r>
            <w:rPr>
              <w:rFonts w:hint="default" w:ascii="楷体" w:hAnsi="楷体" w:eastAsia="楷体" w:cs="楷体"/>
              <w:sz w:val="28"/>
              <w:szCs w:val="28"/>
              <w:highlight w:val="none"/>
              <w:lang w:val="en-US" w:eastAsia="zh-Hans"/>
            </w:rPr>
            <w:t>IP</w:t>
          </w:r>
          <w:r>
            <w:rPr>
              <w:sz w:val="24"/>
              <w:szCs w:val="24"/>
              <w:highlight w:val="none"/>
            </w:rPr>
            <w:tab/>
          </w:r>
          <w:r>
            <w:rPr>
              <w:sz w:val="28"/>
              <w:szCs w:val="28"/>
              <w:highlight w:val="none"/>
            </w:rPr>
            <w:fldChar w:fldCharType="begin"/>
          </w:r>
          <w:r>
            <w:rPr>
              <w:sz w:val="28"/>
              <w:szCs w:val="28"/>
              <w:highlight w:val="none"/>
            </w:rPr>
            <w:instrText xml:space="preserve"> PAGEREF _Toc2025440938 \h </w:instrText>
          </w:r>
          <w:r>
            <w:rPr>
              <w:sz w:val="28"/>
              <w:szCs w:val="28"/>
              <w:highlight w:val="none"/>
            </w:rPr>
            <w:fldChar w:fldCharType="separate"/>
          </w:r>
          <w:r>
            <w:rPr>
              <w:sz w:val="28"/>
              <w:szCs w:val="28"/>
              <w:highlight w:val="none"/>
            </w:rPr>
            <w:t>75</w:t>
          </w:r>
          <w:r>
            <w:rPr>
              <w:sz w:val="28"/>
              <w:szCs w:val="28"/>
              <w:highlight w:val="none"/>
            </w:rPr>
            <w:fldChar w:fldCharType="end"/>
          </w:r>
          <w:r>
            <w:rPr>
              <w:sz w:val="24"/>
              <w:szCs w:val="24"/>
              <w:highlight w:val="none"/>
            </w:rPr>
            <w:fldChar w:fldCharType="end"/>
          </w:r>
        </w:p>
        <w:p w14:paraId="58012545">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_Toc1822556369 </w:instrText>
          </w:r>
          <w:r>
            <w:rPr>
              <w:rFonts w:eastAsia="宋体"/>
              <w:b/>
              <w:bCs/>
              <w:sz w:val="28"/>
              <w:szCs w:val="28"/>
              <w:highlight w:val="none"/>
            </w:rPr>
            <w:fldChar w:fldCharType="separate"/>
          </w:r>
          <w:r>
            <w:rPr>
              <w:rFonts w:hint="eastAsia" w:eastAsia="宋体"/>
              <w:b/>
              <w:bCs/>
              <w:sz w:val="28"/>
              <w:szCs w:val="28"/>
              <w:highlight w:val="none"/>
              <w:lang w:val="en-US" w:eastAsia="zh-Hans"/>
            </w:rPr>
            <w:t>第十章 加大力度保障和改善民生，扎实推进共同富裕</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_Toc1822556369 \h </w:instrText>
          </w:r>
          <w:r>
            <w:rPr>
              <w:rFonts w:eastAsia="宋体"/>
              <w:b/>
              <w:bCs/>
              <w:sz w:val="28"/>
              <w:szCs w:val="28"/>
              <w:highlight w:val="none"/>
            </w:rPr>
            <w:fldChar w:fldCharType="separate"/>
          </w:r>
          <w:r>
            <w:rPr>
              <w:rFonts w:eastAsia="宋体"/>
              <w:b/>
              <w:bCs/>
              <w:sz w:val="28"/>
              <w:szCs w:val="28"/>
              <w:highlight w:val="none"/>
            </w:rPr>
            <w:t>78</w:t>
          </w:r>
          <w:r>
            <w:rPr>
              <w:rFonts w:eastAsia="宋体"/>
              <w:b/>
              <w:bCs/>
              <w:sz w:val="28"/>
              <w:szCs w:val="28"/>
              <w:highlight w:val="none"/>
            </w:rPr>
            <w:fldChar w:fldCharType="end"/>
          </w:r>
          <w:r>
            <w:rPr>
              <w:rFonts w:eastAsia="宋体"/>
              <w:b/>
              <w:bCs/>
              <w:sz w:val="28"/>
              <w:szCs w:val="28"/>
              <w:highlight w:val="none"/>
            </w:rPr>
            <w:fldChar w:fldCharType="end"/>
          </w:r>
        </w:p>
        <w:p w14:paraId="7BDBD505">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_Toc2145636622 </w:instrText>
          </w:r>
          <w:r>
            <w:rPr>
              <w:sz w:val="24"/>
              <w:szCs w:val="24"/>
              <w:highlight w:val="none"/>
            </w:rPr>
            <w:fldChar w:fldCharType="separate"/>
          </w:r>
          <w:r>
            <w:rPr>
              <w:rFonts w:hint="eastAsia" w:ascii="楷体" w:hAnsi="楷体" w:eastAsia="楷体" w:cs="楷体"/>
              <w:sz w:val="28"/>
              <w:szCs w:val="28"/>
              <w:highlight w:val="none"/>
              <w:lang w:val="en-US" w:eastAsia="zh-CN"/>
            </w:rPr>
            <w:t xml:space="preserve">第一节 </w:t>
          </w:r>
          <w:r>
            <w:rPr>
              <w:rFonts w:hint="eastAsia" w:ascii="楷体" w:hAnsi="楷体" w:eastAsia="楷体" w:cs="楷体"/>
              <w:sz w:val="28"/>
              <w:szCs w:val="28"/>
              <w:highlight w:val="none"/>
              <w:lang w:val="en-US" w:eastAsia="zh-Hans"/>
            </w:rPr>
            <w:t>促进高质量充分就业</w:t>
          </w:r>
          <w:r>
            <w:rPr>
              <w:sz w:val="24"/>
              <w:szCs w:val="24"/>
              <w:highlight w:val="none"/>
            </w:rPr>
            <w:tab/>
          </w:r>
          <w:r>
            <w:rPr>
              <w:sz w:val="28"/>
              <w:szCs w:val="28"/>
              <w:highlight w:val="none"/>
            </w:rPr>
            <w:fldChar w:fldCharType="begin"/>
          </w:r>
          <w:r>
            <w:rPr>
              <w:sz w:val="28"/>
              <w:szCs w:val="28"/>
              <w:highlight w:val="none"/>
            </w:rPr>
            <w:instrText xml:space="preserve"> PAGEREF _Toc2145636622 \h </w:instrText>
          </w:r>
          <w:r>
            <w:rPr>
              <w:sz w:val="28"/>
              <w:szCs w:val="28"/>
              <w:highlight w:val="none"/>
            </w:rPr>
            <w:fldChar w:fldCharType="separate"/>
          </w:r>
          <w:r>
            <w:rPr>
              <w:sz w:val="28"/>
              <w:szCs w:val="28"/>
              <w:highlight w:val="none"/>
            </w:rPr>
            <w:t>78</w:t>
          </w:r>
          <w:r>
            <w:rPr>
              <w:sz w:val="28"/>
              <w:szCs w:val="28"/>
              <w:highlight w:val="none"/>
            </w:rPr>
            <w:fldChar w:fldCharType="end"/>
          </w:r>
          <w:r>
            <w:rPr>
              <w:sz w:val="24"/>
              <w:szCs w:val="24"/>
              <w:highlight w:val="none"/>
            </w:rPr>
            <w:fldChar w:fldCharType="end"/>
          </w:r>
        </w:p>
        <w:p w14:paraId="479B353D">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_Toc1169305530 </w:instrText>
          </w:r>
          <w:r>
            <w:rPr>
              <w:sz w:val="24"/>
              <w:szCs w:val="24"/>
              <w:highlight w:val="none"/>
            </w:rPr>
            <w:fldChar w:fldCharType="separate"/>
          </w:r>
          <w:r>
            <w:rPr>
              <w:rFonts w:hint="eastAsia" w:ascii="楷体" w:hAnsi="楷体" w:eastAsia="楷体" w:cs="楷体"/>
              <w:sz w:val="28"/>
              <w:szCs w:val="28"/>
              <w:highlight w:val="none"/>
              <w:lang w:val="en-US" w:eastAsia="zh-CN"/>
            </w:rPr>
            <w:t>第二</w:t>
          </w:r>
          <w:r>
            <w:rPr>
              <w:rFonts w:hint="eastAsia" w:ascii="楷体" w:hAnsi="楷体" w:eastAsia="楷体" w:cs="楷体"/>
              <w:sz w:val="28"/>
              <w:szCs w:val="28"/>
              <w:highlight w:val="none"/>
              <w:lang w:val="en-US" w:eastAsia="zh-Hans"/>
            </w:rPr>
            <w:t>节</w:t>
          </w:r>
          <w:r>
            <w:rPr>
              <w:rFonts w:hint="default" w:ascii="楷体" w:hAnsi="楷体" w:eastAsia="楷体" w:cs="楷体"/>
              <w:sz w:val="28"/>
              <w:szCs w:val="28"/>
              <w:highlight w:val="none"/>
              <w:lang w:val="en-US" w:eastAsia="zh-Hans"/>
            </w:rPr>
            <w:t xml:space="preserve"> </w:t>
          </w:r>
          <w:r>
            <w:rPr>
              <w:rFonts w:hint="eastAsia" w:ascii="楷体" w:hAnsi="楷体" w:eastAsia="楷体" w:cs="楷体"/>
              <w:sz w:val="28"/>
              <w:szCs w:val="28"/>
              <w:highlight w:val="none"/>
              <w:lang w:val="en-US" w:eastAsia="zh-CN"/>
            </w:rPr>
            <w:t>多渠道促进居民增收</w:t>
          </w:r>
          <w:r>
            <w:rPr>
              <w:sz w:val="24"/>
              <w:szCs w:val="24"/>
              <w:highlight w:val="none"/>
            </w:rPr>
            <w:tab/>
          </w:r>
          <w:r>
            <w:rPr>
              <w:sz w:val="28"/>
              <w:szCs w:val="28"/>
              <w:highlight w:val="none"/>
            </w:rPr>
            <w:fldChar w:fldCharType="begin"/>
          </w:r>
          <w:r>
            <w:rPr>
              <w:sz w:val="28"/>
              <w:szCs w:val="28"/>
              <w:highlight w:val="none"/>
            </w:rPr>
            <w:instrText xml:space="preserve"> PAGEREF _Toc1169305530 \h </w:instrText>
          </w:r>
          <w:r>
            <w:rPr>
              <w:sz w:val="28"/>
              <w:szCs w:val="28"/>
              <w:highlight w:val="none"/>
            </w:rPr>
            <w:fldChar w:fldCharType="separate"/>
          </w:r>
          <w:r>
            <w:rPr>
              <w:sz w:val="28"/>
              <w:szCs w:val="28"/>
              <w:highlight w:val="none"/>
            </w:rPr>
            <w:t>79</w:t>
          </w:r>
          <w:r>
            <w:rPr>
              <w:sz w:val="28"/>
              <w:szCs w:val="28"/>
              <w:highlight w:val="none"/>
            </w:rPr>
            <w:fldChar w:fldCharType="end"/>
          </w:r>
          <w:r>
            <w:rPr>
              <w:sz w:val="24"/>
              <w:szCs w:val="24"/>
              <w:highlight w:val="none"/>
            </w:rPr>
            <w:fldChar w:fldCharType="end"/>
          </w:r>
        </w:p>
        <w:p w14:paraId="765FDB8C">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_Toc895189013 </w:instrText>
          </w:r>
          <w:r>
            <w:rPr>
              <w:sz w:val="24"/>
              <w:szCs w:val="24"/>
              <w:highlight w:val="none"/>
            </w:rPr>
            <w:fldChar w:fldCharType="separate"/>
          </w:r>
          <w:r>
            <w:rPr>
              <w:rFonts w:hint="eastAsia" w:ascii="楷体" w:hAnsi="楷体" w:eastAsia="楷体" w:cs="楷体"/>
              <w:sz w:val="28"/>
              <w:szCs w:val="28"/>
              <w:highlight w:val="none"/>
              <w:lang w:val="en-US" w:eastAsia="zh-Hans"/>
            </w:rPr>
            <w:t>第三节</w:t>
          </w:r>
          <w:r>
            <w:rPr>
              <w:rFonts w:hint="default" w:ascii="楷体" w:hAnsi="楷体" w:eastAsia="楷体" w:cs="楷体"/>
              <w:sz w:val="28"/>
              <w:szCs w:val="28"/>
              <w:highlight w:val="none"/>
              <w:lang w:val="en-US" w:eastAsia="zh-Hans"/>
            </w:rPr>
            <w:t xml:space="preserve"> </w:t>
          </w:r>
          <w:r>
            <w:rPr>
              <w:rFonts w:hint="eastAsia" w:ascii="楷体" w:hAnsi="楷体" w:eastAsia="楷体" w:cs="楷体"/>
              <w:sz w:val="28"/>
              <w:szCs w:val="28"/>
              <w:highlight w:val="none"/>
              <w:lang w:val="en-US" w:eastAsia="zh-CN"/>
            </w:rPr>
            <w:t>办好人民满意的教育</w:t>
          </w:r>
          <w:r>
            <w:rPr>
              <w:sz w:val="24"/>
              <w:szCs w:val="24"/>
              <w:highlight w:val="none"/>
            </w:rPr>
            <w:tab/>
          </w:r>
          <w:r>
            <w:rPr>
              <w:sz w:val="28"/>
              <w:szCs w:val="28"/>
              <w:highlight w:val="none"/>
            </w:rPr>
            <w:fldChar w:fldCharType="begin"/>
          </w:r>
          <w:r>
            <w:rPr>
              <w:sz w:val="28"/>
              <w:szCs w:val="28"/>
              <w:highlight w:val="none"/>
            </w:rPr>
            <w:instrText xml:space="preserve"> PAGEREF _Toc895189013 \h </w:instrText>
          </w:r>
          <w:r>
            <w:rPr>
              <w:sz w:val="28"/>
              <w:szCs w:val="28"/>
              <w:highlight w:val="none"/>
            </w:rPr>
            <w:fldChar w:fldCharType="separate"/>
          </w:r>
          <w:r>
            <w:rPr>
              <w:sz w:val="28"/>
              <w:szCs w:val="28"/>
              <w:highlight w:val="none"/>
            </w:rPr>
            <w:t>80</w:t>
          </w:r>
          <w:r>
            <w:rPr>
              <w:sz w:val="28"/>
              <w:szCs w:val="28"/>
              <w:highlight w:val="none"/>
            </w:rPr>
            <w:fldChar w:fldCharType="end"/>
          </w:r>
          <w:r>
            <w:rPr>
              <w:sz w:val="24"/>
              <w:szCs w:val="24"/>
              <w:highlight w:val="none"/>
            </w:rPr>
            <w:fldChar w:fldCharType="end"/>
          </w:r>
        </w:p>
        <w:p w14:paraId="4F244142">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_Toc171310609 </w:instrText>
          </w:r>
          <w:r>
            <w:rPr>
              <w:sz w:val="24"/>
              <w:szCs w:val="24"/>
              <w:highlight w:val="none"/>
            </w:rPr>
            <w:fldChar w:fldCharType="separate"/>
          </w:r>
          <w:r>
            <w:rPr>
              <w:rFonts w:hint="eastAsia" w:ascii="楷体" w:hAnsi="楷体" w:eastAsia="楷体" w:cs="楷体"/>
              <w:sz w:val="28"/>
              <w:szCs w:val="28"/>
              <w:highlight w:val="none"/>
              <w:lang w:val="en-US" w:eastAsia="zh-Hans"/>
            </w:rPr>
            <w:t>第四节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构建优质高效的健康保障体系</w:t>
          </w:r>
          <w:r>
            <w:rPr>
              <w:sz w:val="24"/>
              <w:szCs w:val="24"/>
              <w:highlight w:val="none"/>
            </w:rPr>
            <w:tab/>
          </w:r>
          <w:r>
            <w:rPr>
              <w:sz w:val="28"/>
              <w:szCs w:val="28"/>
              <w:highlight w:val="none"/>
            </w:rPr>
            <w:fldChar w:fldCharType="begin"/>
          </w:r>
          <w:r>
            <w:rPr>
              <w:sz w:val="28"/>
              <w:szCs w:val="28"/>
              <w:highlight w:val="none"/>
            </w:rPr>
            <w:instrText xml:space="preserve"> PAGEREF _Toc171310609 \h </w:instrText>
          </w:r>
          <w:r>
            <w:rPr>
              <w:sz w:val="28"/>
              <w:szCs w:val="28"/>
              <w:highlight w:val="none"/>
            </w:rPr>
            <w:fldChar w:fldCharType="separate"/>
          </w:r>
          <w:r>
            <w:rPr>
              <w:sz w:val="28"/>
              <w:szCs w:val="28"/>
              <w:highlight w:val="none"/>
            </w:rPr>
            <w:t>82</w:t>
          </w:r>
          <w:r>
            <w:rPr>
              <w:sz w:val="28"/>
              <w:szCs w:val="28"/>
              <w:highlight w:val="none"/>
            </w:rPr>
            <w:fldChar w:fldCharType="end"/>
          </w:r>
          <w:r>
            <w:rPr>
              <w:sz w:val="24"/>
              <w:szCs w:val="24"/>
              <w:highlight w:val="none"/>
            </w:rPr>
            <w:fldChar w:fldCharType="end"/>
          </w:r>
        </w:p>
        <w:p w14:paraId="1B0D3614">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_Toc1589318483 </w:instrText>
          </w:r>
          <w:r>
            <w:rPr>
              <w:sz w:val="24"/>
              <w:szCs w:val="24"/>
              <w:highlight w:val="none"/>
            </w:rPr>
            <w:fldChar w:fldCharType="separate"/>
          </w:r>
          <w:r>
            <w:rPr>
              <w:rFonts w:hint="eastAsia" w:ascii="楷体" w:hAnsi="楷体" w:eastAsia="楷体" w:cs="楷体"/>
              <w:sz w:val="28"/>
              <w:szCs w:val="28"/>
              <w:highlight w:val="none"/>
              <w:lang w:val="en-US" w:eastAsia="zh-Hans"/>
            </w:rPr>
            <w:t>第五节 健全温馨体贴的养老服务体系</w:t>
          </w:r>
          <w:r>
            <w:rPr>
              <w:sz w:val="24"/>
              <w:szCs w:val="24"/>
              <w:highlight w:val="none"/>
            </w:rPr>
            <w:tab/>
          </w:r>
          <w:r>
            <w:rPr>
              <w:sz w:val="28"/>
              <w:szCs w:val="28"/>
              <w:highlight w:val="none"/>
            </w:rPr>
            <w:fldChar w:fldCharType="begin"/>
          </w:r>
          <w:r>
            <w:rPr>
              <w:sz w:val="28"/>
              <w:szCs w:val="28"/>
              <w:highlight w:val="none"/>
            </w:rPr>
            <w:instrText xml:space="preserve"> PAGEREF _Toc1589318483 \h </w:instrText>
          </w:r>
          <w:r>
            <w:rPr>
              <w:sz w:val="28"/>
              <w:szCs w:val="28"/>
              <w:highlight w:val="none"/>
            </w:rPr>
            <w:fldChar w:fldCharType="separate"/>
          </w:r>
          <w:r>
            <w:rPr>
              <w:sz w:val="28"/>
              <w:szCs w:val="28"/>
              <w:highlight w:val="none"/>
            </w:rPr>
            <w:t>83</w:t>
          </w:r>
          <w:r>
            <w:rPr>
              <w:sz w:val="28"/>
              <w:szCs w:val="28"/>
              <w:highlight w:val="none"/>
            </w:rPr>
            <w:fldChar w:fldCharType="end"/>
          </w:r>
          <w:r>
            <w:rPr>
              <w:sz w:val="24"/>
              <w:szCs w:val="24"/>
              <w:highlight w:val="none"/>
            </w:rPr>
            <w:fldChar w:fldCharType="end"/>
          </w:r>
        </w:p>
        <w:p w14:paraId="38AEF551">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_Toc1274142395 </w:instrText>
          </w:r>
          <w:r>
            <w:rPr>
              <w:sz w:val="24"/>
              <w:szCs w:val="24"/>
              <w:highlight w:val="none"/>
            </w:rPr>
            <w:fldChar w:fldCharType="separate"/>
          </w:r>
          <w:r>
            <w:rPr>
              <w:rFonts w:hint="eastAsia" w:ascii="楷体" w:hAnsi="楷体" w:eastAsia="楷体" w:cs="楷体"/>
              <w:sz w:val="28"/>
              <w:szCs w:val="28"/>
              <w:highlight w:val="none"/>
              <w:lang w:val="en-US" w:eastAsia="zh-Hans"/>
            </w:rPr>
            <w:t>第六节 健全多层次社会保障体系</w:t>
          </w:r>
          <w:r>
            <w:rPr>
              <w:sz w:val="24"/>
              <w:szCs w:val="24"/>
              <w:highlight w:val="none"/>
            </w:rPr>
            <w:tab/>
          </w:r>
          <w:r>
            <w:rPr>
              <w:sz w:val="28"/>
              <w:szCs w:val="28"/>
              <w:highlight w:val="none"/>
            </w:rPr>
            <w:fldChar w:fldCharType="begin"/>
          </w:r>
          <w:r>
            <w:rPr>
              <w:sz w:val="28"/>
              <w:szCs w:val="28"/>
              <w:highlight w:val="none"/>
            </w:rPr>
            <w:instrText xml:space="preserve"> PAGEREF _Toc1274142395 \h </w:instrText>
          </w:r>
          <w:r>
            <w:rPr>
              <w:sz w:val="28"/>
              <w:szCs w:val="28"/>
              <w:highlight w:val="none"/>
            </w:rPr>
            <w:fldChar w:fldCharType="separate"/>
          </w:r>
          <w:r>
            <w:rPr>
              <w:sz w:val="28"/>
              <w:szCs w:val="28"/>
              <w:highlight w:val="none"/>
            </w:rPr>
            <w:t>85</w:t>
          </w:r>
          <w:r>
            <w:rPr>
              <w:sz w:val="28"/>
              <w:szCs w:val="28"/>
              <w:highlight w:val="none"/>
            </w:rPr>
            <w:fldChar w:fldCharType="end"/>
          </w:r>
          <w:r>
            <w:rPr>
              <w:sz w:val="24"/>
              <w:szCs w:val="24"/>
              <w:highlight w:val="none"/>
            </w:rPr>
            <w:fldChar w:fldCharType="end"/>
          </w:r>
        </w:p>
        <w:p w14:paraId="3C269F87">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_Toc1951788528 </w:instrText>
          </w:r>
          <w:r>
            <w:rPr>
              <w:rFonts w:eastAsia="宋体"/>
              <w:b/>
              <w:bCs/>
              <w:sz w:val="28"/>
              <w:szCs w:val="28"/>
              <w:highlight w:val="none"/>
            </w:rPr>
            <w:fldChar w:fldCharType="separate"/>
          </w:r>
          <w:r>
            <w:rPr>
              <w:rFonts w:hint="eastAsia" w:eastAsia="宋体"/>
              <w:b/>
              <w:bCs/>
              <w:sz w:val="28"/>
              <w:szCs w:val="28"/>
              <w:highlight w:val="none"/>
              <w:lang w:val="en-US" w:eastAsia="zh-Hans"/>
            </w:rPr>
            <w:t xml:space="preserve">第十一章 </w:t>
          </w:r>
          <w:r>
            <w:rPr>
              <w:rFonts w:hint="eastAsia" w:eastAsia="宋体"/>
              <w:b/>
              <w:bCs/>
              <w:sz w:val="28"/>
              <w:szCs w:val="28"/>
              <w:highlight w:val="none"/>
              <w:lang w:val="en-US" w:eastAsia="zh-CN"/>
            </w:rPr>
            <w:t>加强生态文明建设，践行绿水青山就是金山银山</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_Toc1951788528 \h </w:instrText>
          </w:r>
          <w:r>
            <w:rPr>
              <w:rFonts w:eastAsia="宋体"/>
              <w:b/>
              <w:bCs/>
              <w:sz w:val="28"/>
              <w:szCs w:val="28"/>
              <w:highlight w:val="none"/>
            </w:rPr>
            <w:fldChar w:fldCharType="separate"/>
          </w:r>
          <w:r>
            <w:rPr>
              <w:rFonts w:eastAsia="宋体"/>
              <w:b/>
              <w:bCs/>
              <w:sz w:val="28"/>
              <w:szCs w:val="28"/>
              <w:highlight w:val="none"/>
            </w:rPr>
            <w:t>88</w:t>
          </w:r>
          <w:r>
            <w:rPr>
              <w:rFonts w:eastAsia="宋体"/>
              <w:b/>
              <w:bCs/>
              <w:sz w:val="28"/>
              <w:szCs w:val="28"/>
              <w:highlight w:val="none"/>
            </w:rPr>
            <w:fldChar w:fldCharType="end"/>
          </w:r>
          <w:r>
            <w:rPr>
              <w:rFonts w:eastAsia="宋体"/>
              <w:b/>
              <w:bCs/>
              <w:sz w:val="28"/>
              <w:szCs w:val="28"/>
              <w:highlight w:val="none"/>
            </w:rPr>
            <w:fldChar w:fldCharType="end"/>
          </w:r>
        </w:p>
        <w:p w14:paraId="5011DD91">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_Toc897082171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筑牢生态安全屏障</w:t>
          </w:r>
          <w:r>
            <w:rPr>
              <w:sz w:val="24"/>
              <w:szCs w:val="24"/>
              <w:highlight w:val="none"/>
            </w:rPr>
            <w:tab/>
          </w:r>
          <w:r>
            <w:rPr>
              <w:sz w:val="28"/>
              <w:szCs w:val="28"/>
              <w:highlight w:val="none"/>
            </w:rPr>
            <w:fldChar w:fldCharType="begin"/>
          </w:r>
          <w:r>
            <w:rPr>
              <w:sz w:val="28"/>
              <w:szCs w:val="28"/>
              <w:highlight w:val="none"/>
            </w:rPr>
            <w:instrText xml:space="preserve"> PAGEREF _Toc897082171 \h </w:instrText>
          </w:r>
          <w:r>
            <w:rPr>
              <w:sz w:val="28"/>
              <w:szCs w:val="28"/>
              <w:highlight w:val="none"/>
            </w:rPr>
            <w:fldChar w:fldCharType="separate"/>
          </w:r>
          <w:r>
            <w:rPr>
              <w:sz w:val="28"/>
              <w:szCs w:val="28"/>
              <w:highlight w:val="none"/>
            </w:rPr>
            <w:t>88</w:t>
          </w:r>
          <w:r>
            <w:rPr>
              <w:sz w:val="28"/>
              <w:szCs w:val="28"/>
              <w:highlight w:val="none"/>
            </w:rPr>
            <w:fldChar w:fldCharType="end"/>
          </w:r>
          <w:r>
            <w:rPr>
              <w:sz w:val="24"/>
              <w:szCs w:val="24"/>
              <w:highlight w:val="none"/>
            </w:rPr>
            <w:fldChar w:fldCharType="end"/>
          </w:r>
        </w:p>
        <w:p w14:paraId="78BEF786">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_Toc1924846057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持续推进生态环境综合治理</w:t>
          </w:r>
          <w:r>
            <w:rPr>
              <w:sz w:val="24"/>
              <w:szCs w:val="24"/>
              <w:highlight w:val="none"/>
            </w:rPr>
            <w:tab/>
          </w:r>
          <w:r>
            <w:rPr>
              <w:sz w:val="28"/>
              <w:szCs w:val="28"/>
              <w:highlight w:val="none"/>
            </w:rPr>
            <w:fldChar w:fldCharType="begin"/>
          </w:r>
          <w:r>
            <w:rPr>
              <w:sz w:val="28"/>
              <w:szCs w:val="28"/>
              <w:highlight w:val="none"/>
            </w:rPr>
            <w:instrText xml:space="preserve"> PAGEREF _Toc1924846057 \h </w:instrText>
          </w:r>
          <w:r>
            <w:rPr>
              <w:sz w:val="28"/>
              <w:szCs w:val="28"/>
              <w:highlight w:val="none"/>
            </w:rPr>
            <w:fldChar w:fldCharType="separate"/>
          </w:r>
          <w:r>
            <w:rPr>
              <w:sz w:val="28"/>
              <w:szCs w:val="28"/>
              <w:highlight w:val="none"/>
            </w:rPr>
            <w:t>88</w:t>
          </w:r>
          <w:r>
            <w:rPr>
              <w:sz w:val="28"/>
              <w:szCs w:val="28"/>
              <w:highlight w:val="none"/>
            </w:rPr>
            <w:fldChar w:fldCharType="end"/>
          </w:r>
          <w:r>
            <w:rPr>
              <w:sz w:val="24"/>
              <w:szCs w:val="24"/>
              <w:highlight w:val="none"/>
            </w:rPr>
            <w:fldChar w:fldCharType="end"/>
          </w:r>
        </w:p>
        <w:p w14:paraId="70ED428E">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_Toc1194021591 </w:instrText>
          </w:r>
          <w:r>
            <w:rPr>
              <w:sz w:val="24"/>
              <w:szCs w:val="24"/>
              <w:highlight w:val="none"/>
            </w:rPr>
            <w:fldChar w:fldCharType="separate"/>
          </w:r>
          <w:r>
            <w:rPr>
              <w:rFonts w:hint="eastAsia" w:ascii="楷体" w:hAnsi="楷体" w:eastAsia="楷体" w:cs="楷体"/>
              <w:sz w:val="28"/>
              <w:szCs w:val="28"/>
              <w:highlight w:val="none"/>
              <w:lang w:val="en-US" w:eastAsia="zh-Hans"/>
            </w:rPr>
            <w:t>第三节</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lang w:val="en-US" w:eastAsia="zh-Hans"/>
            </w:rPr>
            <w:t>推动绿色低碳循环发展</w:t>
          </w:r>
          <w:r>
            <w:rPr>
              <w:sz w:val="24"/>
              <w:szCs w:val="24"/>
              <w:highlight w:val="none"/>
            </w:rPr>
            <w:tab/>
          </w:r>
          <w:r>
            <w:rPr>
              <w:sz w:val="28"/>
              <w:szCs w:val="28"/>
              <w:highlight w:val="none"/>
            </w:rPr>
            <w:fldChar w:fldCharType="begin"/>
          </w:r>
          <w:r>
            <w:rPr>
              <w:sz w:val="28"/>
              <w:szCs w:val="28"/>
              <w:highlight w:val="none"/>
            </w:rPr>
            <w:instrText xml:space="preserve"> PAGEREF _Toc1194021591 \h </w:instrText>
          </w:r>
          <w:r>
            <w:rPr>
              <w:sz w:val="28"/>
              <w:szCs w:val="28"/>
              <w:highlight w:val="none"/>
            </w:rPr>
            <w:fldChar w:fldCharType="separate"/>
          </w:r>
          <w:r>
            <w:rPr>
              <w:sz w:val="28"/>
              <w:szCs w:val="28"/>
              <w:highlight w:val="none"/>
            </w:rPr>
            <w:t>90</w:t>
          </w:r>
          <w:r>
            <w:rPr>
              <w:sz w:val="28"/>
              <w:szCs w:val="28"/>
              <w:highlight w:val="none"/>
            </w:rPr>
            <w:fldChar w:fldCharType="end"/>
          </w:r>
          <w:r>
            <w:rPr>
              <w:sz w:val="24"/>
              <w:szCs w:val="24"/>
              <w:highlight w:val="none"/>
            </w:rPr>
            <w:fldChar w:fldCharType="end"/>
          </w:r>
        </w:p>
        <w:p w14:paraId="1880B55E">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sz w:val="24"/>
              <w:szCs w:val="24"/>
              <w:highlight w:val="none"/>
            </w:rPr>
            <w:fldChar w:fldCharType="begin"/>
          </w:r>
          <w:r>
            <w:rPr>
              <w:sz w:val="24"/>
              <w:szCs w:val="24"/>
              <w:highlight w:val="none"/>
            </w:rPr>
            <w:instrText xml:space="preserve"> HYPERLINK \l _Toc1833682369 </w:instrText>
          </w:r>
          <w:r>
            <w:rPr>
              <w:sz w:val="24"/>
              <w:szCs w:val="24"/>
              <w:highlight w:val="none"/>
            </w:rPr>
            <w:fldChar w:fldCharType="separate"/>
          </w:r>
          <w:r>
            <w:rPr>
              <w:rFonts w:hint="eastAsia" w:ascii="楷体" w:hAnsi="楷体" w:eastAsia="楷体" w:cs="楷体"/>
              <w:sz w:val="28"/>
              <w:szCs w:val="28"/>
              <w:highlight w:val="none"/>
              <w:lang w:val="en-US" w:eastAsia="zh-Hans"/>
            </w:rPr>
            <w:t>第四节</w:t>
          </w:r>
          <w:r>
            <w:rPr>
              <w:rFonts w:hint="default" w:ascii="楷体" w:hAnsi="楷体" w:eastAsia="楷体" w:cs="楷体"/>
              <w:sz w:val="28"/>
              <w:szCs w:val="28"/>
              <w:highlight w:val="none"/>
              <w:lang w:val="en-US" w:eastAsia="zh-Hans"/>
            </w:rPr>
            <w:t xml:space="preserve"> </w:t>
          </w:r>
          <w:r>
            <w:rPr>
              <w:rFonts w:hint="eastAsia" w:ascii="楷体" w:hAnsi="楷体" w:eastAsia="楷体" w:cs="楷体"/>
              <w:sz w:val="28"/>
              <w:szCs w:val="28"/>
              <w:highlight w:val="none"/>
              <w:lang w:val="en-US" w:eastAsia="zh-Hans"/>
            </w:rPr>
            <w:t>健全生态环境治理体系</w:t>
          </w:r>
          <w:r>
            <w:rPr>
              <w:sz w:val="24"/>
              <w:szCs w:val="24"/>
              <w:highlight w:val="none"/>
            </w:rPr>
            <w:tab/>
          </w:r>
          <w:r>
            <w:rPr>
              <w:sz w:val="28"/>
              <w:szCs w:val="28"/>
              <w:highlight w:val="none"/>
            </w:rPr>
            <w:fldChar w:fldCharType="begin"/>
          </w:r>
          <w:r>
            <w:rPr>
              <w:sz w:val="28"/>
              <w:szCs w:val="28"/>
              <w:highlight w:val="none"/>
            </w:rPr>
            <w:instrText xml:space="preserve"> PAGEREF _Toc1833682369 \h </w:instrText>
          </w:r>
          <w:r>
            <w:rPr>
              <w:sz w:val="28"/>
              <w:szCs w:val="28"/>
              <w:highlight w:val="none"/>
            </w:rPr>
            <w:fldChar w:fldCharType="separate"/>
          </w:r>
          <w:r>
            <w:rPr>
              <w:sz w:val="28"/>
              <w:szCs w:val="28"/>
              <w:highlight w:val="none"/>
            </w:rPr>
            <w:t>91</w:t>
          </w:r>
          <w:r>
            <w:rPr>
              <w:sz w:val="28"/>
              <w:szCs w:val="28"/>
              <w:highlight w:val="none"/>
            </w:rPr>
            <w:fldChar w:fldCharType="end"/>
          </w:r>
          <w:r>
            <w:rPr>
              <w:sz w:val="24"/>
              <w:szCs w:val="24"/>
              <w:highlight w:val="none"/>
            </w:rPr>
            <w:fldChar w:fldCharType="end"/>
          </w:r>
        </w:p>
        <w:p w14:paraId="3FAB81B2">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_Toc161757686 </w:instrText>
          </w:r>
          <w:r>
            <w:rPr>
              <w:rFonts w:eastAsia="宋体"/>
              <w:b/>
              <w:bCs/>
              <w:sz w:val="28"/>
              <w:szCs w:val="28"/>
              <w:highlight w:val="none"/>
            </w:rPr>
            <w:fldChar w:fldCharType="separate"/>
          </w:r>
          <w:r>
            <w:rPr>
              <w:rFonts w:hint="eastAsia" w:eastAsia="宋体"/>
              <w:b/>
              <w:bCs/>
              <w:sz w:val="28"/>
              <w:szCs w:val="28"/>
              <w:highlight w:val="none"/>
              <w:lang w:val="en-US" w:eastAsia="zh-CN"/>
            </w:rPr>
            <w:t>第十二章 统筹发展和安全，建设更高水平平安柳城</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_Toc161757686 \h </w:instrText>
          </w:r>
          <w:r>
            <w:rPr>
              <w:rFonts w:eastAsia="宋体"/>
              <w:b/>
              <w:bCs/>
              <w:sz w:val="28"/>
              <w:szCs w:val="28"/>
              <w:highlight w:val="none"/>
            </w:rPr>
            <w:fldChar w:fldCharType="separate"/>
          </w:r>
          <w:r>
            <w:rPr>
              <w:rFonts w:eastAsia="宋体"/>
              <w:b/>
              <w:bCs/>
              <w:sz w:val="28"/>
              <w:szCs w:val="28"/>
              <w:highlight w:val="none"/>
            </w:rPr>
            <w:t>92</w:t>
          </w:r>
          <w:r>
            <w:rPr>
              <w:rFonts w:eastAsia="宋体"/>
              <w:b/>
              <w:bCs/>
              <w:sz w:val="28"/>
              <w:szCs w:val="28"/>
              <w:highlight w:val="none"/>
            </w:rPr>
            <w:fldChar w:fldCharType="end"/>
          </w:r>
          <w:r>
            <w:rPr>
              <w:rFonts w:eastAsia="宋体"/>
              <w:b/>
              <w:bCs/>
              <w:sz w:val="28"/>
              <w:szCs w:val="28"/>
              <w:highlight w:val="none"/>
            </w:rPr>
            <w:fldChar w:fldCharType="end"/>
          </w:r>
        </w:p>
        <w:p w14:paraId="20FD3766">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_Toc2094615147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 xml:space="preserve">一节 </w:t>
          </w:r>
          <w:r>
            <w:rPr>
              <w:rFonts w:hint="eastAsia" w:ascii="楷体" w:hAnsi="楷体" w:eastAsia="楷体" w:cs="楷体"/>
              <w:sz w:val="28"/>
              <w:szCs w:val="28"/>
              <w:highlight w:val="none"/>
              <w:lang w:val="en-US" w:eastAsia="zh-Hans"/>
            </w:rPr>
            <w:t>建设法治柳</w:t>
          </w:r>
          <w:r>
            <w:rPr>
              <w:rFonts w:hint="eastAsia" w:ascii="楷体" w:hAnsi="楷体" w:eastAsia="楷体" w:cs="楷体"/>
              <w:sz w:val="28"/>
              <w:szCs w:val="28"/>
              <w:highlight w:val="none"/>
              <w:lang w:val="en-US" w:eastAsia="zh-CN"/>
            </w:rPr>
            <w:t>城</w:t>
          </w:r>
          <w:r>
            <w:rPr>
              <w:sz w:val="24"/>
              <w:szCs w:val="24"/>
              <w:highlight w:val="none"/>
            </w:rPr>
            <w:tab/>
          </w:r>
          <w:r>
            <w:rPr>
              <w:sz w:val="28"/>
              <w:szCs w:val="28"/>
              <w:highlight w:val="none"/>
            </w:rPr>
            <w:fldChar w:fldCharType="begin"/>
          </w:r>
          <w:r>
            <w:rPr>
              <w:sz w:val="28"/>
              <w:szCs w:val="28"/>
              <w:highlight w:val="none"/>
            </w:rPr>
            <w:instrText xml:space="preserve"> PAGEREF _Toc2094615147 \h </w:instrText>
          </w:r>
          <w:r>
            <w:rPr>
              <w:sz w:val="28"/>
              <w:szCs w:val="28"/>
              <w:highlight w:val="none"/>
            </w:rPr>
            <w:fldChar w:fldCharType="separate"/>
          </w:r>
          <w:r>
            <w:rPr>
              <w:sz w:val="28"/>
              <w:szCs w:val="28"/>
              <w:highlight w:val="none"/>
            </w:rPr>
            <w:t>92</w:t>
          </w:r>
          <w:r>
            <w:rPr>
              <w:sz w:val="28"/>
              <w:szCs w:val="28"/>
              <w:highlight w:val="none"/>
            </w:rPr>
            <w:fldChar w:fldCharType="end"/>
          </w:r>
          <w:r>
            <w:rPr>
              <w:sz w:val="24"/>
              <w:szCs w:val="24"/>
              <w:highlight w:val="none"/>
            </w:rPr>
            <w:fldChar w:fldCharType="end"/>
          </w:r>
        </w:p>
        <w:p w14:paraId="1052967E">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_Toc497350358 </w:instrText>
          </w:r>
          <w:r>
            <w:rPr>
              <w:sz w:val="24"/>
              <w:szCs w:val="24"/>
              <w:highlight w:val="none"/>
            </w:rPr>
            <w:fldChar w:fldCharType="separate"/>
          </w:r>
          <w:r>
            <w:rPr>
              <w:rFonts w:hint="eastAsia" w:ascii="楷体" w:hAnsi="楷体" w:eastAsia="楷体" w:cs="楷体"/>
              <w:sz w:val="28"/>
              <w:szCs w:val="28"/>
              <w:highlight w:val="none"/>
              <w:lang w:val="en-US" w:eastAsia="zh-Hans"/>
            </w:rPr>
            <w:t>第</w:t>
          </w:r>
          <w:r>
            <w:rPr>
              <w:rFonts w:hint="eastAsia" w:ascii="楷体" w:hAnsi="楷体" w:eastAsia="楷体" w:cs="楷体"/>
              <w:sz w:val="28"/>
              <w:szCs w:val="28"/>
              <w:highlight w:val="none"/>
              <w:lang w:val="en-US" w:eastAsia="zh-CN"/>
            </w:rPr>
            <w:t xml:space="preserve">二节 </w:t>
          </w:r>
          <w:r>
            <w:rPr>
              <w:rFonts w:hint="eastAsia" w:ascii="楷体" w:hAnsi="楷体" w:eastAsia="楷体" w:cs="楷体"/>
              <w:sz w:val="28"/>
              <w:szCs w:val="28"/>
              <w:highlight w:val="none"/>
              <w:lang w:val="en-US" w:eastAsia="zh-Hans"/>
            </w:rPr>
            <w:t>建设平安柳</w:t>
          </w:r>
          <w:r>
            <w:rPr>
              <w:rFonts w:hint="eastAsia" w:ascii="楷体" w:hAnsi="楷体" w:eastAsia="楷体" w:cs="楷体"/>
              <w:sz w:val="28"/>
              <w:szCs w:val="28"/>
              <w:highlight w:val="none"/>
              <w:lang w:val="en-US" w:eastAsia="zh-CN"/>
            </w:rPr>
            <w:t>城</w:t>
          </w:r>
          <w:r>
            <w:rPr>
              <w:sz w:val="24"/>
              <w:szCs w:val="24"/>
              <w:highlight w:val="none"/>
            </w:rPr>
            <w:tab/>
          </w:r>
          <w:r>
            <w:rPr>
              <w:sz w:val="28"/>
              <w:szCs w:val="28"/>
              <w:highlight w:val="none"/>
            </w:rPr>
            <w:fldChar w:fldCharType="begin"/>
          </w:r>
          <w:r>
            <w:rPr>
              <w:sz w:val="28"/>
              <w:szCs w:val="28"/>
              <w:highlight w:val="none"/>
            </w:rPr>
            <w:instrText xml:space="preserve"> PAGEREF _Toc497350358 \h </w:instrText>
          </w:r>
          <w:r>
            <w:rPr>
              <w:sz w:val="28"/>
              <w:szCs w:val="28"/>
              <w:highlight w:val="none"/>
            </w:rPr>
            <w:fldChar w:fldCharType="separate"/>
          </w:r>
          <w:r>
            <w:rPr>
              <w:sz w:val="28"/>
              <w:szCs w:val="28"/>
              <w:highlight w:val="none"/>
            </w:rPr>
            <w:t>93</w:t>
          </w:r>
          <w:r>
            <w:rPr>
              <w:sz w:val="28"/>
              <w:szCs w:val="28"/>
              <w:highlight w:val="none"/>
            </w:rPr>
            <w:fldChar w:fldCharType="end"/>
          </w:r>
          <w:r>
            <w:rPr>
              <w:sz w:val="24"/>
              <w:szCs w:val="24"/>
              <w:highlight w:val="none"/>
            </w:rPr>
            <w:fldChar w:fldCharType="end"/>
          </w:r>
        </w:p>
        <w:p w14:paraId="5F496590">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eastAsia="宋体"/>
              <w:b/>
              <w:bCs/>
              <w:sz w:val="28"/>
              <w:szCs w:val="28"/>
              <w:highlight w:val="none"/>
            </w:rPr>
          </w:pPr>
          <w:r>
            <w:rPr>
              <w:rFonts w:eastAsia="宋体"/>
              <w:b/>
              <w:bCs/>
              <w:sz w:val="28"/>
              <w:szCs w:val="28"/>
              <w:highlight w:val="none"/>
            </w:rPr>
            <w:fldChar w:fldCharType="begin"/>
          </w:r>
          <w:r>
            <w:rPr>
              <w:rFonts w:eastAsia="宋体"/>
              <w:b/>
              <w:bCs/>
              <w:sz w:val="28"/>
              <w:szCs w:val="28"/>
              <w:highlight w:val="none"/>
            </w:rPr>
            <w:instrText xml:space="preserve"> HYPERLINK \l _Toc961112782 </w:instrText>
          </w:r>
          <w:r>
            <w:rPr>
              <w:rFonts w:eastAsia="宋体"/>
              <w:b/>
              <w:bCs/>
              <w:sz w:val="28"/>
              <w:szCs w:val="28"/>
              <w:highlight w:val="none"/>
            </w:rPr>
            <w:fldChar w:fldCharType="separate"/>
          </w:r>
          <w:r>
            <w:rPr>
              <w:rFonts w:hint="eastAsia" w:eastAsia="宋体"/>
              <w:b/>
              <w:bCs/>
              <w:sz w:val="28"/>
              <w:szCs w:val="28"/>
              <w:highlight w:val="none"/>
              <w:lang w:val="en-US" w:eastAsia="zh-CN"/>
            </w:rPr>
            <w:t>第十三章 全</w:t>
          </w:r>
          <w:r>
            <w:rPr>
              <w:rFonts w:hint="eastAsia" w:eastAsia="宋体"/>
              <w:b/>
              <w:bCs/>
              <w:sz w:val="28"/>
              <w:szCs w:val="28"/>
              <w:highlight w:val="none"/>
              <w:lang w:val="en-US" w:eastAsia="zh-Hans"/>
            </w:rPr>
            <w:t>县</w:t>
          </w:r>
          <w:r>
            <w:rPr>
              <w:rFonts w:hint="eastAsia" w:eastAsia="宋体"/>
              <w:b/>
              <w:bCs/>
              <w:sz w:val="28"/>
              <w:szCs w:val="28"/>
              <w:highlight w:val="none"/>
              <w:lang w:val="en-US" w:eastAsia="zh-CN"/>
            </w:rPr>
            <w:t>人民团结起来为实现“十五五”而奋斗</w:t>
          </w:r>
          <w:r>
            <w:rPr>
              <w:rFonts w:eastAsia="宋体"/>
              <w:b/>
              <w:bCs/>
              <w:sz w:val="28"/>
              <w:szCs w:val="28"/>
              <w:highlight w:val="none"/>
            </w:rPr>
            <w:tab/>
          </w:r>
          <w:r>
            <w:rPr>
              <w:rFonts w:eastAsia="宋体"/>
              <w:b/>
              <w:bCs/>
              <w:sz w:val="28"/>
              <w:szCs w:val="28"/>
              <w:highlight w:val="none"/>
            </w:rPr>
            <w:fldChar w:fldCharType="begin"/>
          </w:r>
          <w:r>
            <w:rPr>
              <w:rFonts w:eastAsia="宋体"/>
              <w:b/>
              <w:bCs/>
              <w:sz w:val="28"/>
              <w:szCs w:val="28"/>
              <w:highlight w:val="none"/>
            </w:rPr>
            <w:instrText xml:space="preserve"> PAGEREF _Toc961112782 \h </w:instrText>
          </w:r>
          <w:r>
            <w:rPr>
              <w:rFonts w:eastAsia="宋体"/>
              <w:b/>
              <w:bCs/>
              <w:sz w:val="28"/>
              <w:szCs w:val="28"/>
              <w:highlight w:val="none"/>
            </w:rPr>
            <w:fldChar w:fldCharType="separate"/>
          </w:r>
          <w:r>
            <w:rPr>
              <w:rFonts w:eastAsia="宋体"/>
              <w:b/>
              <w:bCs/>
              <w:sz w:val="28"/>
              <w:szCs w:val="28"/>
              <w:highlight w:val="none"/>
            </w:rPr>
            <w:t>96</w:t>
          </w:r>
          <w:r>
            <w:rPr>
              <w:rFonts w:eastAsia="宋体"/>
              <w:b/>
              <w:bCs/>
              <w:sz w:val="28"/>
              <w:szCs w:val="28"/>
              <w:highlight w:val="none"/>
            </w:rPr>
            <w:fldChar w:fldCharType="end"/>
          </w:r>
          <w:r>
            <w:rPr>
              <w:rFonts w:eastAsia="宋体"/>
              <w:b/>
              <w:bCs/>
              <w:sz w:val="28"/>
              <w:szCs w:val="28"/>
              <w:highlight w:val="none"/>
            </w:rPr>
            <w:fldChar w:fldCharType="end"/>
          </w:r>
        </w:p>
        <w:p w14:paraId="26DD9C11">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_Toc50534340 </w:instrText>
          </w:r>
          <w:r>
            <w:rPr>
              <w:sz w:val="24"/>
              <w:szCs w:val="24"/>
              <w:highlight w:val="none"/>
            </w:rPr>
            <w:fldChar w:fldCharType="separate"/>
          </w:r>
          <w:r>
            <w:rPr>
              <w:rFonts w:hint="eastAsia" w:ascii="楷体" w:hAnsi="楷体" w:eastAsia="楷体" w:cs="楷体"/>
              <w:sz w:val="28"/>
              <w:szCs w:val="28"/>
              <w:highlight w:val="none"/>
              <w:lang w:val="en-US" w:eastAsia="zh-Hans"/>
            </w:rPr>
            <w:t>第一节</w:t>
          </w:r>
          <w:r>
            <w:rPr>
              <w:rFonts w:hint="eastAsia" w:ascii="楷体" w:hAnsi="楷体" w:eastAsia="楷体" w:cs="楷体"/>
              <w:sz w:val="28"/>
              <w:szCs w:val="28"/>
              <w:highlight w:val="none"/>
              <w:lang w:val="en-US" w:eastAsia="zh-CN"/>
            </w:rPr>
            <w:t xml:space="preserve"> </w:t>
          </w:r>
          <w:r>
            <w:rPr>
              <w:rFonts w:hint="default" w:ascii="楷体" w:hAnsi="楷体" w:eastAsia="楷体" w:cs="楷体"/>
              <w:sz w:val="28"/>
              <w:szCs w:val="28"/>
              <w:highlight w:val="none"/>
              <w:lang w:val="en-US" w:eastAsia="zh-CN"/>
            </w:rPr>
            <w:t>加强党的全面领导</w:t>
          </w:r>
          <w:r>
            <w:rPr>
              <w:sz w:val="24"/>
              <w:szCs w:val="24"/>
              <w:highlight w:val="none"/>
            </w:rPr>
            <w:tab/>
          </w:r>
          <w:r>
            <w:rPr>
              <w:sz w:val="28"/>
              <w:szCs w:val="28"/>
              <w:highlight w:val="none"/>
            </w:rPr>
            <w:fldChar w:fldCharType="begin"/>
          </w:r>
          <w:r>
            <w:rPr>
              <w:sz w:val="28"/>
              <w:szCs w:val="28"/>
              <w:highlight w:val="none"/>
            </w:rPr>
            <w:instrText xml:space="preserve"> PAGEREF _Toc50534340 \h </w:instrText>
          </w:r>
          <w:r>
            <w:rPr>
              <w:sz w:val="28"/>
              <w:szCs w:val="28"/>
              <w:highlight w:val="none"/>
            </w:rPr>
            <w:fldChar w:fldCharType="separate"/>
          </w:r>
          <w:r>
            <w:rPr>
              <w:sz w:val="28"/>
              <w:szCs w:val="28"/>
              <w:highlight w:val="none"/>
            </w:rPr>
            <w:t>96</w:t>
          </w:r>
          <w:r>
            <w:rPr>
              <w:sz w:val="28"/>
              <w:szCs w:val="28"/>
              <w:highlight w:val="none"/>
            </w:rPr>
            <w:fldChar w:fldCharType="end"/>
          </w:r>
          <w:r>
            <w:rPr>
              <w:sz w:val="24"/>
              <w:szCs w:val="24"/>
              <w:highlight w:val="none"/>
            </w:rPr>
            <w:fldChar w:fldCharType="end"/>
          </w:r>
        </w:p>
        <w:p w14:paraId="32C3BD05">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_Toc1074611815 </w:instrText>
          </w:r>
          <w:r>
            <w:rPr>
              <w:sz w:val="24"/>
              <w:szCs w:val="24"/>
              <w:highlight w:val="none"/>
            </w:rPr>
            <w:fldChar w:fldCharType="separate"/>
          </w:r>
          <w:r>
            <w:rPr>
              <w:rFonts w:hint="eastAsia" w:ascii="楷体" w:hAnsi="楷体" w:eastAsia="楷体" w:cs="楷体"/>
              <w:sz w:val="28"/>
              <w:szCs w:val="28"/>
              <w:highlight w:val="none"/>
              <w:lang w:val="en-US" w:eastAsia="zh-Hans"/>
            </w:rPr>
            <w:t>第二节</w:t>
          </w:r>
          <w:r>
            <w:rPr>
              <w:rFonts w:hint="eastAsia" w:ascii="楷体" w:hAnsi="楷体" w:eastAsia="楷体" w:cs="楷体"/>
              <w:sz w:val="28"/>
              <w:szCs w:val="28"/>
              <w:highlight w:val="none"/>
              <w:lang w:val="en-US" w:eastAsia="zh-CN"/>
            </w:rPr>
            <w:t xml:space="preserve"> </w:t>
          </w:r>
          <w:r>
            <w:rPr>
              <w:rFonts w:hint="default" w:ascii="楷体" w:hAnsi="楷体" w:eastAsia="楷体" w:cs="楷体"/>
              <w:sz w:val="28"/>
              <w:szCs w:val="28"/>
              <w:highlight w:val="none"/>
              <w:lang w:val="en-US" w:eastAsia="zh-CN"/>
            </w:rPr>
            <w:t>推进社会主义民主政治建设</w:t>
          </w:r>
          <w:r>
            <w:rPr>
              <w:sz w:val="24"/>
              <w:szCs w:val="24"/>
              <w:highlight w:val="none"/>
            </w:rPr>
            <w:tab/>
          </w:r>
          <w:r>
            <w:rPr>
              <w:sz w:val="28"/>
              <w:szCs w:val="28"/>
              <w:highlight w:val="none"/>
            </w:rPr>
            <w:fldChar w:fldCharType="begin"/>
          </w:r>
          <w:r>
            <w:rPr>
              <w:sz w:val="28"/>
              <w:szCs w:val="28"/>
              <w:highlight w:val="none"/>
            </w:rPr>
            <w:instrText xml:space="preserve"> PAGEREF _Toc1074611815 \h </w:instrText>
          </w:r>
          <w:r>
            <w:rPr>
              <w:sz w:val="28"/>
              <w:szCs w:val="28"/>
              <w:highlight w:val="none"/>
            </w:rPr>
            <w:fldChar w:fldCharType="separate"/>
          </w:r>
          <w:r>
            <w:rPr>
              <w:sz w:val="28"/>
              <w:szCs w:val="28"/>
              <w:highlight w:val="none"/>
            </w:rPr>
            <w:t>96</w:t>
          </w:r>
          <w:r>
            <w:rPr>
              <w:sz w:val="28"/>
              <w:szCs w:val="28"/>
              <w:highlight w:val="none"/>
            </w:rPr>
            <w:fldChar w:fldCharType="end"/>
          </w:r>
          <w:r>
            <w:rPr>
              <w:sz w:val="24"/>
              <w:szCs w:val="24"/>
              <w:highlight w:val="none"/>
            </w:rPr>
            <w:fldChar w:fldCharType="end"/>
          </w:r>
        </w:p>
        <w:p w14:paraId="2B1033FA">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_Toc663303435 </w:instrText>
          </w:r>
          <w:r>
            <w:rPr>
              <w:sz w:val="24"/>
              <w:szCs w:val="24"/>
              <w:highlight w:val="none"/>
            </w:rPr>
            <w:fldChar w:fldCharType="separate"/>
          </w:r>
          <w:r>
            <w:rPr>
              <w:rFonts w:hint="eastAsia" w:ascii="楷体" w:hAnsi="楷体" w:eastAsia="楷体" w:cs="楷体"/>
              <w:sz w:val="28"/>
              <w:szCs w:val="28"/>
              <w:highlight w:val="none"/>
              <w:lang w:val="en-US" w:eastAsia="zh-Hans"/>
            </w:rPr>
            <w:t>第三节</w:t>
          </w:r>
          <w:r>
            <w:rPr>
              <w:rFonts w:hint="eastAsia" w:ascii="楷体" w:hAnsi="楷体" w:eastAsia="楷体" w:cs="楷体"/>
              <w:sz w:val="28"/>
              <w:szCs w:val="28"/>
              <w:highlight w:val="none"/>
              <w:lang w:val="en-US" w:eastAsia="zh-CN"/>
            </w:rPr>
            <w:t xml:space="preserve"> </w:t>
          </w:r>
          <w:r>
            <w:rPr>
              <w:rFonts w:hint="default" w:ascii="楷体" w:hAnsi="楷体" w:eastAsia="楷体" w:cs="楷体"/>
              <w:sz w:val="28"/>
              <w:szCs w:val="28"/>
              <w:highlight w:val="none"/>
              <w:lang w:val="en-US" w:eastAsia="zh-CN"/>
            </w:rPr>
            <w:t>全面加强干部队伍建设</w:t>
          </w:r>
          <w:r>
            <w:rPr>
              <w:sz w:val="24"/>
              <w:szCs w:val="24"/>
              <w:highlight w:val="none"/>
            </w:rPr>
            <w:tab/>
          </w:r>
          <w:r>
            <w:rPr>
              <w:sz w:val="28"/>
              <w:szCs w:val="28"/>
              <w:highlight w:val="none"/>
            </w:rPr>
            <w:fldChar w:fldCharType="begin"/>
          </w:r>
          <w:r>
            <w:rPr>
              <w:sz w:val="28"/>
              <w:szCs w:val="28"/>
              <w:highlight w:val="none"/>
            </w:rPr>
            <w:instrText xml:space="preserve"> PAGEREF _Toc663303435 \h </w:instrText>
          </w:r>
          <w:r>
            <w:rPr>
              <w:sz w:val="28"/>
              <w:szCs w:val="28"/>
              <w:highlight w:val="none"/>
            </w:rPr>
            <w:fldChar w:fldCharType="separate"/>
          </w:r>
          <w:r>
            <w:rPr>
              <w:sz w:val="28"/>
              <w:szCs w:val="28"/>
              <w:highlight w:val="none"/>
            </w:rPr>
            <w:t>97</w:t>
          </w:r>
          <w:r>
            <w:rPr>
              <w:sz w:val="28"/>
              <w:szCs w:val="28"/>
              <w:highlight w:val="none"/>
            </w:rPr>
            <w:fldChar w:fldCharType="end"/>
          </w:r>
          <w:r>
            <w:rPr>
              <w:sz w:val="24"/>
              <w:szCs w:val="24"/>
              <w:highlight w:val="none"/>
            </w:rPr>
            <w:fldChar w:fldCharType="end"/>
          </w:r>
        </w:p>
        <w:p w14:paraId="42EC0F0B">
          <w:pPr>
            <w:pStyle w:val="13"/>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sz w:val="24"/>
              <w:szCs w:val="24"/>
              <w:highlight w:val="none"/>
            </w:rPr>
          </w:pPr>
          <w:r>
            <w:rPr>
              <w:sz w:val="24"/>
              <w:szCs w:val="24"/>
              <w:highlight w:val="none"/>
            </w:rPr>
            <w:fldChar w:fldCharType="begin"/>
          </w:r>
          <w:r>
            <w:rPr>
              <w:sz w:val="24"/>
              <w:szCs w:val="24"/>
              <w:highlight w:val="none"/>
            </w:rPr>
            <w:instrText xml:space="preserve"> HYPERLINK \l _Toc553220468 </w:instrText>
          </w:r>
          <w:r>
            <w:rPr>
              <w:sz w:val="24"/>
              <w:szCs w:val="24"/>
              <w:highlight w:val="none"/>
            </w:rPr>
            <w:fldChar w:fldCharType="separate"/>
          </w:r>
          <w:r>
            <w:rPr>
              <w:rFonts w:hint="eastAsia" w:ascii="楷体" w:hAnsi="楷体" w:eastAsia="楷体" w:cs="楷体"/>
              <w:sz w:val="28"/>
              <w:szCs w:val="28"/>
              <w:highlight w:val="none"/>
              <w:lang w:val="en-US" w:eastAsia="zh-Hans"/>
            </w:rPr>
            <w:t>第四节</w:t>
          </w:r>
          <w:r>
            <w:rPr>
              <w:rFonts w:hint="eastAsia" w:ascii="楷体" w:hAnsi="楷体" w:eastAsia="楷体" w:cs="楷体"/>
              <w:sz w:val="28"/>
              <w:szCs w:val="28"/>
              <w:highlight w:val="none"/>
              <w:lang w:val="en-US" w:eastAsia="zh-CN"/>
            </w:rPr>
            <w:t xml:space="preserve"> </w:t>
          </w:r>
          <w:r>
            <w:rPr>
              <w:rFonts w:hint="default" w:ascii="楷体" w:hAnsi="楷体" w:eastAsia="楷体" w:cs="楷体"/>
              <w:sz w:val="28"/>
              <w:szCs w:val="28"/>
              <w:highlight w:val="none"/>
              <w:lang w:val="en-US" w:eastAsia="zh-CN"/>
            </w:rPr>
            <w:t>健全规划制定与落实机制</w:t>
          </w:r>
          <w:r>
            <w:rPr>
              <w:sz w:val="24"/>
              <w:szCs w:val="24"/>
              <w:highlight w:val="none"/>
            </w:rPr>
            <w:tab/>
          </w:r>
          <w:r>
            <w:rPr>
              <w:sz w:val="28"/>
              <w:szCs w:val="28"/>
              <w:highlight w:val="none"/>
            </w:rPr>
            <w:fldChar w:fldCharType="begin"/>
          </w:r>
          <w:r>
            <w:rPr>
              <w:sz w:val="28"/>
              <w:szCs w:val="28"/>
              <w:highlight w:val="none"/>
            </w:rPr>
            <w:instrText xml:space="preserve"> PAGEREF _Toc553220468 \h </w:instrText>
          </w:r>
          <w:r>
            <w:rPr>
              <w:sz w:val="28"/>
              <w:szCs w:val="28"/>
              <w:highlight w:val="none"/>
            </w:rPr>
            <w:fldChar w:fldCharType="separate"/>
          </w:r>
          <w:r>
            <w:rPr>
              <w:sz w:val="28"/>
              <w:szCs w:val="28"/>
              <w:highlight w:val="none"/>
            </w:rPr>
            <w:t>97</w:t>
          </w:r>
          <w:r>
            <w:rPr>
              <w:sz w:val="28"/>
              <w:szCs w:val="28"/>
              <w:highlight w:val="none"/>
            </w:rPr>
            <w:fldChar w:fldCharType="end"/>
          </w:r>
          <w:r>
            <w:rPr>
              <w:sz w:val="24"/>
              <w:szCs w:val="24"/>
              <w:highlight w:val="none"/>
            </w:rPr>
            <w:fldChar w:fldCharType="end"/>
          </w:r>
        </w:p>
        <w:p w14:paraId="7722D613">
          <w:pPr>
            <w:pStyle w:val="12"/>
            <w:pageBreakBefore w:val="0"/>
            <w:widowControl w:val="0"/>
            <w:tabs>
              <w:tab w:val="right" w:leader="dot" w:pos="8528"/>
            </w:tabs>
            <w:kinsoku/>
            <w:wordWrap/>
            <w:overflowPunct/>
            <w:topLinePunct w:val="0"/>
            <w:autoSpaceDE/>
            <w:autoSpaceDN/>
            <w:bidi w:val="0"/>
            <w:adjustRightInd/>
            <w:snapToGrid/>
            <w:spacing w:after="200" w:line="580" w:lineRule="exact"/>
            <w:textAlignment w:val="auto"/>
            <w:rPr>
              <w:rFonts w:hint="eastAsia" w:eastAsia="宋体"/>
              <w:highlight w:val="none"/>
              <w:lang w:val="en-US" w:eastAsia="zh-CN"/>
            </w:rPr>
          </w:pPr>
          <w:r>
            <w:rPr>
              <w:rFonts w:eastAsia="宋体"/>
              <w:b/>
              <w:bCs/>
              <w:sz w:val="28"/>
              <w:szCs w:val="28"/>
              <w:highlight w:val="none"/>
            </w:rPr>
            <w:fldChar w:fldCharType="begin"/>
          </w:r>
          <w:r>
            <w:rPr>
              <w:rFonts w:eastAsia="宋体"/>
              <w:b/>
              <w:bCs/>
              <w:sz w:val="28"/>
              <w:szCs w:val="28"/>
              <w:highlight w:val="none"/>
            </w:rPr>
            <w:instrText xml:space="preserve"> HYPERLINK \l _Toc161757686 </w:instrText>
          </w:r>
          <w:r>
            <w:rPr>
              <w:rFonts w:eastAsia="宋体"/>
              <w:b/>
              <w:bCs/>
              <w:sz w:val="28"/>
              <w:szCs w:val="28"/>
              <w:highlight w:val="none"/>
            </w:rPr>
            <w:fldChar w:fldCharType="separate"/>
          </w:r>
          <w:r>
            <w:rPr>
              <w:rFonts w:hint="eastAsia"/>
              <w:b/>
              <w:bCs/>
              <w:sz w:val="28"/>
              <w:szCs w:val="28"/>
              <w:highlight w:val="none"/>
              <w:lang w:val="en-US" w:eastAsia="zh-CN"/>
            </w:rPr>
            <w:t>名词解释</w:t>
          </w:r>
          <w:r>
            <w:rPr>
              <w:rFonts w:eastAsia="宋体"/>
              <w:b/>
              <w:bCs/>
              <w:sz w:val="28"/>
              <w:szCs w:val="28"/>
              <w:highlight w:val="none"/>
            </w:rPr>
            <w:tab/>
          </w:r>
          <w:r>
            <w:rPr>
              <w:rFonts w:hint="eastAsia"/>
              <w:b/>
              <w:bCs/>
              <w:sz w:val="28"/>
              <w:szCs w:val="28"/>
              <w:highlight w:val="none"/>
              <w:lang w:val="en-US" w:eastAsia="zh-CN"/>
            </w:rPr>
            <w:t>9</w:t>
          </w:r>
          <w:r>
            <w:rPr>
              <w:rFonts w:eastAsia="宋体"/>
              <w:b/>
              <w:bCs/>
              <w:sz w:val="28"/>
              <w:szCs w:val="28"/>
              <w:highlight w:val="none"/>
            </w:rPr>
            <w:fldChar w:fldCharType="end"/>
          </w:r>
          <w:r>
            <w:rPr>
              <w:rFonts w:hint="eastAsia"/>
              <w:b/>
              <w:bCs/>
              <w:sz w:val="28"/>
              <w:szCs w:val="28"/>
              <w:highlight w:val="none"/>
              <w:lang w:val="en-US" w:eastAsia="zh-CN"/>
            </w:rPr>
            <w:t>9</w:t>
          </w:r>
        </w:p>
        <w:p w14:paraId="79CBEA7B">
          <w:pPr>
            <w:pStyle w:val="13"/>
            <w:keepNext w:val="0"/>
            <w:keepLines w:val="0"/>
            <w:pageBreakBefore w:val="0"/>
            <w:widowControl w:val="0"/>
            <w:tabs>
              <w:tab w:val="right" w:leader="dot" w:pos="8528"/>
            </w:tabs>
            <w:kinsoku/>
            <w:wordWrap/>
            <w:overflowPunct/>
            <w:topLinePunct w:val="0"/>
            <w:autoSpaceDE/>
            <w:autoSpaceDN/>
            <w:bidi w:val="0"/>
            <w:adjustRightInd/>
            <w:snapToGrid/>
            <w:spacing w:after="200" w:line="580" w:lineRule="exact"/>
            <w:textAlignment w:val="auto"/>
          </w:pPr>
          <w:r>
            <w:rPr>
              <w:szCs w:val="32"/>
              <w:highlight w:val="none"/>
            </w:rPr>
            <w:fldChar w:fldCharType="end"/>
          </w:r>
        </w:p>
      </w:sdtContent>
    </w:sdt>
    <w:p w14:paraId="1E83BAD2">
      <w:pPr>
        <w:pStyle w:val="4"/>
        <w:keepNext/>
        <w:keepLines/>
        <w:pageBreakBefore w:val="0"/>
        <w:widowControl w:val="0"/>
        <w:numPr>
          <w:ilvl w:val="0"/>
          <w:numId w:val="1"/>
        </w:numPr>
        <w:kinsoku/>
        <w:wordWrap/>
        <w:overflowPunct/>
        <w:topLinePunct w:val="0"/>
        <w:autoSpaceDE/>
        <w:autoSpaceDN/>
        <w:bidi w:val="0"/>
        <w:adjustRightInd/>
        <w:snapToGrid/>
        <w:spacing w:before="0" w:after="200" w:line="580" w:lineRule="exact"/>
        <w:ind w:left="0" w:leftChars="0" w:firstLine="0" w:firstLineChars="0"/>
        <w:jc w:val="center"/>
        <w:textAlignment w:val="auto"/>
        <w:rPr>
          <w:rFonts w:hint="eastAsia" w:ascii="黑体" w:hAnsi="黑体" w:eastAsia="黑体" w:cs="黑体"/>
          <w:sz w:val="32"/>
          <w:szCs w:val="40"/>
          <w:lang w:val="en-US" w:eastAsia="zh-Hans"/>
        </w:rPr>
        <w:sectPr>
          <w:footerReference r:id="rId6" w:type="default"/>
          <w:pgSz w:w="11906" w:h="16838"/>
          <w:pgMar w:top="1440" w:right="1689" w:bottom="1440" w:left="1689" w:header="851" w:footer="992" w:gutter="0"/>
          <w:pgNumType w:fmt="decimal" w:start="1"/>
          <w:cols w:space="425" w:num="1"/>
          <w:docGrid w:type="lines" w:linePitch="312" w:charSpace="0"/>
        </w:sectPr>
      </w:pPr>
    </w:p>
    <w:p w14:paraId="757F55FB">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Hans"/>
        </w:rPr>
      </w:pPr>
      <w:bookmarkStart w:id="1" w:name="_Toc2045381013"/>
      <w:r>
        <w:rPr>
          <w:rFonts w:hint="eastAsia" w:ascii="黑体" w:hAnsi="黑体" w:cs="黑体"/>
          <w:color w:val="auto"/>
          <w:sz w:val="32"/>
          <w:szCs w:val="40"/>
          <w:lang w:val="en-US" w:eastAsia="zh-CN"/>
        </w:rPr>
        <w:t>踔厉奋发</w:t>
      </w:r>
      <w:r>
        <w:rPr>
          <w:rFonts w:hint="eastAsia" w:ascii="黑体" w:hAnsi="黑体" w:cs="黑体"/>
          <w:sz w:val="32"/>
          <w:szCs w:val="40"/>
          <w:lang w:val="en-US" w:eastAsia="zh-CN"/>
        </w:rPr>
        <w:t>、勇毅前行</w:t>
      </w:r>
      <w:r>
        <w:rPr>
          <w:rFonts w:hint="eastAsia" w:ascii="黑体" w:hAnsi="黑体" w:eastAsia="黑体" w:cs="黑体"/>
          <w:sz w:val="32"/>
          <w:szCs w:val="40"/>
          <w:lang w:val="en-US" w:eastAsia="zh-CN"/>
        </w:rPr>
        <w:t>，奋力开启“十五五”</w:t>
      </w:r>
      <w:r>
        <w:rPr>
          <w:rFonts w:hint="eastAsia" w:ascii="黑体" w:hAnsi="黑体" w:eastAsia="黑体" w:cs="黑体"/>
          <w:sz w:val="32"/>
          <w:szCs w:val="40"/>
          <w:lang w:val="en-US" w:eastAsia="zh-Hans"/>
        </w:rPr>
        <w:t>新</w:t>
      </w:r>
      <w:r>
        <w:rPr>
          <w:rFonts w:hint="eastAsia" w:ascii="黑体" w:hAnsi="黑体" w:eastAsia="黑体" w:cs="黑体"/>
          <w:sz w:val="32"/>
          <w:szCs w:val="40"/>
          <w:lang w:val="en-US" w:eastAsia="zh-CN"/>
        </w:rPr>
        <w:t>征程</w:t>
      </w:r>
      <w:bookmarkEnd w:id="1"/>
    </w:p>
    <w:p w14:paraId="22B618A7">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default" w:ascii="楷体" w:hAnsi="楷体" w:eastAsia="楷体" w:cs="楷体"/>
          <w:lang w:val="en-US" w:eastAsia="zh-CN"/>
        </w:rPr>
      </w:pPr>
      <w:bookmarkStart w:id="2" w:name="_Toc1947947962"/>
      <w:r>
        <w:rPr>
          <w:rFonts w:hint="eastAsia" w:ascii="楷体" w:hAnsi="楷体" w:eastAsia="楷体" w:cs="楷体"/>
        </w:rPr>
        <w:t>第一</w:t>
      </w:r>
      <w:r>
        <w:rPr>
          <w:rFonts w:hint="eastAsia" w:ascii="楷体" w:hAnsi="楷体" w:eastAsia="楷体" w:cs="楷体"/>
          <w:lang w:val="en-US" w:eastAsia="zh-CN"/>
        </w:rPr>
        <w:t>节</w:t>
      </w:r>
      <w:r>
        <w:rPr>
          <w:rFonts w:hint="eastAsia" w:ascii="楷体" w:hAnsi="楷体" w:eastAsia="楷体" w:cs="楷体"/>
        </w:rPr>
        <w:t>“十四五”时期发展</w:t>
      </w:r>
      <w:r>
        <w:rPr>
          <w:rFonts w:hint="eastAsia" w:ascii="楷体" w:hAnsi="楷体" w:eastAsia="楷体" w:cs="楷体"/>
          <w:lang w:val="en-US" w:eastAsia="zh-CN"/>
        </w:rPr>
        <w:t>成就</w:t>
      </w:r>
      <w:bookmarkEnd w:id="2"/>
    </w:p>
    <w:p w14:paraId="014B563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“十四五”期</w:t>
      </w:r>
      <w:r>
        <w:rPr>
          <w:rFonts w:hint="eastAsia" w:ascii="仿宋_GB2312" w:hAnsi="仿宋_GB2312" w:eastAsia="仿宋_GB2312" w:cs="仿宋_GB2312"/>
          <w:b w:val="0"/>
          <w:bCs w:val="0"/>
          <w:color w:val="auto"/>
          <w:sz w:val="32"/>
          <w:szCs w:val="32"/>
          <w:highlight w:val="none"/>
          <w:lang w:val="en-US" w:eastAsia="zh-Hans"/>
        </w:rPr>
        <w:t>间</w:t>
      </w:r>
      <w:r>
        <w:rPr>
          <w:rFonts w:hint="eastAsia" w:ascii="仿宋_GB2312" w:hAnsi="仿宋_GB2312" w:eastAsia="仿宋_GB2312" w:cs="仿宋_GB2312"/>
          <w:color w:val="auto"/>
          <w:sz w:val="32"/>
          <w:szCs w:val="32"/>
          <w:highlight w:val="none"/>
          <w:lang w:val="en-US" w:eastAsia="zh-CN"/>
        </w:rPr>
        <w:t>，柳城县坚持以习近平新时代中国特色社会主义思想为指导，</w:t>
      </w:r>
      <w:r>
        <w:rPr>
          <w:rFonts w:hint="eastAsia" w:ascii="仿宋_GB2312" w:hAnsi="仿宋_GB2312" w:eastAsia="仿宋_GB2312" w:cs="仿宋_GB2312"/>
          <w:color w:val="auto"/>
          <w:sz w:val="32"/>
          <w:highlight w:val="none"/>
        </w:rPr>
        <w:t>全面贯彻落实自治区</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柳州市</w:t>
      </w:r>
      <w:r>
        <w:rPr>
          <w:rFonts w:hint="eastAsia" w:ascii="仿宋_GB2312" w:hAnsi="仿宋_GB2312" w:eastAsia="仿宋_GB2312" w:cs="仿宋_GB2312"/>
          <w:color w:val="auto"/>
          <w:sz w:val="32"/>
          <w:highlight w:val="none"/>
        </w:rPr>
        <w:t>决策部署，积极应对复杂多变的国内外环境，</w:t>
      </w:r>
      <w:r>
        <w:rPr>
          <w:rFonts w:hint="eastAsia" w:ascii="仿宋_GB2312" w:hAnsi="仿宋_GB2312" w:eastAsia="仿宋_GB2312" w:cs="仿宋_GB2312"/>
          <w:color w:val="auto"/>
          <w:sz w:val="32"/>
          <w:szCs w:val="32"/>
          <w:highlight w:val="none"/>
          <w:lang w:val="en-US" w:eastAsia="zh-CN"/>
        </w:rPr>
        <w:t>围绕“工业强县、农业兴县、文旅活县、生态美县”发展思路，大力推进“三建设一融入”“九大工程”“四个百亿”产业攻坚行动，</w:t>
      </w:r>
      <w:r>
        <w:rPr>
          <w:rFonts w:hint="eastAsia" w:ascii="仿宋_GB2312" w:hAnsi="仿宋_GB2312" w:eastAsia="仿宋_GB2312" w:cs="仿宋_GB2312"/>
          <w:color w:val="auto"/>
          <w:sz w:val="32"/>
          <w:highlight w:val="none"/>
        </w:rPr>
        <w:t>高质量发展迈出坚实步伐，全面建设社会主义现代化新征程开局良好</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szCs w:val="32"/>
          <w:highlight w:val="none"/>
          <w:lang w:val="en-US" w:eastAsia="zh-CN"/>
        </w:rPr>
        <w:t>经济社会发展取得显著成效。</w:t>
      </w:r>
    </w:p>
    <w:p w14:paraId="116554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cs="Times New Roman"/>
          <w:color w:val="auto"/>
          <w:highlight w:val="none"/>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eastAsia="zh-CN"/>
        </w:rPr>
        <w:t>县域经济稳步壮大</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五年来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全县</w:t>
      </w:r>
      <w:r>
        <w:rPr>
          <w:rFonts w:hint="default" w:ascii="Times New Roman" w:hAnsi="Times New Roman" w:eastAsia="仿宋_GB2312" w:cs="Times New Roman"/>
          <w:color w:val="auto"/>
          <w:sz w:val="32"/>
          <w:szCs w:val="32"/>
          <w:highlight w:val="none"/>
        </w:rPr>
        <w:t>经济持续健康发展</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经统计核算</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地区</w:t>
      </w:r>
      <w:r>
        <w:rPr>
          <w:rFonts w:hint="default" w:ascii="Times New Roman" w:hAnsi="Times New Roman" w:eastAsia="仿宋_GB2312" w:cs="Times New Roman"/>
          <w:color w:val="auto"/>
          <w:sz w:val="32"/>
          <w:szCs w:val="32"/>
          <w:highlight w:val="none"/>
        </w:rPr>
        <w:t>生产总值</w:t>
      </w:r>
      <w:r>
        <w:rPr>
          <w:rFonts w:hint="default" w:ascii="Times New Roman" w:hAnsi="Times New Roman" w:eastAsia="仿宋_GB2312" w:cs="Times New Roman"/>
          <w:color w:val="auto"/>
          <w:sz w:val="32"/>
          <w:szCs w:val="32"/>
          <w:highlight w:val="none"/>
          <w:lang w:val="en-US" w:eastAsia="zh-CN"/>
        </w:rPr>
        <w:t>增至</w:t>
      </w:r>
      <w:r>
        <w:rPr>
          <w:rFonts w:hint="eastAsia" w:ascii="仿宋_GB2312" w:hAnsi="仿宋_GB2312" w:eastAsia="仿宋_GB2312" w:cs="仿宋_GB2312"/>
          <w:color w:val="auto"/>
          <w:sz w:val="32"/>
          <w:szCs w:val="32"/>
          <w:highlight w:val="none"/>
        </w:rPr>
        <w:t>22</w:t>
      </w:r>
      <w:r>
        <w:rPr>
          <w:rFonts w:hint="eastAsia" w:ascii="仿宋_GB2312" w:hAnsi="仿宋_GB2312" w:eastAsia="仿宋_GB2312" w:cs="仿宋_GB2312"/>
          <w:color w:val="auto"/>
          <w:sz w:val="32"/>
          <w:szCs w:val="32"/>
          <w:highlight w:val="none"/>
          <w:lang w:val="en-US" w:eastAsia="zh-CN"/>
        </w:rPr>
        <w:t>5.41</w:t>
      </w:r>
      <w:r>
        <w:rPr>
          <w:rFonts w:hint="default" w:ascii="Times New Roman" w:hAnsi="Times New Roman" w:eastAsia="仿宋_GB2312" w:cs="Times New Roman"/>
          <w:color w:val="auto"/>
          <w:sz w:val="32"/>
          <w:szCs w:val="32"/>
          <w:highlight w:val="none"/>
        </w:rPr>
        <w:t>亿元，年均增长</w:t>
      </w:r>
      <w:r>
        <w:rPr>
          <w:rFonts w:hint="eastAsia" w:ascii="仿宋_GB2312" w:hAnsi="仿宋_GB2312" w:eastAsia="仿宋_GB2312" w:cs="仿宋_GB2312"/>
          <w:color w:val="auto"/>
          <w:sz w:val="32"/>
          <w:szCs w:val="32"/>
          <w:highlight w:val="none"/>
          <w:lang w:val="en-US" w:eastAsia="zh-CN"/>
        </w:rPr>
        <w:t>3.9</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“工业强县”取得重大突破，规上工业增加值年均增长</w:t>
      </w:r>
      <w:r>
        <w:rPr>
          <w:rFonts w:hint="eastAsia" w:ascii="仿宋_GB2312" w:hAnsi="仿宋_GB2312" w:eastAsia="仿宋_GB2312" w:cs="仿宋_GB2312"/>
          <w:color w:val="auto"/>
          <w:sz w:val="32"/>
          <w:szCs w:val="32"/>
          <w:highlight w:val="none"/>
          <w:lang w:val="en-US" w:eastAsia="zh-CN"/>
        </w:rPr>
        <w:t>4.3%</w:t>
      </w:r>
      <w:r>
        <w:rPr>
          <w:rFonts w:hint="default" w:ascii="Times New Roman" w:hAnsi="Times New Roman" w:eastAsia="仿宋_GB2312" w:cs="Times New Roman"/>
          <w:color w:val="auto"/>
          <w:sz w:val="32"/>
          <w:szCs w:val="32"/>
          <w:highlight w:val="none"/>
          <w:lang w:val="en-US" w:eastAsia="zh-CN"/>
        </w:rPr>
        <w:t>，形成了食品药品（农产品）加工、精细化工、金属精加工、木材加工四大主导产业集群，工业实力不断增强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现代农业提质增效，糖料蔗、</w:t>
      </w:r>
      <w:r>
        <w:rPr>
          <w:rFonts w:hint="default" w:ascii="Times New Roman" w:hAnsi="Times New Roman" w:eastAsia="仿宋_GB2312" w:cs="Times New Roman"/>
          <w:color w:val="auto"/>
          <w:sz w:val="32"/>
          <w:szCs w:val="32"/>
          <w:highlight w:val="none"/>
          <w:lang w:val="en-US" w:eastAsia="zh-CN"/>
        </w:rPr>
        <w:t>畜禽养殖</w:t>
      </w:r>
      <w:r>
        <w:rPr>
          <w:rFonts w:hint="default" w:ascii="Times New Roman" w:hAnsi="Times New Roman" w:eastAsia="仿宋_GB2312" w:cs="Times New Roman"/>
          <w:color w:val="auto"/>
          <w:sz w:val="32"/>
          <w:szCs w:val="32"/>
          <w:highlight w:val="none"/>
        </w:rPr>
        <w:t>、螺蛳粉原</w:t>
      </w:r>
      <w:r>
        <w:rPr>
          <w:rFonts w:hint="default" w:ascii="Times New Roman" w:hAnsi="Times New Roman" w:eastAsia="仿宋_GB2312" w:cs="Times New Roman"/>
          <w:color w:val="auto"/>
          <w:sz w:val="32"/>
          <w:szCs w:val="32"/>
          <w:highlight w:val="none"/>
          <w:lang w:val="en-US" w:eastAsia="zh-CN"/>
        </w:rPr>
        <w:t>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桑蚕等特色产业规模效益同步</w:t>
      </w:r>
      <w:r>
        <w:rPr>
          <w:rFonts w:hint="default" w:ascii="Times New Roman" w:hAnsi="Times New Roman" w:eastAsia="仿宋_GB2312" w:cs="Times New Roman"/>
          <w:color w:val="auto"/>
          <w:sz w:val="32"/>
          <w:szCs w:val="32"/>
          <w:highlight w:val="none"/>
          <w:lang w:val="en-US" w:eastAsia="zh-CN"/>
        </w:rPr>
        <w:t>提升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农林牧渔业总产值年均增长</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成功创建</w:t>
      </w:r>
      <w:r>
        <w:rPr>
          <w:rFonts w:hint="default" w:ascii="Times New Roman" w:hAnsi="Times New Roman" w:eastAsia="仿宋_GB2312" w:cs="Times New Roman"/>
          <w:color w:val="auto"/>
          <w:sz w:val="32"/>
          <w:szCs w:val="32"/>
          <w:highlight w:val="none"/>
        </w:rPr>
        <w:t>全国“平安农机”示范县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获评“全国生猪调出大县”，</w:t>
      </w:r>
      <w:r>
        <w:rPr>
          <w:rFonts w:hint="default" w:ascii="Times New Roman" w:hAnsi="Times New Roman" w:eastAsia="仿宋_GB2312" w:cs="Times New Roman"/>
          <w:color w:val="auto"/>
          <w:sz w:val="32"/>
          <w:szCs w:val="32"/>
          <w:highlight w:val="none"/>
        </w:rPr>
        <w:t>社冲乡入选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国家农业产业强镇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服务业新业态蓬勃发展，文旅融合</w:t>
      </w:r>
      <w:r>
        <w:rPr>
          <w:rFonts w:hint="default" w:ascii="Times New Roman" w:hAnsi="Times New Roman" w:eastAsia="仿宋_GB2312" w:cs="Times New Roman"/>
          <w:color w:val="auto"/>
          <w:sz w:val="32"/>
          <w:szCs w:val="32"/>
          <w:highlight w:val="none"/>
          <w:lang w:eastAsia="zh-CN"/>
        </w:rPr>
        <w:t>深度推进</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四季柳城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魅力乡镇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特色品牌效应逐步显现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社会消费品零售总额达</w:t>
      </w:r>
      <w:r>
        <w:rPr>
          <w:rFonts w:hint="eastAsia" w:ascii="仿宋_GB2312" w:hAnsi="仿宋_GB2312" w:eastAsia="仿宋_GB2312" w:cs="仿宋_GB2312"/>
          <w:color w:val="auto"/>
          <w:sz w:val="32"/>
          <w:szCs w:val="32"/>
          <w:highlight w:val="none"/>
          <w:lang w:val="en-US" w:eastAsia="zh-CN"/>
        </w:rPr>
        <w:t>42.57</w:t>
      </w:r>
      <w:r>
        <w:rPr>
          <w:rFonts w:hint="default" w:ascii="Times New Roman" w:hAnsi="Times New Roman" w:eastAsia="仿宋_GB2312" w:cs="Times New Roman"/>
          <w:color w:val="auto"/>
          <w:sz w:val="32"/>
          <w:szCs w:val="32"/>
          <w:highlight w:val="none"/>
        </w:rPr>
        <w:t>亿元</w:t>
      </w:r>
      <w:r>
        <w:rPr>
          <w:rFonts w:hint="default" w:ascii="Times New Roman" w:hAnsi="Times New Roman" w:eastAsia="仿宋_GB2312" w:cs="Times New Roman"/>
          <w:color w:val="auto"/>
          <w:sz w:val="32"/>
          <w:szCs w:val="32"/>
          <w:highlight w:val="none"/>
          <w:lang w:eastAsia="zh-CN"/>
        </w:rPr>
        <w:t>，服务业成为拉动县域经济增长的新亮点。</w:t>
      </w:r>
    </w:p>
    <w:p w14:paraId="0174D32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tabs>
          <w:tab w:val="left" w:pos="7380"/>
        </w:tabs>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auto"/>
          <w:spacing w:val="0"/>
          <w:kern w:val="2"/>
          <w:sz w:val="32"/>
          <w:szCs w:val="32"/>
          <w:highlight w:val="none"/>
          <w:lang w:val="en-US" w:eastAsia="zh-CN" w:bidi="ar-SA"/>
        </w:rPr>
        <w:t>——</w:t>
      </w:r>
      <w:r>
        <w:rPr>
          <w:rFonts w:hint="eastAsia" w:ascii="仿宋_GB2312" w:hAnsi="仿宋_GB2312" w:eastAsia="仿宋_GB2312" w:cs="仿宋_GB2312"/>
          <w:b/>
          <w:bCs/>
          <w:color w:val="auto"/>
          <w:spacing w:val="0"/>
          <w:kern w:val="2"/>
          <w:sz w:val="32"/>
          <w:szCs w:val="32"/>
          <w:highlight w:val="none"/>
          <w:lang w:val="en-US" w:eastAsia="zh-CN" w:bidi="ar-SA"/>
        </w:rPr>
        <w:t>基础设施明显改善</w:t>
      </w:r>
      <w:r>
        <w:rPr>
          <w:rFonts w:hint="eastAsia" w:ascii="仿宋_GB2312" w:hAnsi="仿宋_GB2312" w:eastAsia="仿宋_GB2312" w:cs="仿宋_GB2312"/>
          <w:b/>
          <w:bCs/>
          <w:color w:val="auto"/>
          <w:spacing w:val="0"/>
          <w:kern w:val="2"/>
          <w:sz w:val="32"/>
          <w:szCs w:val="32"/>
          <w:highlight w:val="none"/>
          <w:lang w:eastAsia="zh-CN" w:bidi="ar-SA"/>
        </w:rPr>
        <w:t>。</w:t>
      </w:r>
      <w:r>
        <w:rPr>
          <w:rFonts w:hint="eastAsia" w:ascii="仿宋_GB2312" w:hAnsi="仿宋_GB2312" w:eastAsia="仿宋_GB2312" w:cs="仿宋_GB2312"/>
          <w:color w:val="auto"/>
          <w:sz w:val="32"/>
          <w:szCs w:val="32"/>
          <w:highlight w:val="none"/>
          <w:lang w:val="en-US" w:eastAsia="zh-Hans"/>
        </w:rPr>
        <w:t>县域</w:t>
      </w:r>
      <w:r>
        <w:rPr>
          <w:rFonts w:hint="eastAsia" w:ascii="仿宋_GB2312" w:hAnsi="仿宋_GB2312" w:eastAsia="仿宋_GB2312" w:cs="仿宋_GB2312"/>
          <w:color w:val="auto"/>
          <w:sz w:val="32"/>
          <w:szCs w:val="32"/>
          <w:highlight w:val="none"/>
          <w:lang w:val="en-US" w:eastAsia="zh-CN"/>
        </w:rPr>
        <w:t>内公路建设稳步推进，改造农村公路里程100.8公里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“半小时经济圈”辐射带动作用进一步增强，群众出行条件得到极大改善。围绕珠江水系多条大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小河流，实施了一批河道治理、水库除险加固、节水灌溉等工程，有效灌溉面积达到23.46万亩，水利工程年供水能力达到36019.5万立方米，水资源保障能力显著提升。建成一批输变电工程，电网供电可靠性和供电能力大幅提升，满足了经济社会发展的用电需求。5G网络实现县域全覆盖，光纤宽带普及水平不断提高，数字乡村建设扎实推进，信息化与实体经济融合发展步伐加快。</w:t>
      </w:r>
    </w:p>
    <w:p w14:paraId="056CDE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——城乡融合</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步伐加快</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新型城镇化建设扎实推进，县城综合承载能力和功能品质稳步提升，城乡</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交通、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供水、供气、污水处理等基础设施持续完善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乡村振兴战略全面实施，农村人居环境显著改善，集镇风貌提升项目有序推进，城乡生活垃圾实现跨区域无害化转运处理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宜居宜业和美乡村建设取得积极成效。绿色生态底色更加鲜明</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蓝天、碧水、净土保卫战成果不断巩固，空气优良天数比率持续保持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14:textFill>
            <w14:solidFill>
              <w14:schemeClr w14:val="tx1"/>
            </w14:solidFill>
          </w14:textFill>
        </w:rPr>
        <w:t>90%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以上，成功创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成</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中国气候宜居县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14:paraId="0413A2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深化</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改革</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实现突破</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重点领域和关键环节改革纵深推进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“放管服”改革成效显著，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作为广西唯一县份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被</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为国家“高效办成一件事”示范县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集成服务、数字政务等柳城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经验获区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推广。新一轮机构改革顺利完成，国家级乡镇（街道）履行职责事项清单试点工作圆满收官</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。公共服务与社会治理改革稳步推进，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成功入列“中国长寿之乡”和全区探索老年友好型农村养老服务试点县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秸秆资源“五化”利用、融媒体中心改革等创新</w:t>
      </w:r>
      <w:r>
        <w:rPr>
          <w:rFonts w:hint="eastAsia"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做法</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走在全区前列。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开放发展步伐加快</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积极服务和融入西部陆海新通道建设。教育、医疗卫生、农业农村等各领域改革持续深化，为全县高质量发展注入新活力。</w:t>
      </w:r>
    </w:p>
    <w:p w14:paraId="52CEC841">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color w:val="000000" w:themeColor="text1"/>
          <w:spacing w:val="-6"/>
          <w:sz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highlight w:val="none"/>
          <w14:textFill>
            <w14:solidFill>
              <w14:schemeClr w14:val="tx1"/>
            </w14:solidFill>
          </w14:textFill>
        </w:rPr>
        <w:t>文化发展成效显著。</w:t>
      </w:r>
      <w:r>
        <w:rPr>
          <w:rFonts w:hint="eastAsia" w:ascii="仿宋_GB2312" w:hAnsi="仿宋_GB2312" w:eastAsia="仿宋_GB2312" w:cs="仿宋_GB2312"/>
          <w:color w:val="000000" w:themeColor="text1"/>
          <w:sz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highlight w:val="none"/>
          <w14:textFill>
            <w14:solidFill>
              <w14:schemeClr w14:val="tx1"/>
            </w14:solidFill>
          </w14:textFill>
        </w:rPr>
        <w:t>县作为多民族聚居地区，始终坚持各民族共同团结奋斗、共同繁荣发展，民族关系更加和谐融洽。“彩调之乡”“戏曲之乡”“中国民间艺术之乡”“书法之乡”品牌效应不断放大，</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仫佬族民俗文化、稻作农耕文化与生态文化深度融合。云片糕、牛腊巴等地理标志产品与文创设计相结合，推动非遗项目产业化</w:t>
      </w:r>
      <w:r>
        <w:rPr>
          <w:rFonts w:hint="eastAsia" w:ascii="仿宋_GB2312" w:hAnsi="仿宋_GB2312" w:eastAsia="仿宋_GB2312" w:cs="仿宋_GB2312"/>
          <w:color w:val="000000" w:themeColor="text1"/>
          <w:sz w:val="32"/>
          <w:highlight w:val="none"/>
          <w14:textFill>
            <w14:solidFill>
              <w14:schemeClr w14:val="tx1"/>
            </w14:solidFill>
          </w14:textFill>
        </w:rPr>
        <w:t>，文化产业规模不断扩大，</w:t>
      </w:r>
      <w:r>
        <w:rPr>
          <w:rFonts w:hint="eastAsia" w:ascii="仿宋_GB2312" w:hAnsi="仿宋_GB2312" w:eastAsia="仿宋_GB2312" w:cs="仿宋_GB2312"/>
          <w:color w:val="000000" w:themeColor="text1"/>
          <w:spacing w:val="-6"/>
          <w:sz w:val="32"/>
          <w:highlight w:val="none"/>
          <w14:textFill>
            <w14:solidFill>
              <w14:schemeClr w14:val="tx1"/>
            </w14:solidFill>
          </w14:textFill>
        </w:rPr>
        <w:t>文化产品和服务供给持续增加，为经济社会发展注入了文化动力。</w:t>
      </w:r>
    </w:p>
    <w:p w14:paraId="448EF161">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——民生福祉显著增进。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坚持以人民为中心的发展思想，持续加大民生投入，基本养老、医疗保障、城乡低保等覆盖范围不断扩大，多层次社会保障体系更加健全，城乡居民人均可支配收入实现较快增长。城乡交通运输服务水平显著提升，成功创建“四好农村路”全国示范县。脱贫攻坚成果持续巩固拓展，高质量完成过渡期各项任务。文化服务质量不断提升，凤山镇获评“全国文明村镇”。民族团结进步基础更加牢固，成功创建“自治区民族团结进步示范县”。平安柳城建设持续深化，连续五年获评自治区平安县。社会主义民主法治建设扎实推进，社会大局保持和谐稳定，人民群众的获得感、幸福感、安全感不断增强。</w:t>
      </w:r>
    </w:p>
    <w:p w14:paraId="00CD5F64">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全面</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从严治党纵深推进</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党的全面领导持续加强，组织体系上下贯通、执行有力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基层党组织战斗堡垒作用和党员先锋模范作用充分发挥。主题教育扎实开展，党的创新理论武装走深走实</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意识形态工作责任制全面落实，主流思想舆论阵地巩固壮大。党风廉政建设和反腐败斗争纵深推进，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纠治“四风”持续深化，党风政风社风焕然一新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党员干部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干事创业的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精气神全面提振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风清气正的政治生态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不断</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巩固，为全县发展提供坚强政治保证。</w:t>
      </w:r>
    </w:p>
    <w:p w14:paraId="4E1B99B2">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同时，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也要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清醒</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认识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到，柳城发展仍面临诸多困难与挑战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经济总量和发展质量亟待提升，与全区先进县区相比仍有</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较大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差距；产业结构性矛盾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依然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突出，新兴产业规模偏小，转型升级步伐尚需提速；城乡区域发展不够均衡，全面推进乡村振兴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任务艰巨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资源要素约束持续趋紧，用地供需矛盾等问题</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日益凸显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民生保障存在薄弱环节，居民收入增长面临较大压力；全面从严治党仍需纵深推进，党的建设质量有待全面提高，正风肃纪反腐力度还需持续加大；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防范化解各类风险挑战的压力依然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较</w:t>
      </w: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大</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等等，这些都是“十五五”</w:t>
      </w:r>
      <w:r>
        <w:rPr>
          <w:rFonts w:hint="eastAsia"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时期</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必须直面和全力破解的重大课题。</w:t>
      </w:r>
    </w:p>
    <w:p w14:paraId="54C1FF14">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0" w:firstLineChars="200"/>
        <w:jc w:val="both"/>
        <w:textAlignment w:val="auto"/>
        <w:rPr>
          <w:rFonts w:hint="default"/>
          <w:color w:val="000000" w:themeColor="text1"/>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Hans"/>
          <w14:textFill>
            <w14:solidFill>
              <w14:schemeClr w14:val="tx1"/>
            </w14:solidFill>
          </w14:textFill>
        </w:rPr>
        <w:t>因此</w:t>
      </w:r>
      <w:r>
        <w:rPr>
          <w:rFonts w:hint="default" w:ascii="Times New Roman" w:hAnsi="Times New Roman" w:eastAsia="仿宋_GB2312" w:cs="Times New Roman"/>
          <w:color w:val="000000" w:themeColor="text1"/>
          <w:sz w:val="32"/>
          <w:szCs w:val="32"/>
          <w:highlight w:val="none"/>
          <w:lang w:eastAsia="zh-Hans"/>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必须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深刻领悟“两个确立”的决定性意义，增强“四个意识”、坚定“四个自信”、做到“两个维护”，深刻把握社会发展的新形势新变化，切实增强机遇意识和风险意识，积极识变应变求变，敢于斗争、善于斗争，以历史主动克难关、战风险、迎挑战，努力在发展中塑造新优势、掌握主动权、开创新未来，奋力开创柳城高质量发展新局面。</w:t>
      </w:r>
    </w:p>
    <w:p w14:paraId="28AB71D4">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rPr>
      </w:pPr>
      <w:bookmarkStart w:id="3" w:name="_Toc773198819"/>
      <w:r>
        <w:rPr>
          <w:rFonts w:hint="eastAsia" w:ascii="楷体" w:hAnsi="楷体" w:eastAsia="楷体" w:cs="楷体"/>
        </w:rPr>
        <w:t>第二</w:t>
      </w:r>
      <w:r>
        <w:rPr>
          <w:rFonts w:hint="eastAsia" w:ascii="楷体" w:hAnsi="楷体" w:eastAsia="楷体" w:cs="楷体"/>
          <w:lang w:val="en-US" w:eastAsia="zh-CN"/>
        </w:rPr>
        <w:t>节</w:t>
      </w:r>
      <w:r>
        <w:rPr>
          <w:rFonts w:hint="eastAsia" w:ascii="楷体" w:hAnsi="楷体" w:eastAsia="楷体" w:cs="楷体"/>
        </w:rPr>
        <w:t>“十五五”时期面临的发展环境</w:t>
      </w:r>
      <w:bookmarkEnd w:id="3"/>
    </w:p>
    <w:p w14:paraId="47E91022">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highlight w:val="none"/>
          <w14:textFill>
            <w14:solidFill>
              <w14:schemeClr w14:val="tx1"/>
            </w14:solidFill>
          </w14:textFill>
        </w:rPr>
        <w:t>“十五五”时期是我国全面建设社会主义现代化国家、向第二个百年奋斗目标进军的关键五年，全面贯彻落实党的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二十大及历次全会精神</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主动融入自治区“一区两地一园一通道”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及柳州制造强市建设大局</w:t>
      </w:r>
      <w:r>
        <w:rPr>
          <w:rFonts w:hint="eastAsia" w:ascii="Times New Roman" w:hAnsi="Times New Roman" w:eastAsia="仿宋_GB2312" w:cs="Times New Roman"/>
          <w:color w:val="000000" w:themeColor="text1"/>
          <w:sz w:val="32"/>
          <w:highlight w:val="none"/>
          <w14:textFill>
            <w14:solidFill>
              <w14:schemeClr w14:val="tx1"/>
            </w14:solidFill>
          </w14:textFill>
        </w:rPr>
        <w:t>的重要阶段，</w:t>
      </w:r>
      <w:r>
        <w:rPr>
          <w:rFonts w:hint="eastAsia" w:ascii="仿宋_GB2312" w:hAnsi="仿宋_GB2312" w:eastAsia="仿宋_GB2312" w:cs="仿宋_GB2312"/>
          <w:color w:val="000000" w:themeColor="text1"/>
          <w:sz w:val="32"/>
          <w:szCs w:val="32"/>
          <w:highlight w:val="none"/>
          <w14:textFill>
            <w14:solidFill>
              <w14:schemeClr w14:val="tx1"/>
            </w14:solidFill>
          </w14:textFill>
        </w:rPr>
        <w:t>也是柳城县深度融入国家和</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自治</w:t>
      </w:r>
      <w:r>
        <w:rPr>
          <w:rFonts w:hint="eastAsia" w:ascii="仿宋_GB2312" w:hAnsi="仿宋_GB2312" w:eastAsia="仿宋_GB2312" w:cs="仿宋_GB2312"/>
          <w:color w:val="000000" w:themeColor="text1"/>
          <w:sz w:val="32"/>
          <w:szCs w:val="32"/>
          <w:highlight w:val="none"/>
          <w14:textFill>
            <w14:solidFill>
              <w14:schemeClr w14:val="tx1"/>
            </w14:solidFill>
          </w14:textFill>
        </w:rPr>
        <w:t>区发展战略、推动经济高质量发展的重要窗口期。</w:t>
      </w:r>
    </w:p>
    <w:p w14:paraId="49A27885">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发展</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机遇。</w:t>
      </w:r>
    </w:p>
    <w:p w14:paraId="34C99C70">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国家重大战略叠加带来的政策机遇。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“十五五”时期，我国将持续推进西部大开发、</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西部陆海新通道</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、粤港澳大湾区建设、长江经济带发展等重大战略，</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县作为自治区中部的重要节点，可依托紧邻</w:t>
      </w:r>
      <w:r>
        <w:rPr>
          <w:rFonts w:hint="eastAsia" w:ascii="仿宋_GB2312" w:hAnsi="仿宋_GB2312" w:eastAsia="仿宋_GB2312" w:cs="仿宋_GB2312"/>
          <w:color w:val="000000" w:themeColor="text1"/>
          <w:sz w:val="32"/>
          <w:szCs w:val="32"/>
          <w:highlight w:val="none"/>
          <w14:textFill>
            <w14:solidFill>
              <w14:schemeClr w14:val="tx1"/>
            </w14:solidFill>
          </w14:textFill>
        </w:rPr>
        <w:t>柳</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州</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市的区位优势，主动融入区域发展大局，积极承接产业转移，争取国家和自治区更多政策、项目</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资金支持，为县域经济发展增添新动能。</w:t>
      </w:r>
    </w:p>
    <w:p w14:paraId="63943820">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高质量发展导向下的产业升级机遇。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当前，我国经济转向高质量发展阶段，产业结构调整和转型升级步伐加快，</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新能源</w:t>
      </w:r>
      <w:r>
        <w:rPr>
          <w:rFonts w:hint="default" w:ascii="Times New Roman" w:hAnsi="Times New Roman" w:eastAsia="仿宋_GB2312" w:cs="Times New Roman"/>
          <w:color w:val="000000" w:themeColor="text1"/>
          <w:sz w:val="32"/>
          <w:szCs w:val="32"/>
          <w:highlight w:val="none"/>
          <w:lang w:eastAsia="zh-Hans"/>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精细化工、金属新材料、生物医药及大健康等战略性新兴产业迎来发展黄金期。</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县已初步形成</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大重点产业发展格局，可借助技术创新、模式创新，推动产业向高端化、智能化、绿色化转型，培育新的经济增长点。</w:t>
      </w:r>
    </w:p>
    <w:p w14:paraId="333388CC">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生态宜居优势凸显带来的发展机遇。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随着人们生活水平的提高和消费观念的转变，生态旅游、健康养生等绿色消费需求持续增长。</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作为“中国气候宜居县”，拥有优越的光热条件、丰富的水资源、良好的生态环境和独特的民族文化资源，具备发展生态文旅、健康养老等产业的独特优势，可进一步打响生态宜居品牌，吸引更多投资和消费，推动生态优势向经济优势转化。</w:t>
      </w:r>
    </w:p>
    <w:p w14:paraId="2869F8C5">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基础设施持续完善带来的支撑机遇。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“十四五”时期，</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县交通、水利、能源、信息等基础设施不断完善，为“十五五”时期经济社会发展提供了坚实支撑。随着后续一批重大基础设施项目的规划建设，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县的区位优势将进一步凸显，要素集聚能力和辐射带动能力将显著增强，为产业发展、城乡融合、民生改善等提供更有力的保障。</w:t>
      </w:r>
    </w:p>
    <w:p w14:paraId="219AF514">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多民族融合发展带来的文化机遇。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多民族聚居的特点造就了</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县丰富的历史文化资源，“彩调之乡”“戏曲之乡”等文化品牌具有较高的知名度和影响力。在国家大力推进文化强国建设的背景下，</w:t>
      </w:r>
      <w:r>
        <w:rPr>
          <w:rFonts w:hint="eastAsia" w:ascii="仿宋_GB2312" w:hAnsi="仿宋_GB2312" w:eastAsia="仿宋_GB2312" w:cs="仿宋_GB2312"/>
          <w:color w:val="000000" w:themeColor="text1"/>
          <w:sz w:val="32"/>
          <w:szCs w:val="32"/>
          <w:highlight w:val="none"/>
          <w14:textFill>
            <w14:solidFill>
              <w14:schemeClr w14:val="tx1"/>
            </w14:solidFill>
          </w14:textFill>
        </w:rPr>
        <w:t>柳城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县可深入挖掘民族文化内涵，推动文化与旅游、科技、农业等产业深度融合，培育壮大文化产业，提升县域文化软实力和竞争力。</w:t>
      </w:r>
    </w:p>
    <w:p w14:paraId="7BD166F9">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面临</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挑战</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p>
    <w:p w14:paraId="097A86F6">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国际环境复杂多变带来的外部风险。</w:t>
      </w:r>
      <w:r>
        <w:rPr>
          <w:rFonts w:hint="eastAsia" w:ascii="仿宋_GB2312" w:hAnsi="仿宋_GB2312" w:eastAsia="仿宋_GB2312" w:cs="仿宋_GB2312"/>
          <w:color w:val="000000" w:themeColor="text1"/>
          <w:sz w:val="32"/>
          <w:szCs w:val="32"/>
          <w:highlight w:val="none"/>
          <w14:textFill>
            <w14:solidFill>
              <w14:schemeClr w14:val="tx1"/>
            </w14:solidFill>
          </w14:textFill>
        </w:rPr>
        <w:t>世界百年未有之大变局加速演进，单边主义、保护主义抬头，全球经济复苏乏力，国际贸易摩擦加剧，给</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县外向型经济发展带来不确定性。同时，全球产业链供应链重构，对</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县产业转型升级、招商引资等工作提出了更高要求。</w:t>
      </w:r>
    </w:p>
    <w:p w14:paraId="78C97AFF">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区域竞争日趋激烈带来的发展压力</w:t>
      </w:r>
      <w:r>
        <w:rPr>
          <w:rFonts w:hint="eastAsia" w:ascii="仿宋_GB2312" w:hAnsi="仿宋_GB2312" w:eastAsia="仿宋_GB2312" w:cs="仿宋_GB2312"/>
          <w:color w:val="000000" w:themeColor="text1"/>
          <w:sz w:val="32"/>
          <w:szCs w:val="32"/>
          <w:highlight w:val="none"/>
          <w14:textFill>
            <w14:solidFill>
              <w14:schemeClr w14:val="tx1"/>
            </w14:solidFill>
          </w14:textFill>
        </w:rPr>
        <w:t>。周边县域纷纷加快发展步伐，在产业布局、项目引进、资源争夺等方面的竞争日趋激烈。</w:t>
      </w:r>
      <w:r>
        <w:rPr>
          <w:rFonts w:hint="default" w:ascii="仿宋_GB2312" w:hAnsi="仿宋_GB2312" w:eastAsia="仿宋_GB2312" w:cs="仿宋_GB2312"/>
          <w:color w:val="000000" w:themeColor="text1"/>
          <w:sz w:val="32"/>
          <w:szCs w:val="32"/>
          <w:highlight w:val="none"/>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县在产业规模、创新能力、人才储备等方面仍存在不足，面临着不进则退、慢进亦退的严峻挑战。</w:t>
      </w:r>
    </w:p>
    <w:p w14:paraId="78C4AC5F">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产业结构仍需优化带来的转型难题。</w:t>
      </w:r>
      <w:r>
        <w:rPr>
          <w:rFonts w:hint="eastAsia" w:ascii="仿宋_GB2312" w:hAnsi="仿宋_GB2312" w:eastAsia="仿宋_GB2312" w:cs="仿宋_GB2312"/>
          <w:color w:val="000000" w:themeColor="text1"/>
          <w:sz w:val="32"/>
          <w:szCs w:val="32"/>
          <w:highlight w:val="none"/>
          <w14:textFill>
            <w14:solidFill>
              <w14:schemeClr w14:val="tx1"/>
            </w14:solidFill>
          </w14:textFill>
        </w:rPr>
        <w:t>尽管</w:t>
      </w:r>
      <w:r>
        <w:rPr>
          <w:rFonts w:hint="default" w:ascii="仿宋_GB2312" w:hAnsi="仿宋_GB2312" w:eastAsia="仿宋_GB2312" w:cs="仿宋_GB2312"/>
          <w:color w:val="000000" w:themeColor="text1"/>
          <w:sz w:val="32"/>
          <w:szCs w:val="32"/>
          <w:highlight w:val="none"/>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县产业结构调整初见成效，但传统产业占比依然较高，新兴产业规模偏小、产业链条不完善，产业附加值不高。同时，产业创新能力不足，核心技术对外依存度较高，高端人才短缺，制约了产业转型升级的步伐。</w:t>
      </w:r>
    </w:p>
    <w:p w14:paraId="092A5065">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城乡发展不平衡带来的协调问题。</w:t>
      </w:r>
      <w:r>
        <w:rPr>
          <w:rFonts w:hint="eastAsia" w:ascii="仿宋_GB2312" w:hAnsi="仿宋_GB2312" w:eastAsia="仿宋_GB2312" w:cs="仿宋_GB2312"/>
          <w:color w:val="000000" w:themeColor="text1"/>
          <w:sz w:val="32"/>
          <w:szCs w:val="32"/>
          <w:highlight w:val="none"/>
          <w14:textFill>
            <w14:solidFill>
              <w14:schemeClr w14:val="tx1"/>
            </w14:solidFill>
          </w14:textFill>
        </w:rPr>
        <w:t>城乡二元结构依然存在，城乡居民收入差距、公共服务水平差距尚未完全缩小。农村基础设施和公共服务仍有短板，乡村产业发展相对滞后，人才、资金等要素向农村流动不畅，城乡融合发展的体制机制仍需进一步完善。</w:t>
      </w:r>
    </w:p>
    <w:p w14:paraId="1DA41C96">
      <w:pPr>
        <w:keepNext w:val="0"/>
        <w:keepLines w:val="0"/>
        <w:pageBreakBefore w:val="0"/>
        <w:widowControl w:val="0"/>
        <w:pBdr>
          <w:bottom w:val="single" w:color="FFFFFF" w:sz="4" w:space="15"/>
        </w:pBdr>
        <w:tabs>
          <w:tab w:val="left" w:pos="7380"/>
        </w:tabs>
        <w:kinsoku/>
        <w:wordWrap/>
        <w:overflowPunct/>
        <w:topLinePunct w:val="0"/>
        <w:autoSpaceDE/>
        <w:autoSpaceDN/>
        <w:bidi w:val="0"/>
        <w:adjustRightInd w:val="0"/>
        <w:snapToGrid w:val="0"/>
        <w:spacing w:line="560" w:lineRule="exact"/>
        <w:ind w:firstLine="643" w:firstLineChars="200"/>
        <w:jc w:val="both"/>
        <w:textAlignment w:val="auto"/>
        <w:rPr>
          <w:rFonts w:hint="eastAsia" w:ascii="黑体" w:hAnsi="黑体" w:eastAsia="黑体" w:cs="黑体"/>
          <w:color w:val="000000" w:themeColor="text1"/>
          <w:sz w:val="16"/>
          <w:szCs w:val="16"/>
          <w:highlight w:val="none"/>
          <w14:textFill>
            <w14:solidFill>
              <w14:schemeClr w14:val="tx1"/>
            </w14:solidFill>
          </w14:textFill>
        </w:rPr>
      </w:pPr>
      <w:r>
        <w:rPr>
          <w:rFonts w:hint="default" w:ascii="Times New Roman" w:hAnsi="Times New Roman" w:eastAsia="仿宋_GB2312" w:cs="Times New Roman"/>
          <w:b/>
          <w:bCs/>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资源环境约束趋紧带来的发展挑战。</w:t>
      </w:r>
      <w:r>
        <w:rPr>
          <w:rFonts w:hint="eastAsia" w:ascii="仿宋_GB2312" w:hAnsi="仿宋_GB2312" w:eastAsia="仿宋_GB2312" w:cs="仿宋_GB2312"/>
          <w:color w:val="000000" w:themeColor="text1"/>
          <w:sz w:val="32"/>
          <w:szCs w:val="32"/>
          <w:highlight w:val="none"/>
          <w14:textFill>
            <w14:solidFill>
              <w14:schemeClr w14:val="tx1"/>
            </w14:solidFill>
          </w14:textFill>
        </w:rPr>
        <w:t>随着经济社会的快速发展，能源消耗、污染物排放总量持续增加，生态环境保护压力不断加大。</w:t>
      </w:r>
      <w:r>
        <w:rPr>
          <w:rFonts w:hint="default" w:ascii="仿宋_GB2312" w:hAnsi="仿宋_GB2312" w:eastAsia="仿宋_GB2312" w:cs="仿宋_GB2312"/>
          <w:color w:val="000000" w:themeColor="text1"/>
          <w:sz w:val="32"/>
          <w:szCs w:val="32"/>
          <w:highlight w:val="none"/>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县作为岩溶地貌地区，生态环境较为脆弱，水资源时空分布不均，资源环境约束对经济社会发展的制约作用日益凸显，绿色低碳发展的任务依然艰巨。</w:t>
      </w:r>
    </w:p>
    <w:p w14:paraId="34F8AC5D">
      <w:pPr>
        <w:rPr>
          <w:rFonts w:hint="eastAsia" w:ascii="黑体" w:hAnsi="黑体" w:eastAsia="黑体" w:cs="黑体"/>
          <w:sz w:val="32"/>
          <w:szCs w:val="40"/>
          <w:lang w:val="en-US" w:eastAsia="zh-Hans"/>
        </w:rPr>
      </w:pPr>
      <w:r>
        <w:rPr>
          <w:rFonts w:hint="default" w:ascii="黑体" w:hAnsi="黑体" w:eastAsia="黑体" w:cs="黑体"/>
          <w:sz w:val="32"/>
          <w:szCs w:val="40"/>
          <w:lang w:val="en-US" w:eastAsia="zh-CN"/>
        </w:rPr>
        <w:br w:type="page"/>
      </w:r>
    </w:p>
    <w:p w14:paraId="3EB01E53">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Hans"/>
        </w:rPr>
      </w:pPr>
      <w:bookmarkStart w:id="4" w:name="_Toc729002936"/>
      <w:r>
        <w:rPr>
          <w:rFonts w:hint="default" w:ascii="黑体" w:hAnsi="黑体" w:eastAsia="黑体" w:cs="黑体"/>
          <w:sz w:val="32"/>
          <w:szCs w:val="40"/>
          <w:lang w:val="en-US" w:eastAsia="zh-CN"/>
        </w:rPr>
        <w:t>“十五五”时期经济社会发展的总体要求和主要目标</w:t>
      </w:r>
      <w:bookmarkEnd w:id="4"/>
    </w:p>
    <w:p w14:paraId="3A4EF881">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rPr>
      </w:pPr>
      <w:bookmarkStart w:id="5" w:name="_Toc958139217"/>
      <w:r>
        <w:rPr>
          <w:rFonts w:hint="eastAsia" w:ascii="楷体" w:hAnsi="楷体" w:eastAsia="楷体" w:cs="楷体"/>
        </w:rPr>
        <w:t>第一节</w:t>
      </w:r>
      <w:r>
        <w:rPr>
          <w:rFonts w:hint="eastAsia" w:ascii="楷体" w:hAnsi="楷体" w:eastAsia="楷体" w:cs="楷体"/>
          <w:lang w:val="en-US" w:eastAsia="zh-CN"/>
        </w:rPr>
        <w:t xml:space="preserve"> </w:t>
      </w:r>
      <w:r>
        <w:rPr>
          <w:rFonts w:hint="eastAsia" w:ascii="楷体" w:hAnsi="楷体" w:eastAsia="楷体" w:cs="楷体"/>
        </w:rPr>
        <w:t>指导思想</w:t>
      </w:r>
      <w:bookmarkEnd w:id="5"/>
    </w:p>
    <w:p w14:paraId="10FBB9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sz w:val="16"/>
          <w:szCs w:val="16"/>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坚持马克思列宁主义、毛泽东思想、邓小平理论、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三个代表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重要思想、科学发展观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，全面贯彻</w:t>
      </w:r>
      <w:r>
        <w:rPr>
          <w:rFonts w:hint="eastAsia" w:ascii="仿宋_GB2312" w:hAnsi="仿宋_GB2312" w:eastAsia="仿宋_GB2312" w:cs="仿宋_GB2312"/>
          <w:color w:val="000000" w:themeColor="text1"/>
          <w:sz w:val="32"/>
          <w:szCs w:val="32"/>
          <w:highlight w:val="none"/>
          <w14:textFill>
            <w14:solidFill>
              <w14:schemeClr w14:val="tx1"/>
            </w14:solidFill>
          </w14:textFill>
        </w:rPr>
        <w:t>习近平新时代中国特色社会主义思想，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深入</w:t>
      </w:r>
      <w:r>
        <w:rPr>
          <w:rFonts w:hint="eastAsia" w:ascii="仿宋_GB2312" w:hAnsi="仿宋_GB2312" w:eastAsia="仿宋_GB2312" w:cs="仿宋_GB2312"/>
          <w:color w:val="000000" w:themeColor="text1"/>
          <w:sz w:val="32"/>
          <w:szCs w:val="32"/>
          <w:highlight w:val="none"/>
          <w14:textFill>
            <w14:solidFill>
              <w14:schemeClr w14:val="tx1"/>
            </w14:solidFill>
          </w14:textFill>
        </w:rPr>
        <w:t>贯彻党的二十大和二十届历次全会精神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，统筹推进“五位一体”总体布局，协调推进“四个全面”战略布局，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坚决贯彻落实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习近平总书记关于广西工作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论述的重要要求</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解放思想</w:t>
      </w:r>
      <w:bookmarkStart w:id="149" w:name="_GoBack"/>
      <w:bookmarkEnd w:id="149"/>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、创新求变，向海图强、开放发展，完整准确全面贯彻新发展理念，积极服务和融入新发展格局，牢牢把握铸牢中华民族共同体意识这条主线，坚持以经济建设为中心，以推动高质量发展为主题，坚持</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sz w:val="32"/>
          <w:szCs w:val="32"/>
        </w:rPr>
        <w:t>稳中求进、以进促稳、先立后破</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总基调，以改革创新为根本动力，以满足人民日益增长的美好生活需要为根本目的，以全面从严治党为根本保障，全面贯彻自治区党委十二届十一次全会、市委十三届十三次全会精神，牢固树立“实干为要、创新为魂，用业绩说话、让人民评价”的鲜明导向，围绕</w:t>
      </w:r>
      <w:r>
        <w:rPr>
          <w:rFonts w:hint="eastAsia" w:ascii="仿宋_GB2312" w:hAnsi="仿宋_GB2312" w:eastAsia="仿宋_GB2312" w:cs="仿宋_GB2312"/>
          <w:color w:val="000000" w:themeColor="text1"/>
          <w:sz w:val="32"/>
          <w:szCs w:val="32"/>
          <w:highlight w:val="none"/>
          <w14:textFill>
            <w14:solidFill>
              <w14:schemeClr w14:val="tx1"/>
            </w14:solidFill>
          </w14:textFill>
        </w:rPr>
        <w:t>“一区两地一园一通道”“四大定位”“四项任务”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聚焦“强工、兴农、活旅、美县”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总体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战略</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聚焦产业升级、城乡融合、生态保护、民生改善、民族团结，着力打造现代化产业体系，推进城乡区域协调发展，提升生态文明建设水平，防范化解各类风险，增进民生福祉，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奋力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在全面建设社会主义现代化国家新征程中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谱写中国式现代化柳城实践新篇章。</w:t>
      </w:r>
    </w:p>
    <w:p w14:paraId="5BD89B52">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lang w:val="en-US" w:eastAsia="zh-CN"/>
        </w:rPr>
      </w:pPr>
      <w:bookmarkStart w:id="6" w:name="_Toc1613434913"/>
      <w:r>
        <w:rPr>
          <w:rFonts w:hint="eastAsia" w:ascii="楷体" w:hAnsi="楷体" w:eastAsia="楷体" w:cs="楷体"/>
        </w:rPr>
        <w:t>第二节</w:t>
      </w:r>
      <w:r>
        <w:rPr>
          <w:rFonts w:hint="eastAsia" w:ascii="楷体" w:hAnsi="楷体" w:eastAsia="楷体" w:cs="楷体"/>
          <w:lang w:val="en-US" w:eastAsia="zh-CN"/>
        </w:rPr>
        <w:t xml:space="preserve"> </w:t>
      </w:r>
      <w:r>
        <w:rPr>
          <w:rFonts w:hint="eastAsia" w:ascii="楷体" w:hAnsi="楷体" w:eastAsia="楷体" w:cs="楷体"/>
        </w:rPr>
        <w:t>基本原则</w:t>
      </w:r>
      <w:bookmarkEnd w:id="6"/>
    </w:p>
    <w:p w14:paraId="49ADC85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坚持党的全面领导。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坚决维护党中央权威和集中统一领导，充分发挥党总揽全局、协调各方的领导核心作用，把党的领导贯穿于“十五五”规划组织实施全过程各方面，确保党中央和上级党委决策部署在柳城不折不扣落实到位，为全县社会主义现代化建设提供根本政治保证。</w:t>
      </w:r>
    </w:p>
    <w:p w14:paraId="46F94B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坚持人民至上。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始终把人民对美好生活的向往作为奋斗目标，坚持发展为了人民、发展依靠人民、发展成果由人民共享，</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在推进共同富裕中促进社会公平正义，持续增进民生福祉，充分激发全体人民的积极性、主动性、创造性，让现代化建设成果更多更公平惠及全县人民。</w:t>
      </w:r>
    </w:p>
    <w:p w14:paraId="7598C5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坚持高质量发展。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把高质量发展作为新时代的硬道理，完整准确全面贯彻新发展理念，因地制宜发展新质生产力，加快推动产业结构优化升级，促进产业智能化、绿色化、融合化发展，着力构建具有柳城特色和优势的现代化产业体系。</w:t>
      </w:r>
    </w:p>
    <w:p w14:paraId="02028C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坚持全面深化改革。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坚持社会主义市场经济改革方向，更加注重改革的系统性、整体性、协同性，破除制约高质量发展的体制机制障碍。实施更加积极主动的开放战略，以开放促改革、促发展、促创新，不断增强发展的动力和活力。</w:t>
      </w:r>
    </w:p>
    <w:p w14:paraId="697C32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坚持有效市场和有为政府相结合。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充分发挥市场在资源配置中的决定性作用，更好发挥政府作用，积极融入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服务全国统一大市场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，深度嵌入国内国际双循环。持续优化营商环境，切实增强市场配置力、法治保障力、政府服务力，推动经济实现更高质量、更有效率、更加公平、更可持续、更为安全的发展。</w:t>
      </w:r>
    </w:p>
    <w:p w14:paraId="6EEFB4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坚持统筹发展和安全。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牢固树立底线思维和忧患意识，全面提升风险预警与防控能力。持续固根基、扬优势、补短板、强弱项，着力防范化解经济、社会、生态等重点领域风险隐患，推动高质量发展和高水平安全良性互动，以新安全格局切实保障新发展格局。</w:t>
      </w:r>
    </w:p>
    <w:p w14:paraId="5A730EE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firstLine="640" w:firstLineChars="200"/>
        <w:textAlignment w:val="auto"/>
        <w:rPr>
          <w:rFonts w:hint="eastAsia"/>
          <w:color w:val="000000" w:themeColor="text1"/>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在以上原则的基础上，还要更加注重服务国家和广西所需、发挥柳城所能，更加注重人工智能赋能引领，更加注重“向海图强、开放发展”，更加注重铸牢中华民族共同体意识，更加注重统筹建好政治生态和自然生态“两个生态”，在实际工作中，坚持解放思想、敢于担当，守正笃行、创新蝶变。</w:t>
      </w:r>
    </w:p>
    <w:p w14:paraId="6A84C147">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rPr>
      </w:pPr>
      <w:bookmarkStart w:id="7" w:name="_Toc724572122"/>
      <w:r>
        <w:rPr>
          <w:rFonts w:hint="eastAsia" w:ascii="楷体" w:hAnsi="楷体" w:eastAsia="楷体" w:cs="楷体"/>
        </w:rPr>
        <w:t>第三节</w:t>
      </w:r>
      <w:r>
        <w:rPr>
          <w:rFonts w:hint="eastAsia" w:ascii="楷体" w:hAnsi="楷体" w:eastAsia="楷体" w:cs="楷体"/>
          <w:lang w:val="en-US" w:eastAsia="zh-CN"/>
        </w:rPr>
        <w:t xml:space="preserve"> </w:t>
      </w:r>
      <w:r>
        <w:rPr>
          <w:rFonts w:hint="eastAsia" w:ascii="楷体" w:hAnsi="楷体" w:eastAsia="楷体" w:cs="楷体"/>
        </w:rPr>
        <w:t>发展定位</w:t>
      </w:r>
      <w:bookmarkEnd w:id="7"/>
    </w:p>
    <w:p w14:paraId="3EA27D92">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立足新发展阶段，综合考虑宏观形势与发展要求</w:t>
      </w:r>
      <w:r>
        <w:rPr>
          <w:rFonts w:hint="eastAsia" w:ascii="Times New Roman" w:hAnsi="Times New Roman" w:eastAsia="仿宋_GB2312" w:cs="Times New Roman"/>
          <w:color w:val="auto"/>
          <w:sz w:val="32"/>
          <w:szCs w:val="32"/>
          <w:highlight w:val="none"/>
          <w:lang w:eastAsia="zh-CN"/>
        </w:rPr>
        <w:t>，</w:t>
      </w:r>
      <w:r>
        <w:rPr>
          <w:rFonts w:hint="eastAsia" w:ascii="仿宋_GB2312" w:hAnsi="仿宋_GB2312" w:eastAsia="仿宋_GB2312" w:cs="仿宋_GB2312"/>
          <w:color w:val="auto"/>
          <w:sz w:val="32"/>
          <w:szCs w:val="32"/>
          <w:highlight w:val="none"/>
        </w:rPr>
        <w:t>明确柳</w:t>
      </w:r>
      <w:r>
        <w:rPr>
          <w:rFonts w:hint="eastAsia" w:ascii="仿宋_GB2312" w:hAnsi="仿宋_GB2312" w:eastAsia="仿宋_GB2312" w:cs="仿宋_GB2312"/>
          <w:color w:val="auto"/>
          <w:sz w:val="32"/>
          <w:szCs w:val="32"/>
          <w:highlight w:val="none"/>
          <w:lang w:val="en-US" w:eastAsia="zh-CN"/>
        </w:rPr>
        <w:t>城县</w:t>
      </w:r>
      <w:r>
        <w:rPr>
          <w:rFonts w:hint="eastAsia" w:ascii="仿宋_GB2312" w:hAnsi="仿宋_GB2312" w:eastAsia="仿宋_GB2312" w:cs="仿宋_GB2312"/>
          <w:color w:val="auto"/>
          <w:sz w:val="32"/>
          <w:szCs w:val="32"/>
          <w:highlight w:val="none"/>
        </w:rPr>
        <w:t>“十五五”经济社会发展导向</w:t>
      </w:r>
      <w:r>
        <w:rPr>
          <w:rFonts w:hint="eastAsia" w:ascii="仿宋_GB2312" w:hAnsi="仿宋_GB2312" w:eastAsia="仿宋_GB2312" w:cs="仿宋_GB2312"/>
          <w:color w:val="auto"/>
          <w:sz w:val="32"/>
          <w:szCs w:val="32"/>
          <w:highlight w:val="none"/>
          <w:lang w:eastAsia="zh-CN"/>
        </w:rPr>
        <w:t>，把</w:t>
      </w:r>
      <w:r>
        <w:rPr>
          <w:rFonts w:hint="eastAsia" w:ascii="仿宋_GB2312" w:hAnsi="仿宋_GB2312" w:eastAsia="仿宋_GB2312" w:cs="仿宋_GB2312"/>
          <w:color w:val="auto"/>
          <w:sz w:val="32"/>
          <w:szCs w:val="32"/>
          <w:highlight w:val="none"/>
        </w:rPr>
        <w:t>柳城</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的建设发展定位为广西现代农业发展区、柳州市工业高质量发展主要拓展区</w:t>
      </w:r>
      <w:bookmarkStart w:id="8" w:name="OLE_LINK3"/>
      <w:r>
        <w:rPr>
          <w:rFonts w:hint="eastAsia" w:ascii="仿宋_GB2312" w:hAnsi="仿宋_GB2312" w:eastAsia="仿宋_GB2312" w:cs="仿宋_GB2312"/>
          <w:color w:val="auto"/>
          <w:sz w:val="32"/>
          <w:szCs w:val="32"/>
          <w:highlight w:val="none"/>
          <w:lang w:eastAsia="zh-Hans"/>
        </w:rPr>
        <w:t>和</w:t>
      </w:r>
      <w:r>
        <w:rPr>
          <w:rFonts w:hint="eastAsia" w:ascii="仿宋_GB2312" w:hAnsi="仿宋_GB2312" w:eastAsia="仿宋_GB2312" w:cs="仿宋_GB2312"/>
          <w:color w:val="auto"/>
          <w:sz w:val="32"/>
          <w:szCs w:val="32"/>
          <w:highlight w:val="none"/>
        </w:rPr>
        <w:t>绿色生态经济示范县</w:t>
      </w:r>
      <w:bookmarkEnd w:id="8"/>
      <w:r>
        <w:rPr>
          <w:rFonts w:hint="eastAsia" w:ascii="仿宋_GB2312" w:hAnsi="仿宋_GB2312" w:eastAsia="仿宋_GB2312" w:cs="仿宋_GB2312"/>
          <w:color w:val="auto"/>
          <w:sz w:val="32"/>
          <w:szCs w:val="32"/>
          <w:highlight w:val="none"/>
        </w:rPr>
        <w:t>。</w:t>
      </w:r>
    </w:p>
    <w:p w14:paraId="1CE3EF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bookmarkStart w:id="9" w:name="OLE_LINK4"/>
      <w:r>
        <w:rPr>
          <w:rFonts w:hint="eastAsia" w:ascii="仿宋_GB2312" w:hAnsi="仿宋_GB2312" w:eastAsia="仿宋_GB2312" w:cs="仿宋_GB2312"/>
          <w:b/>
          <w:bCs/>
          <w:color w:val="auto"/>
          <w:sz w:val="32"/>
          <w:szCs w:val="32"/>
          <w:highlight w:val="none"/>
          <w:lang w:eastAsia="zh-Hans"/>
        </w:rPr>
        <w:t>围绕</w:t>
      </w:r>
      <w:r>
        <w:rPr>
          <w:rFonts w:hint="eastAsia" w:ascii="仿宋_GB2312" w:hAnsi="仿宋_GB2312" w:eastAsia="仿宋_GB2312" w:cs="仿宋_GB2312"/>
          <w:b/>
          <w:bCs/>
          <w:color w:val="auto"/>
          <w:sz w:val="32"/>
          <w:szCs w:val="32"/>
          <w:highlight w:val="none"/>
        </w:rPr>
        <w:t>打造全国重要的特色农产品生产加工基地，</w:t>
      </w:r>
      <w:r>
        <w:rPr>
          <w:rFonts w:hint="eastAsia" w:ascii="仿宋_GB2312" w:hAnsi="仿宋_GB2312" w:eastAsia="仿宋_GB2312" w:cs="仿宋_GB2312"/>
          <w:b/>
          <w:bCs/>
          <w:color w:val="auto"/>
          <w:sz w:val="32"/>
          <w:szCs w:val="32"/>
          <w:highlight w:val="none"/>
          <w:lang w:eastAsia="zh-Hans"/>
        </w:rPr>
        <w:t>建设</w:t>
      </w:r>
      <w:r>
        <w:rPr>
          <w:rFonts w:hint="default" w:ascii="Times New Roman" w:hAnsi="Times New Roman" w:eastAsia="仿宋_GB2312" w:cs="Times New Roman"/>
          <w:b/>
          <w:bCs/>
          <w:i w:val="0"/>
          <w:caps w:val="0"/>
          <w:color w:val="auto"/>
          <w:spacing w:val="0"/>
          <w:sz w:val="32"/>
          <w:szCs w:val="32"/>
          <w:highlight w:val="none"/>
          <w:shd w:val="clear" w:color="auto" w:fill="FFFFFF"/>
          <w:lang w:eastAsia="zh-CN"/>
        </w:rPr>
        <w:t>广西现代农业发展区</w:t>
      </w:r>
      <w:r>
        <w:rPr>
          <w:rFonts w:hint="eastAsia" w:ascii="仿宋_GB2312" w:hAnsi="仿宋_GB2312" w:eastAsia="仿宋_GB2312" w:cs="仿宋_GB2312"/>
          <w:b/>
          <w:bCs/>
          <w:color w:val="auto"/>
          <w:sz w:val="32"/>
          <w:szCs w:val="32"/>
          <w:highlight w:val="none"/>
          <w:lang w:eastAsia="zh-Hans"/>
        </w:rPr>
        <w:t>。</w:t>
      </w:r>
      <w:bookmarkEnd w:id="9"/>
      <w:r>
        <w:rPr>
          <w:rFonts w:hint="eastAsia" w:ascii="仿宋_GB2312" w:hAnsi="仿宋_GB2312" w:eastAsia="仿宋_GB2312" w:cs="仿宋_GB2312"/>
          <w:color w:val="auto"/>
          <w:sz w:val="32"/>
          <w:szCs w:val="32"/>
          <w:highlight w:val="none"/>
        </w:rPr>
        <w:t>发挥柳城县作为传统农业大县的优势，推动农业向现代化、高效化、品牌化转型升级，成为广西农业现代化</w:t>
      </w:r>
      <w:r>
        <w:rPr>
          <w:rFonts w:hint="eastAsia" w:ascii="仿宋_GB2312" w:hAnsi="仿宋_GB2312" w:eastAsia="仿宋_GB2312" w:cs="仿宋_GB2312"/>
          <w:color w:val="auto"/>
          <w:sz w:val="32"/>
          <w:szCs w:val="32"/>
          <w:highlight w:val="none"/>
          <w:lang w:val="en-US" w:eastAsia="zh-CN"/>
        </w:rPr>
        <w:t>发展的领跑者。</w:t>
      </w:r>
      <w:r>
        <w:rPr>
          <w:rFonts w:hint="eastAsia" w:ascii="仿宋_GB2312" w:hAnsi="仿宋_GB2312" w:eastAsia="仿宋_GB2312" w:cs="仿宋_GB2312"/>
          <w:b w:val="0"/>
          <w:bCs w:val="0"/>
          <w:color w:val="auto"/>
          <w:sz w:val="32"/>
          <w:szCs w:val="32"/>
          <w:highlight w:val="none"/>
          <w:lang w:eastAsia="zh-CN"/>
        </w:rPr>
        <w:t>巩固农业优势，重点提升糖料蔗、畜禽、螺蛳粉原材料（笋、豆角等）等生产加工能力，打造特色农产品供应基地。深化农业供给侧结构性改革，依托甘蔗、桑蚕、水果、</w:t>
      </w:r>
      <w:r>
        <w:rPr>
          <w:rFonts w:hint="eastAsia" w:ascii="仿宋_GB2312" w:hAnsi="仿宋_GB2312" w:eastAsia="仿宋_GB2312" w:cs="仿宋_GB2312"/>
          <w:b w:val="0"/>
          <w:bCs w:val="0"/>
          <w:color w:val="auto"/>
          <w:sz w:val="32"/>
          <w:szCs w:val="32"/>
          <w:highlight w:val="none"/>
          <w:lang w:val="en-US" w:eastAsia="zh-CN"/>
        </w:rPr>
        <w:t>食用菌、茶叶</w:t>
      </w:r>
      <w:r>
        <w:rPr>
          <w:rFonts w:hint="eastAsia" w:ascii="仿宋_GB2312" w:hAnsi="仿宋_GB2312" w:eastAsia="仿宋_GB2312" w:cs="仿宋_GB2312"/>
          <w:b w:val="0"/>
          <w:bCs w:val="0"/>
          <w:color w:val="auto"/>
          <w:sz w:val="32"/>
          <w:szCs w:val="32"/>
          <w:highlight w:val="none"/>
          <w:lang w:eastAsia="zh-CN"/>
        </w:rPr>
        <w:t>等特色优势产业，构建现代化农业产业体系。重点推动农业科技集成应用，建设高标准农田和智慧农业示范</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区，提升农产品精深加工能力，打造区域性农产品集散中心和品牌集群。积极融入广西农业开放合作试验区建设，通过“农业+电商”“农业+文旅”等新模式延伸产业链，促进产</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业</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融合，成为引领桂中现代农业创新发展的核心示范区，为全区粮食安全及农业现代化提供支撑。</w:t>
      </w:r>
      <w:bookmarkStart w:id="10" w:name="_Toc31771"/>
      <w:bookmarkStart w:id="11" w:name="_Toc23441"/>
    </w:p>
    <w:p w14:paraId="2324DF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Hans"/>
        </w:rPr>
        <w:t>围绕</w:t>
      </w:r>
      <w:r>
        <w:rPr>
          <w:rFonts w:hint="eastAsia" w:ascii="仿宋_GB2312" w:hAnsi="仿宋_GB2312" w:eastAsia="仿宋_GB2312" w:cs="仿宋_GB2312"/>
          <w:b/>
          <w:bCs/>
          <w:color w:val="auto"/>
          <w:sz w:val="32"/>
          <w:szCs w:val="32"/>
          <w:highlight w:val="none"/>
        </w:rPr>
        <w:t>打造</w:t>
      </w:r>
      <w:r>
        <w:rPr>
          <w:rFonts w:hint="eastAsia" w:ascii="仿宋_GB2312" w:hAnsi="仿宋_GB2312" w:eastAsia="仿宋_GB2312" w:cs="仿宋_GB2312"/>
          <w:b/>
          <w:bCs/>
          <w:color w:val="auto"/>
          <w:sz w:val="32"/>
          <w:szCs w:val="32"/>
          <w:highlight w:val="none"/>
          <w:lang w:eastAsia="zh-Hans"/>
        </w:rPr>
        <w:t>区域新兴产业集聚</w:t>
      </w:r>
      <w:r>
        <w:rPr>
          <w:rFonts w:hint="eastAsia" w:ascii="仿宋_GB2312" w:hAnsi="仿宋_GB2312" w:eastAsia="仿宋_GB2312" w:cs="仿宋_GB2312"/>
          <w:b/>
          <w:bCs/>
          <w:color w:val="auto"/>
          <w:sz w:val="32"/>
          <w:szCs w:val="32"/>
          <w:highlight w:val="none"/>
          <w:lang w:val="en-US" w:eastAsia="zh-CN"/>
        </w:rPr>
        <w:t>枢纽</w:t>
      </w:r>
      <w:r>
        <w:rPr>
          <w:rFonts w:hint="eastAsia" w:ascii="仿宋_GB2312" w:hAnsi="仿宋_GB2312" w:eastAsia="仿宋_GB2312" w:cs="仿宋_GB2312"/>
          <w:b/>
          <w:bCs/>
          <w:color w:val="auto"/>
          <w:sz w:val="32"/>
          <w:szCs w:val="32"/>
          <w:highlight w:val="none"/>
          <w:lang w:eastAsia="zh-Hans"/>
        </w:rPr>
        <w:t>，建设柳州市工业高质量发展主</w:t>
      </w:r>
      <w:r>
        <w:rPr>
          <w:rFonts w:hint="eastAsia" w:ascii="仿宋_GB2312" w:hAnsi="仿宋_GB2312" w:eastAsia="仿宋_GB2312" w:cs="仿宋_GB2312"/>
          <w:b/>
          <w:bCs/>
          <w:color w:val="auto"/>
          <w:sz w:val="32"/>
          <w:szCs w:val="32"/>
          <w:highlight w:val="none"/>
        </w:rPr>
        <w:t>要拓展区</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柳城县主动承接柳州市工业外溢和产业链延伸，</w:t>
      </w:r>
      <w:r>
        <w:rPr>
          <w:rFonts w:hint="eastAsia" w:ascii="仿宋_GB2312" w:hAnsi="仿宋_GB2312" w:eastAsia="仿宋_GB2312" w:cs="仿宋_GB2312"/>
          <w:color w:val="auto"/>
          <w:sz w:val="32"/>
          <w:szCs w:val="32"/>
          <w:highlight w:val="none"/>
        </w:rPr>
        <w:t>围绕柳州汽车、机械、钢铁等主导产业，积极承接配套零部件、新材料、生产性服务业等产业转移，打造专业化配套基地。依托现有基础，重点培育发展精细化工、金属精深加工、新材料、生物医药（依托甘蔗等资源）、</w:t>
      </w:r>
      <w:r>
        <w:rPr>
          <w:rFonts w:hint="eastAsia" w:ascii="仿宋_GB2312" w:hAnsi="仿宋_GB2312" w:eastAsia="仿宋_GB2312" w:cs="仿宋_GB2312"/>
          <w:b w:val="0"/>
          <w:bCs w:val="0"/>
          <w:color w:val="auto"/>
          <w:sz w:val="32"/>
          <w:szCs w:val="32"/>
          <w:highlight w:val="none"/>
          <w:lang w:val="en-US" w:eastAsia="zh-CN"/>
        </w:rPr>
        <w:t>木材加工</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auto"/>
          <w:sz w:val="32"/>
          <w:szCs w:val="32"/>
          <w:highlight w:val="none"/>
        </w:rPr>
        <w:t>农产品精深加工等特色优势产业集群。</w:t>
      </w:r>
      <w:r>
        <w:rPr>
          <w:rFonts w:hint="eastAsia" w:ascii="仿宋_GB2312" w:hAnsi="仿宋_GB2312" w:eastAsia="仿宋_GB2312" w:cs="仿宋_GB2312"/>
          <w:b w:val="0"/>
          <w:bCs w:val="0"/>
          <w:color w:val="auto"/>
          <w:sz w:val="32"/>
          <w:szCs w:val="32"/>
          <w:highlight w:val="none"/>
          <w:lang w:eastAsia="zh-CN"/>
        </w:rPr>
        <w:t>强化基础设施互联互通，优化</w:t>
      </w:r>
      <w:r>
        <w:rPr>
          <w:rFonts w:hint="eastAsia" w:ascii="仿宋_GB2312" w:hAnsi="仿宋_GB2312" w:eastAsia="仿宋_GB2312" w:cs="仿宋_GB2312"/>
          <w:b w:val="0"/>
          <w:bCs w:val="0"/>
          <w:color w:val="auto"/>
          <w:sz w:val="32"/>
          <w:szCs w:val="32"/>
          <w:highlight w:val="none"/>
          <w:lang w:val="en-US" w:eastAsia="zh-CN"/>
        </w:rPr>
        <w:t>工业</w:t>
      </w:r>
      <w:r>
        <w:rPr>
          <w:rFonts w:hint="eastAsia" w:ascii="仿宋_GB2312" w:hAnsi="仿宋_GB2312" w:eastAsia="仿宋_GB2312" w:cs="仿宋_GB2312"/>
          <w:b w:val="0"/>
          <w:bCs w:val="0"/>
          <w:color w:val="auto"/>
          <w:sz w:val="32"/>
          <w:szCs w:val="32"/>
          <w:highlight w:val="none"/>
          <w:lang w:eastAsia="zh-CN"/>
        </w:rPr>
        <w:t>园区集约化、绿色化发展模式，吸引高端制造企业落户。积极配套柳州新能源汽车、高端装备制造等主导产业，推动传统产业智能化改造，构建区域协同制造体系。通过创新驱动和精准招商，培育县域经济新增长极，成为柳州市工业扩容提质的重要战略腹地和高质量发展新引擎。</w:t>
      </w:r>
      <w:bookmarkEnd w:id="10"/>
      <w:bookmarkEnd w:id="11"/>
      <w:bookmarkStart w:id="12" w:name="_Toc16976"/>
      <w:bookmarkStart w:id="13" w:name="_Toc5427"/>
    </w:p>
    <w:p w14:paraId="72AF25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6"/>
          <w:szCs w:val="6"/>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围绕打造全区生态宜居建设标杆，建设绿色生态经济示范县</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严格落实生态保护红线制度，加强融江、</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龙</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江等流域水环境保护和治理，巩固提升空气质量，防治农业面源污染。推动工业、农业绿色化改造，降低资源消耗和污染物排放。</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强化生态保护、完善城镇功能，努力打造生态宜居宜业县城。坚持生态优先，依托</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境内江河</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森林</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自然环境</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等生态资源和田园景观，大力发展生态农业、清洁能源和低碳产业。强化水土治理和生物多样性保护，完善生态补偿机制，探索“两山”转化路径。推广绿色种养、林下经济等模式，建设一批生态文旅康养项目，打造柳州都市圈生态后花园。</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大力发展循环经济，推动工业废弃物、农作物秸秆、畜禽养殖粪污等资源化利用。</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推动工业绿色转型和循环利用，倡导绿色生活方式，形成低消耗、低排放、高效益的可持续发展范式，为广西丘陵生态经济发展提供示范。</w:t>
      </w:r>
      <w:bookmarkEnd w:id="12"/>
      <w:bookmarkEnd w:id="13"/>
    </w:p>
    <w:p w14:paraId="7C460B39">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rPr>
      </w:pPr>
      <w:bookmarkStart w:id="14" w:name="_Toc1651375964"/>
      <w:r>
        <w:rPr>
          <w:rFonts w:hint="eastAsia" w:ascii="楷体" w:hAnsi="楷体" w:eastAsia="楷体" w:cs="楷体"/>
        </w:rPr>
        <w:t>第四节</w:t>
      </w:r>
      <w:r>
        <w:rPr>
          <w:rFonts w:hint="eastAsia" w:ascii="楷体" w:hAnsi="楷体" w:eastAsia="楷体" w:cs="楷体"/>
          <w:lang w:val="en-US" w:eastAsia="zh-CN"/>
        </w:rPr>
        <w:t xml:space="preserve"> </w:t>
      </w:r>
      <w:r>
        <w:rPr>
          <w:rFonts w:hint="eastAsia" w:ascii="楷体" w:hAnsi="楷体" w:eastAsia="楷体" w:cs="楷体"/>
        </w:rPr>
        <w:t>主要目标</w:t>
      </w:r>
      <w:bookmarkEnd w:id="14"/>
    </w:p>
    <w:p w14:paraId="4C476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站在新起点，谋划新发展，实现新目标，柳城县</w:t>
      </w:r>
      <w:r>
        <w:rPr>
          <w:rFonts w:hint="eastAsia" w:ascii="仿宋_GB2312" w:hAnsi="仿宋_GB2312" w:eastAsia="仿宋_GB2312" w:cs="仿宋_GB2312"/>
          <w:color w:val="auto"/>
          <w:sz w:val="32"/>
          <w:szCs w:val="32"/>
          <w:highlight w:val="none"/>
          <w:lang w:eastAsia="zh-Hans"/>
        </w:rPr>
        <w:t>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期间</w:t>
      </w:r>
      <w:r>
        <w:rPr>
          <w:rFonts w:hint="eastAsia" w:ascii="仿宋_GB2312" w:hAnsi="仿宋_GB2312" w:eastAsia="仿宋_GB2312" w:cs="仿宋_GB2312"/>
          <w:color w:val="auto"/>
          <w:sz w:val="32"/>
          <w:szCs w:val="32"/>
          <w:highlight w:val="none"/>
          <w:lang w:eastAsia="zh-Hans"/>
        </w:rPr>
        <w:t>的</w:t>
      </w:r>
      <w:r>
        <w:rPr>
          <w:rFonts w:hint="eastAsia" w:ascii="仿宋_GB2312" w:hAnsi="仿宋_GB2312" w:eastAsia="仿宋_GB2312" w:cs="仿宋_GB2312"/>
          <w:color w:val="auto"/>
          <w:sz w:val="32"/>
          <w:szCs w:val="32"/>
          <w:highlight w:val="none"/>
        </w:rPr>
        <w:t>发展目标是：</w:t>
      </w:r>
    </w:p>
    <w:p w14:paraId="2C784BD4">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auto"/>
          <w:spacing w:val="0"/>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lang w:eastAsia="zh-CN"/>
        </w:rPr>
        <w:t>主动承接柳州市</w:t>
      </w:r>
      <w:r>
        <w:rPr>
          <w:rFonts w:hint="default" w:ascii="Times New Roman" w:hAnsi="Times New Roman" w:eastAsia="仿宋_GB2312" w:cs="Times New Roman"/>
          <w:color w:val="auto"/>
          <w:sz w:val="32"/>
          <w:szCs w:val="32"/>
          <w:highlight w:val="none"/>
          <w:lang w:val="en-US" w:eastAsia="zh-CN"/>
        </w:rPr>
        <w:t>产业</w:t>
      </w:r>
      <w:r>
        <w:rPr>
          <w:rFonts w:hint="default" w:ascii="Times New Roman" w:hAnsi="Times New Roman" w:eastAsia="仿宋_GB2312" w:cs="Times New Roman"/>
          <w:color w:val="auto"/>
          <w:sz w:val="32"/>
          <w:szCs w:val="32"/>
          <w:highlight w:val="none"/>
          <w:lang w:eastAsia="zh-CN"/>
        </w:rPr>
        <w:t>外溢和产业链延伸，</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加快打造柳州工业高质量发展主要拓展区。推动农业向现代化、高效化、品牌化转型升级，打造广西现代农业发展区。</w:t>
      </w:r>
      <w:r>
        <w:rPr>
          <w:rFonts w:hint="default" w:ascii="Times New Roman" w:hAnsi="Times New Roman" w:eastAsia="仿宋_GB2312" w:cs="Times New Roman"/>
          <w:i w:val="0"/>
          <w:caps w:val="0"/>
          <w:color w:val="auto"/>
          <w:spacing w:val="0"/>
          <w:sz w:val="32"/>
          <w:szCs w:val="32"/>
          <w:highlight w:val="none"/>
          <w:shd w:val="clear" w:color="auto" w:fill="FFFFFF"/>
        </w:rPr>
        <w:t>深化产业绿色低碳转型，积极发展生态农业、清洁能源和循环经济，</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打造</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绿色生态经济示范县。</w:t>
      </w:r>
    </w:p>
    <w:p w14:paraId="33D6A93C">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——经济实力进一步壮大。</w:t>
      </w:r>
      <w:r>
        <w:rPr>
          <w:rFonts w:hint="default" w:ascii="Times New Roman" w:hAnsi="Times New Roman" w:eastAsia="仿宋_GB2312" w:cs="Times New Roman"/>
          <w:snapToGrid w:val="0"/>
          <w:color w:val="auto"/>
          <w:kern w:val="0"/>
          <w:sz w:val="32"/>
          <w:szCs w:val="32"/>
          <w:highlight w:val="none"/>
        </w:rPr>
        <w:t>产业结构持续优化</w:t>
      </w:r>
      <w:r>
        <w:rPr>
          <w:rFonts w:hint="default" w:ascii="Times New Roman" w:hAnsi="Times New Roman" w:eastAsia="仿宋_GB2312" w:cs="Times New Roman"/>
          <w:snapToGrid w:val="0"/>
          <w:color w:val="auto"/>
          <w:kern w:val="0"/>
          <w:sz w:val="32"/>
          <w:szCs w:val="32"/>
          <w:highlight w:val="none"/>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rPr>
        <w:t>现代化产业体系建设取得重大进展</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lang w:eastAsia="zh-CN"/>
        </w:rPr>
        <w:t>经济大县、工业强县建设成效显著。全力</w:t>
      </w:r>
      <w:r>
        <w:rPr>
          <w:rFonts w:hint="default" w:ascii="Times New Roman" w:hAnsi="Times New Roman" w:eastAsia="仿宋_GB2312" w:cs="Times New Roman"/>
          <w:color w:val="auto"/>
          <w:sz w:val="32"/>
          <w:szCs w:val="32"/>
          <w:highlight w:val="none"/>
          <w:lang w:val="en-US" w:eastAsia="zh-CN"/>
        </w:rPr>
        <w:t>实施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40/300</w:t>
      </w:r>
      <w:r>
        <w:rPr>
          <w:rFonts w:hint="default" w:ascii="Times New Roman" w:hAnsi="Times New Roman" w:eastAsia="仿宋_GB2312" w:cs="Times New Roman"/>
          <w:color w:val="auto"/>
          <w:sz w:val="32"/>
          <w:szCs w:val="32"/>
          <w:highlight w:val="none"/>
          <w:lang w:eastAsia="zh-CN"/>
        </w:rPr>
        <w:t>”工程，</w:t>
      </w:r>
      <w:r>
        <w:rPr>
          <w:rFonts w:hint="eastAsia" w:ascii="Times New Roman" w:hAnsi="Times New Roman" w:eastAsia="仿宋_GB2312" w:cs="Times New Roman"/>
          <w:color w:val="auto"/>
          <w:sz w:val="32"/>
          <w:szCs w:val="32"/>
          <w:highlight w:val="none"/>
          <w:lang w:eastAsia="zh-CN"/>
        </w:rPr>
        <w:t>到</w:t>
      </w:r>
      <w:r>
        <w:rPr>
          <w:rFonts w:hint="default" w:ascii="Times New Roman" w:hAnsi="Times New Roman" w:eastAsia="仿宋_GB2312" w:cs="Times New Roman"/>
          <w:color w:val="auto"/>
          <w:sz w:val="32"/>
          <w:szCs w:val="32"/>
          <w:highlight w:val="none"/>
          <w:lang w:eastAsia="zh-CN"/>
        </w:rPr>
        <w:t>2030年实现工业增加值占地区生产总值比重达</w:t>
      </w:r>
      <w:r>
        <w:rPr>
          <w:rFonts w:hint="default" w:ascii="Times New Roman" w:hAnsi="Times New Roman" w:eastAsia="仿宋_GB2312" w:cs="Times New Roman"/>
          <w:color w:val="auto"/>
          <w:sz w:val="32"/>
          <w:szCs w:val="32"/>
          <w:highlight w:val="none"/>
          <w:lang w:val="en-US" w:eastAsia="zh-CN"/>
        </w:rPr>
        <w:t>40%以上，地区生产总值突破300亿元大关，经济</w:t>
      </w:r>
      <w:r>
        <w:rPr>
          <w:rFonts w:hint="default" w:ascii="Times New Roman" w:hAnsi="Times New Roman" w:eastAsia="仿宋_GB2312" w:cs="Times New Roman"/>
          <w:color w:val="auto"/>
          <w:sz w:val="32"/>
          <w:szCs w:val="32"/>
          <w:highlight w:val="none"/>
          <w:lang w:eastAsia="zh-CN"/>
        </w:rPr>
        <w:t>增速持续高于全区、全市平均水平，力争提前一年实现目标，</w:t>
      </w:r>
      <w:r>
        <w:rPr>
          <w:rFonts w:hint="eastAsia" w:ascii="Times New Roman" w:hAnsi="Times New Roman" w:eastAsia="仿宋_GB2312" w:cs="Times New Roman"/>
          <w:color w:val="auto"/>
          <w:sz w:val="32"/>
          <w:szCs w:val="32"/>
          <w:highlight w:val="none"/>
          <w:lang w:eastAsia="zh-CN"/>
        </w:rPr>
        <w:t>推动我县在</w:t>
      </w:r>
      <w:r>
        <w:rPr>
          <w:rFonts w:hint="default" w:ascii="Times New Roman" w:hAnsi="Times New Roman" w:eastAsia="仿宋_GB2312" w:cs="Times New Roman"/>
          <w:color w:val="auto"/>
          <w:sz w:val="32"/>
          <w:szCs w:val="32"/>
          <w:highlight w:val="none"/>
          <w:lang w:eastAsia="zh-CN"/>
        </w:rPr>
        <w:t>全区县域经济排名中进位赶超</w:t>
      </w:r>
      <w:r>
        <w:rPr>
          <w:rFonts w:hint="eastAsia" w:ascii="Times New Roman" w:hAnsi="Times New Roman" w:eastAsia="仿宋_GB2312" w:cs="Times New Roman"/>
          <w:color w:val="auto"/>
          <w:sz w:val="32"/>
          <w:szCs w:val="32"/>
          <w:highlight w:val="none"/>
          <w:lang w:eastAsia="zh-CN"/>
        </w:rPr>
        <w:t>。</w:t>
      </w:r>
    </w:p>
    <w:p w14:paraId="2F74FB1F">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——改革开放进一步深入。</w:t>
      </w:r>
      <w:r>
        <w:rPr>
          <w:rFonts w:hint="default" w:ascii="Times New Roman" w:hAnsi="Times New Roman" w:eastAsia="仿宋_GB2312" w:cs="Times New Roman"/>
          <w:color w:val="auto"/>
          <w:sz w:val="32"/>
          <w:szCs w:val="32"/>
          <w:highlight w:val="none"/>
          <w:lang w:eastAsia="zh-CN"/>
        </w:rPr>
        <w:t>高标准市场体系基本建成，营商环境保持全市领先。重要领域和关键环节改革取得突破性进展，发展内生动力显著增强。科技创新与特色产业深度融合，成果转化体系更加完善。开放型经济水平全面提升，深度融入国内国际双循环，内需潜力有效释放，现代县域商业体系基本形成，</w:t>
      </w:r>
      <w:r>
        <w:rPr>
          <w:rFonts w:hint="eastAsia" w:ascii="Times New Roman" w:hAnsi="Times New Roman" w:eastAsia="仿宋_GB2312" w:cs="Times New Roman"/>
          <w:color w:val="auto"/>
          <w:sz w:val="32"/>
          <w:szCs w:val="32"/>
          <w:highlight w:val="none"/>
          <w:lang w:val="en-US" w:eastAsia="zh-CN"/>
        </w:rPr>
        <w:t>经营</w:t>
      </w:r>
      <w:r>
        <w:rPr>
          <w:rFonts w:hint="default" w:ascii="Times New Roman" w:hAnsi="Times New Roman" w:eastAsia="仿宋_GB2312" w:cs="Times New Roman"/>
          <w:color w:val="auto"/>
          <w:sz w:val="32"/>
          <w:szCs w:val="32"/>
          <w:highlight w:val="none"/>
          <w:lang w:eastAsia="zh-CN"/>
        </w:rPr>
        <w:t>主体更加充满活力。</w:t>
      </w:r>
    </w:p>
    <w:p w14:paraId="76111D15">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——社会文明进一步提升。</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社会主义核心价值观深入人心，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文化自信更加坚定，主流思想舆论巩固壮大，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人民思想道德素质、科学文化素质和身心健康素质普遍提升。现代公共文化服务体系和文化产业体系更加健全，文旅融合深入推进，人民精神文化生活日益丰富，文化软实力和社会文明程度显著增强。</w:t>
      </w:r>
    </w:p>
    <w:p w14:paraId="348EBD0E">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——民生福祉进一步提高。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实现更加充分更高质量就业，居民收入增长和经济增长基本同步，中等收入群体稳步扩大。基本公共服务均等化水平位居柳州市前列，教育、医疗、养老、社会保障体系更加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完善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，人民生活品质不断提高。</w:t>
      </w:r>
    </w:p>
    <w:p w14:paraId="0C94CF09">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——生态环境进一步改善。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统筹建好政治生态与自然生态“两个生态”，以风清气正的政治生态引领和保障山清水秀的自然生态，以自然生态建设的实际成果检验政治生态建设的成效，推动两者共生共优、相得益彰。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国土空间开发保护格局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优化，能源资源配置更加合理、利用效率大幅提升。主要污染物排放总量持续减少，空气、水环境质量保持优良，土壤环境安全得到有效保障。生态系统稳定性不断增强，绿色低碳生产生活方式广泛形成，切实推动产业“含绿量”与发展“含金量”同步提升。</w:t>
      </w:r>
    </w:p>
    <w:p w14:paraId="6E500B93">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——社会治理进一步增强。</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治柳城、平安柳城建设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达到更高水平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社会公平正义充分彰显。基层治理现代化水平显著提高，防范化解重大风险体制机制不断健全，发展安全保障更加有力，民族团结进步事业深化发展，社会大局保持和谐稳定，人民群众安全感、满意度稳步提升。</w:t>
      </w:r>
    </w:p>
    <w:p w14:paraId="3439608C">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color w:val="000000" w:themeColor="text1"/>
          <w:kern w:val="0"/>
          <w:sz w:val="28"/>
          <w:szCs w:val="28"/>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在此基础上</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奋斗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五年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，到二〇三五年，柳城综合实力、经济实力、科技实力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和区域竞争力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大幅跃升，经济总量、人均地区生产总值和城乡居民收入迈上新台阶，基本实现新型工业化、信息化、城镇化、农业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现代化，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人民生活更加幸福美好，</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与全国</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、全区、全市</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同步基本实现社会主义现代化，全面建成新时代高质量发展的宜居宜业宜游新柳城。</w:t>
      </w:r>
      <w:bookmarkStart w:id="15" w:name="_Toc30566685"/>
    </w:p>
    <w:p w14:paraId="724989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柳城县“十</w:t>
      </w:r>
      <w:r>
        <w:rPr>
          <w:rFonts w:hint="eastAsia" w:ascii="Times New Roman" w:hAnsi="Times New Roman" w:eastAsia="仿宋_GB2312" w:cs="Times New Roman"/>
          <w:b/>
          <w:bCs/>
          <w:color w:val="auto"/>
          <w:sz w:val="32"/>
          <w:szCs w:val="32"/>
          <w:highlight w:val="none"/>
          <w:lang w:val="en-US" w:eastAsia="zh-CN"/>
        </w:rPr>
        <w:t>五</w:t>
      </w:r>
      <w:r>
        <w:rPr>
          <w:rFonts w:hint="eastAsia" w:ascii="Times New Roman" w:hAnsi="Times New Roman" w:eastAsia="仿宋_GB2312" w:cs="Times New Roman"/>
          <w:b/>
          <w:bCs/>
          <w:color w:val="auto"/>
          <w:sz w:val="32"/>
          <w:szCs w:val="32"/>
          <w:highlight w:val="none"/>
          <w:lang w:eastAsia="zh-CN"/>
        </w:rPr>
        <w:t>五”国民经济发展主要指标</w:t>
      </w:r>
      <w:bookmarkEnd w:id="15"/>
    </w:p>
    <w:tbl>
      <w:tblPr>
        <w:tblStyle w:val="17"/>
        <w:tblW w:w="8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7"/>
        <w:gridCol w:w="911"/>
        <w:gridCol w:w="1167"/>
        <w:gridCol w:w="1189"/>
        <w:gridCol w:w="1277"/>
        <w:gridCol w:w="1095"/>
      </w:tblGrid>
      <w:tr w14:paraId="1569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vMerge w:val="restart"/>
            <w:noWrap w:val="0"/>
            <w:vAlign w:val="center"/>
          </w:tcPr>
          <w:p w14:paraId="2656AC76">
            <w:pPr>
              <w:pageBreakBefore w:val="0"/>
              <w:widowControl/>
              <w:overflowPunct/>
              <w:topLinePunct w:val="0"/>
              <w:bidi w:val="0"/>
              <w:spacing w:line="288" w:lineRule="auto"/>
              <w:jc w:val="center"/>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 xml:space="preserve">指标 </w:t>
            </w:r>
          </w:p>
        </w:tc>
        <w:tc>
          <w:tcPr>
            <w:tcW w:w="911" w:type="dxa"/>
            <w:vMerge w:val="restart"/>
            <w:noWrap w:val="0"/>
            <w:vAlign w:val="center"/>
          </w:tcPr>
          <w:p w14:paraId="2F6EDD7E">
            <w:pPr>
              <w:pageBreakBefore w:val="0"/>
              <w:widowControl/>
              <w:overflowPunct/>
              <w:topLinePunct w:val="0"/>
              <w:bidi w:val="0"/>
              <w:spacing w:line="288" w:lineRule="auto"/>
              <w:jc w:val="center"/>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单位</w:t>
            </w:r>
          </w:p>
        </w:tc>
        <w:tc>
          <w:tcPr>
            <w:tcW w:w="1167" w:type="dxa"/>
            <w:vMerge w:val="restart"/>
            <w:noWrap w:val="0"/>
            <w:vAlign w:val="center"/>
          </w:tcPr>
          <w:p w14:paraId="5FB01722">
            <w:pPr>
              <w:pageBreakBefore w:val="0"/>
              <w:widowControl/>
              <w:overflowPunct/>
              <w:topLinePunct w:val="0"/>
              <w:bidi w:val="0"/>
              <w:spacing w:line="288" w:lineRule="auto"/>
              <w:jc w:val="center"/>
              <w:rPr>
                <w:rFonts w:hint="eastAsia" w:eastAsia="仿宋_GB2312"/>
                <w:color w:val="auto"/>
                <w:highlight w:val="none"/>
                <w:lang w:eastAsia="zh-CN"/>
              </w:rPr>
            </w:pPr>
            <w:r>
              <w:rPr>
                <w:rFonts w:hint="eastAsia" w:ascii="仿宋_GB2312" w:hAnsi="仿宋_GB2312" w:eastAsia="仿宋_GB2312" w:cs="仿宋_GB2312"/>
                <w:b/>
                <w:bCs/>
                <w:color w:val="auto"/>
                <w:highlight w:val="none"/>
              </w:rPr>
              <w:t>202</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年</w:t>
            </w:r>
          </w:p>
        </w:tc>
        <w:tc>
          <w:tcPr>
            <w:tcW w:w="2466" w:type="dxa"/>
            <w:gridSpan w:val="2"/>
            <w:noWrap w:val="0"/>
            <w:vAlign w:val="center"/>
          </w:tcPr>
          <w:p w14:paraId="1EACD256">
            <w:pPr>
              <w:pageBreakBefore w:val="0"/>
              <w:widowControl/>
              <w:overflowPunct/>
              <w:topLinePunct w:val="0"/>
              <w:bidi w:val="0"/>
              <w:spacing w:line="288" w:lineRule="auto"/>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20</w:t>
            </w:r>
            <w:r>
              <w:rPr>
                <w:rFonts w:hint="eastAsia" w:ascii="仿宋_GB2312" w:hAnsi="仿宋_GB2312" w:eastAsia="仿宋_GB2312" w:cs="仿宋_GB2312"/>
                <w:b/>
                <w:bCs/>
                <w:color w:val="auto"/>
                <w:szCs w:val="21"/>
                <w:highlight w:val="none"/>
                <w:lang w:val="en-US" w:eastAsia="zh-CN"/>
              </w:rPr>
              <w:t>30</w:t>
            </w:r>
            <w:r>
              <w:rPr>
                <w:rFonts w:hint="eastAsia" w:ascii="仿宋_GB2312" w:hAnsi="仿宋_GB2312" w:eastAsia="仿宋_GB2312" w:cs="仿宋_GB2312"/>
                <w:b/>
                <w:bCs/>
                <w:color w:val="auto"/>
                <w:szCs w:val="21"/>
                <w:highlight w:val="none"/>
              </w:rPr>
              <w:t>年</w:t>
            </w:r>
          </w:p>
        </w:tc>
        <w:tc>
          <w:tcPr>
            <w:tcW w:w="1095" w:type="dxa"/>
            <w:vMerge w:val="restart"/>
            <w:noWrap w:val="0"/>
            <w:vAlign w:val="center"/>
          </w:tcPr>
          <w:p w14:paraId="1C14A05A">
            <w:pPr>
              <w:pageBreakBefore w:val="0"/>
              <w:widowControl/>
              <w:overflowPunct/>
              <w:topLinePunct w:val="0"/>
              <w:bidi w:val="0"/>
              <w:spacing w:line="288" w:lineRule="auto"/>
              <w:jc w:val="center"/>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指标属性</w:t>
            </w:r>
          </w:p>
        </w:tc>
      </w:tr>
      <w:tr w14:paraId="1869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2567" w:type="dxa"/>
            <w:vMerge w:val="continue"/>
            <w:noWrap w:val="0"/>
            <w:vAlign w:val="center"/>
          </w:tcPr>
          <w:p w14:paraId="483B4787">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p>
        </w:tc>
        <w:tc>
          <w:tcPr>
            <w:tcW w:w="911" w:type="dxa"/>
            <w:vMerge w:val="continue"/>
            <w:noWrap w:val="0"/>
            <w:vAlign w:val="center"/>
          </w:tcPr>
          <w:p w14:paraId="270824F2">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p>
        </w:tc>
        <w:tc>
          <w:tcPr>
            <w:tcW w:w="1167" w:type="dxa"/>
            <w:vMerge w:val="continue"/>
            <w:noWrap w:val="0"/>
            <w:vAlign w:val="center"/>
          </w:tcPr>
          <w:p w14:paraId="5CE0BCD8">
            <w:pPr>
              <w:pageBreakBefore w:val="0"/>
              <w:widowControl/>
              <w:overflowPunct/>
              <w:topLinePunct w:val="0"/>
              <w:bidi w:val="0"/>
              <w:spacing w:line="288" w:lineRule="auto"/>
              <w:jc w:val="center"/>
              <w:rPr>
                <w:rFonts w:hint="eastAsia" w:ascii="仿宋_GB2312" w:hAnsi="仿宋_GB2312" w:eastAsia="仿宋_GB2312" w:cs="仿宋_GB2312"/>
                <w:b/>
                <w:bCs/>
                <w:color w:val="auto"/>
                <w:szCs w:val="21"/>
                <w:highlight w:val="none"/>
              </w:rPr>
            </w:pPr>
          </w:p>
        </w:tc>
        <w:tc>
          <w:tcPr>
            <w:tcW w:w="1189" w:type="dxa"/>
            <w:noWrap w:val="0"/>
            <w:vAlign w:val="center"/>
          </w:tcPr>
          <w:p w14:paraId="7BC8E61A">
            <w:pPr>
              <w:pageBreakBefore w:val="0"/>
              <w:widowControl/>
              <w:overflowPunct/>
              <w:topLinePunct w:val="0"/>
              <w:bidi w:val="0"/>
              <w:spacing w:line="288" w:lineRule="auto"/>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总量</w:t>
            </w:r>
          </w:p>
        </w:tc>
        <w:tc>
          <w:tcPr>
            <w:tcW w:w="1277" w:type="dxa"/>
            <w:noWrap w:val="0"/>
            <w:vAlign w:val="center"/>
          </w:tcPr>
          <w:p w14:paraId="77E3E917">
            <w:pPr>
              <w:pageBreakBefore w:val="0"/>
              <w:widowControl/>
              <w:overflowPunct/>
              <w:topLinePunct w:val="0"/>
              <w:bidi w:val="0"/>
              <w:spacing w:line="288" w:lineRule="auto"/>
              <w:jc w:val="center"/>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年均增长或累计增速%</w:t>
            </w:r>
          </w:p>
        </w:tc>
        <w:tc>
          <w:tcPr>
            <w:tcW w:w="1095" w:type="dxa"/>
            <w:vMerge w:val="continue"/>
            <w:noWrap w:val="0"/>
            <w:vAlign w:val="center"/>
          </w:tcPr>
          <w:p w14:paraId="36968477">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p>
        </w:tc>
      </w:tr>
      <w:tr w14:paraId="4AE5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212CDB23">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一、经济发展</w:t>
            </w:r>
          </w:p>
        </w:tc>
        <w:tc>
          <w:tcPr>
            <w:tcW w:w="911" w:type="dxa"/>
            <w:noWrap w:val="0"/>
            <w:vAlign w:val="center"/>
          </w:tcPr>
          <w:p w14:paraId="4D2600F7">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67" w:type="dxa"/>
            <w:noWrap w:val="0"/>
            <w:vAlign w:val="center"/>
          </w:tcPr>
          <w:p w14:paraId="6BEEA82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89" w:type="dxa"/>
            <w:noWrap w:val="0"/>
            <w:vAlign w:val="center"/>
          </w:tcPr>
          <w:p w14:paraId="78351D0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277" w:type="dxa"/>
            <w:noWrap w:val="0"/>
            <w:vAlign w:val="center"/>
          </w:tcPr>
          <w:p w14:paraId="39DDAEE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p>
        </w:tc>
        <w:tc>
          <w:tcPr>
            <w:tcW w:w="1095" w:type="dxa"/>
            <w:noWrap w:val="0"/>
            <w:vAlign w:val="center"/>
          </w:tcPr>
          <w:p w14:paraId="417D9E1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r>
      <w:tr w14:paraId="1B61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6BDFEF25">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rPr>
              <w:t>地区</w:t>
            </w:r>
            <w:r>
              <w:rPr>
                <w:rFonts w:hint="eastAsia" w:ascii="仿宋_GB2312" w:hAnsi="仿宋_GB2312" w:eastAsia="仿宋_GB2312" w:cs="仿宋_GB2312"/>
                <w:color w:val="auto"/>
                <w:kern w:val="0"/>
                <w:szCs w:val="21"/>
                <w:highlight w:val="none"/>
              </w:rPr>
              <w:t>生产总值</w:t>
            </w:r>
          </w:p>
        </w:tc>
        <w:tc>
          <w:tcPr>
            <w:tcW w:w="911" w:type="dxa"/>
            <w:noWrap w:val="0"/>
            <w:vAlign w:val="center"/>
          </w:tcPr>
          <w:p w14:paraId="1D2CBA4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66B10019">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225.41</w:t>
            </w:r>
          </w:p>
        </w:tc>
        <w:tc>
          <w:tcPr>
            <w:tcW w:w="1189" w:type="dxa"/>
            <w:noWrap w:val="0"/>
            <w:vAlign w:val="center"/>
          </w:tcPr>
          <w:p w14:paraId="0943FBDC">
            <w:pPr>
              <w:pageBreakBefore w:val="0"/>
              <w:widowControl/>
              <w:overflowPunct/>
              <w:topLinePunct w:val="0"/>
              <w:bidi w:val="0"/>
              <w:spacing w:line="240"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力争突破300</w:t>
            </w:r>
          </w:p>
        </w:tc>
        <w:tc>
          <w:tcPr>
            <w:tcW w:w="1277" w:type="dxa"/>
            <w:noWrap w:val="0"/>
            <w:vAlign w:val="center"/>
          </w:tcPr>
          <w:p w14:paraId="44A579A1">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5.5以上</w:t>
            </w:r>
          </w:p>
        </w:tc>
        <w:tc>
          <w:tcPr>
            <w:tcW w:w="1095" w:type="dxa"/>
            <w:noWrap w:val="0"/>
            <w:vAlign w:val="center"/>
          </w:tcPr>
          <w:p w14:paraId="77DAA39E">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5CC1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251C643E">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规模以上工业增加值</w:t>
            </w:r>
          </w:p>
        </w:tc>
        <w:tc>
          <w:tcPr>
            <w:tcW w:w="911" w:type="dxa"/>
            <w:noWrap w:val="0"/>
            <w:vAlign w:val="center"/>
          </w:tcPr>
          <w:p w14:paraId="0EAE822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0891F699">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57.29</w:t>
            </w:r>
          </w:p>
        </w:tc>
        <w:tc>
          <w:tcPr>
            <w:tcW w:w="1189" w:type="dxa"/>
            <w:noWrap w:val="0"/>
            <w:vAlign w:val="center"/>
          </w:tcPr>
          <w:p w14:paraId="07DF9C30">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92.27</w:t>
            </w:r>
          </w:p>
        </w:tc>
        <w:tc>
          <w:tcPr>
            <w:tcW w:w="1277" w:type="dxa"/>
            <w:noWrap w:val="0"/>
            <w:vAlign w:val="center"/>
          </w:tcPr>
          <w:p w14:paraId="537F45F8">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10</w:t>
            </w:r>
          </w:p>
        </w:tc>
        <w:tc>
          <w:tcPr>
            <w:tcW w:w="1095" w:type="dxa"/>
            <w:noWrap w:val="0"/>
            <w:vAlign w:val="center"/>
          </w:tcPr>
          <w:p w14:paraId="3C20747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1F70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64FEEC7D">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农林牧渔业总产值</w:t>
            </w:r>
          </w:p>
        </w:tc>
        <w:tc>
          <w:tcPr>
            <w:tcW w:w="911" w:type="dxa"/>
            <w:noWrap w:val="0"/>
            <w:vAlign w:val="center"/>
          </w:tcPr>
          <w:p w14:paraId="54D41BA9">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3164E23D">
            <w:pPr>
              <w:pageBreakBefore w:val="0"/>
              <w:widowControl/>
              <w:overflowPunct/>
              <w:topLinePunct w:val="0"/>
              <w:bidi w:val="0"/>
              <w:spacing w:line="288" w:lineRule="auto"/>
              <w:ind w:firstLine="210" w:firstLineChars="100"/>
              <w:jc w:val="both"/>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101.33</w:t>
            </w:r>
          </w:p>
        </w:tc>
        <w:tc>
          <w:tcPr>
            <w:tcW w:w="1189" w:type="dxa"/>
            <w:noWrap w:val="0"/>
            <w:vAlign w:val="center"/>
          </w:tcPr>
          <w:p w14:paraId="5E9ECA70">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126.89</w:t>
            </w:r>
          </w:p>
        </w:tc>
        <w:tc>
          <w:tcPr>
            <w:tcW w:w="1277" w:type="dxa"/>
            <w:noWrap w:val="0"/>
            <w:vAlign w:val="center"/>
          </w:tcPr>
          <w:p w14:paraId="08C31EAF">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4.6</w:t>
            </w:r>
          </w:p>
        </w:tc>
        <w:tc>
          <w:tcPr>
            <w:tcW w:w="1095" w:type="dxa"/>
            <w:noWrap w:val="0"/>
            <w:vAlign w:val="center"/>
          </w:tcPr>
          <w:p w14:paraId="0CD582A7">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3813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44D4B182">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第三产业增加值</w:t>
            </w:r>
          </w:p>
        </w:tc>
        <w:tc>
          <w:tcPr>
            <w:tcW w:w="911" w:type="dxa"/>
            <w:noWrap w:val="0"/>
            <w:vAlign w:val="center"/>
          </w:tcPr>
          <w:p w14:paraId="2A45F83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466FF58E">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sz w:val="21"/>
                <w:szCs w:val="21"/>
                <w:highlight w:val="none"/>
                <w:lang w:val="en-US" w:eastAsia="zh-CN"/>
              </w:rPr>
              <w:t>72.27</w:t>
            </w:r>
          </w:p>
        </w:tc>
        <w:tc>
          <w:tcPr>
            <w:tcW w:w="1189" w:type="dxa"/>
            <w:noWrap w:val="0"/>
            <w:vAlign w:val="center"/>
          </w:tcPr>
          <w:p w14:paraId="1C5F652C">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90.07</w:t>
            </w:r>
          </w:p>
        </w:tc>
        <w:tc>
          <w:tcPr>
            <w:tcW w:w="1277" w:type="dxa"/>
            <w:noWrap w:val="0"/>
            <w:vAlign w:val="center"/>
          </w:tcPr>
          <w:p w14:paraId="5B4B7CC1">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4.5</w:t>
            </w:r>
          </w:p>
        </w:tc>
        <w:tc>
          <w:tcPr>
            <w:tcW w:w="1095" w:type="dxa"/>
            <w:noWrap w:val="0"/>
            <w:vAlign w:val="center"/>
          </w:tcPr>
          <w:p w14:paraId="54A5ABE9">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73CB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jc w:val="center"/>
        </w:trPr>
        <w:tc>
          <w:tcPr>
            <w:tcW w:w="2567" w:type="dxa"/>
            <w:noWrap w:val="0"/>
            <w:vAlign w:val="center"/>
          </w:tcPr>
          <w:p w14:paraId="01126141">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rPr>
              <w:t>一般公共预算</w:t>
            </w:r>
            <w:r>
              <w:rPr>
                <w:rFonts w:hint="eastAsia" w:ascii="仿宋_GB2312" w:hAnsi="仿宋_GB2312" w:eastAsia="仿宋_GB2312" w:cs="仿宋_GB2312"/>
                <w:color w:val="auto"/>
                <w:kern w:val="0"/>
                <w:szCs w:val="21"/>
                <w:highlight w:val="none"/>
              </w:rPr>
              <w:t>收入</w:t>
            </w:r>
          </w:p>
        </w:tc>
        <w:tc>
          <w:tcPr>
            <w:tcW w:w="911" w:type="dxa"/>
            <w:noWrap w:val="0"/>
            <w:vAlign w:val="center"/>
          </w:tcPr>
          <w:p w14:paraId="121058E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493E8287">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sz w:val="21"/>
                <w:szCs w:val="21"/>
                <w:highlight w:val="none"/>
                <w:u w:val="none"/>
                <w:lang w:val="en-US" w:eastAsia="zh-CN"/>
              </w:rPr>
              <w:t>4.94</w:t>
            </w:r>
          </w:p>
        </w:tc>
        <w:tc>
          <w:tcPr>
            <w:tcW w:w="1189" w:type="dxa"/>
            <w:noWrap w:val="0"/>
            <w:vAlign w:val="center"/>
          </w:tcPr>
          <w:p w14:paraId="3DDFF05C">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5.73</w:t>
            </w:r>
          </w:p>
        </w:tc>
        <w:tc>
          <w:tcPr>
            <w:tcW w:w="1277" w:type="dxa"/>
            <w:noWrap w:val="0"/>
            <w:vAlign w:val="center"/>
          </w:tcPr>
          <w:p w14:paraId="1F13E53A">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3</w:t>
            </w:r>
          </w:p>
        </w:tc>
        <w:tc>
          <w:tcPr>
            <w:tcW w:w="1095" w:type="dxa"/>
            <w:noWrap w:val="0"/>
            <w:vAlign w:val="center"/>
          </w:tcPr>
          <w:p w14:paraId="3804E9D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542B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2567" w:type="dxa"/>
            <w:noWrap w:val="0"/>
            <w:vAlign w:val="center"/>
          </w:tcPr>
          <w:p w14:paraId="34E35CE7">
            <w:pPr>
              <w:pageBreakBefore w:val="0"/>
              <w:widowControl/>
              <w:overflowPunct/>
              <w:topLinePunct w:val="0"/>
              <w:bidi w:val="0"/>
              <w:spacing w:line="288" w:lineRule="auto"/>
              <w:jc w:val="left"/>
              <w:rPr>
                <w:rFonts w:hint="eastAsia" w:ascii="仿宋_GB2312" w:hAnsi="仿宋_GB2312" w:eastAsia="仿宋_GB2312" w:cs="仿宋_GB2312"/>
                <w:strike/>
                <w:dstrike w:val="0"/>
                <w:color w:val="auto"/>
                <w:kern w:val="0"/>
                <w:szCs w:val="21"/>
                <w:highlight w:val="none"/>
              </w:rPr>
            </w:pPr>
            <w:r>
              <w:rPr>
                <w:rFonts w:hint="eastAsia" w:ascii="仿宋_GB2312" w:hAnsi="仿宋_GB2312" w:eastAsia="仿宋_GB2312" w:cs="仿宋_GB2312"/>
                <w:color w:val="auto"/>
                <w:kern w:val="0"/>
                <w:szCs w:val="21"/>
                <w:highlight w:val="none"/>
              </w:rPr>
              <w:t>社会消费品零售总额</w:t>
            </w:r>
          </w:p>
        </w:tc>
        <w:tc>
          <w:tcPr>
            <w:tcW w:w="911" w:type="dxa"/>
            <w:noWrap w:val="0"/>
            <w:vAlign w:val="center"/>
          </w:tcPr>
          <w:p w14:paraId="64B41B74">
            <w:pPr>
              <w:pageBreakBefore w:val="0"/>
              <w:widowControl/>
              <w:overflowPunct/>
              <w:topLinePunct w:val="0"/>
              <w:bidi w:val="0"/>
              <w:spacing w:line="288" w:lineRule="auto"/>
              <w:jc w:val="center"/>
              <w:rPr>
                <w:rFonts w:hint="eastAsia" w:ascii="仿宋_GB2312" w:hAnsi="仿宋_GB2312" w:eastAsia="仿宋_GB2312" w:cs="仿宋_GB2312"/>
                <w:strike/>
                <w:dstrike w:val="0"/>
                <w:color w:val="auto"/>
                <w:kern w:val="0"/>
                <w:szCs w:val="21"/>
                <w:highlight w:val="none"/>
              </w:rPr>
            </w:pPr>
            <w:r>
              <w:rPr>
                <w:rFonts w:hint="eastAsia" w:ascii="仿宋_GB2312" w:hAnsi="仿宋_GB2312" w:eastAsia="仿宋_GB2312" w:cs="仿宋_GB2312"/>
                <w:color w:val="auto"/>
                <w:kern w:val="0"/>
                <w:szCs w:val="21"/>
                <w:highlight w:val="none"/>
              </w:rPr>
              <w:t>亿元</w:t>
            </w:r>
          </w:p>
        </w:tc>
        <w:tc>
          <w:tcPr>
            <w:tcW w:w="1167" w:type="dxa"/>
            <w:noWrap w:val="0"/>
            <w:vAlign w:val="center"/>
          </w:tcPr>
          <w:p w14:paraId="6B2A0615">
            <w:pPr>
              <w:pageBreakBefore w:val="0"/>
              <w:widowControl/>
              <w:overflowPunct/>
              <w:topLinePunct w:val="0"/>
              <w:bidi w:val="0"/>
              <w:spacing w:line="288" w:lineRule="auto"/>
              <w:jc w:val="center"/>
              <w:rPr>
                <w:rFonts w:hint="default" w:ascii="仿宋_GB2312" w:hAnsi="仿宋_GB2312" w:eastAsia="仿宋_GB2312" w:cs="仿宋_GB2312"/>
                <w:strike/>
                <w:dstrike w:val="0"/>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42.57</w:t>
            </w:r>
          </w:p>
        </w:tc>
        <w:tc>
          <w:tcPr>
            <w:tcW w:w="1189" w:type="dxa"/>
            <w:noWrap w:val="0"/>
            <w:vAlign w:val="center"/>
          </w:tcPr>
          <w:p w14:paraId="2D0FFC50">
            <w:pPr>
              <w:pageBreakBefore w:val="0"/>
              <w:widowControl/>
              <w:overflowPunct/>
              <w:topLinePunct w:val="0"/>
              <w:bidi w:val="0"/>
              <w:spacing w:line="288" w:lineRule="auto"/>
              <w:jc w:val="center"/>
              <w:rPr>
                <w:rFonts w:hint="default" w:ascii="仿宋_GB2312" w:hAnsi="仿宋_GB2312" w:eastAsia="仿宋_GB2312" w:cs="仿宋_GB2312"/>
                <w:strike/>
                <w:dstrike w:val="0"/>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54.34</w:t>
            </w:r>
          </w:p>
        </w:tc>
        <w:tc>
          <w:tcPr>
            <w:tcW w:w="1277" w:type="dxa"/>
            <w:noWrap w:val="0"/>
            <w:vAlign w:val="center"/>
          </w:tcPr>
          <w:p w14:paraId="7924111B">
            <w:pPr>
              <w:pageBreakBefore w:val="0"/>
              <w:widowControl/>
              <w:overflowPunct/>
              <w:topLinePunct w:val="0"/>
              <w:bidi w:val="0"/>
              <w:spacing w:line="288" w:lineRule="auto"/>
              <w:jc w:val="center"/>
              <w:rPr>
                <w:rFonts w:hint="eastAsia" w:ascii="仿宋_GB2312" w:hAnsi="仿宋_GB2312" w:eastAsia="仿宋_GB2312" w:cs="仿宋_GB2312"/>
                <w:strike/>
                <w:dstrike w:val="0"/>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w:t>
            </w:r>
          </w:p>
        </w:tc>
        <w:tc>
          <w:tcPr>
            <w:tcW w:w="1095" w:type="dxa"/>
            <w:noWrap w:val="0"/>
            <w:vAlign w:val="center"/>
          </w:tcPr>
          <w:p w14:paraId="39A35ED8">
            <w:pPr>
              <w:pageBreakBefore w:val="0"/>
              <w:widowControl/>
              <w:overflowPunct/>
              <w:topLinePunct w:val="0"/>
              <w:bidi w:val="0"/>
              <w:spacing w:line="288" w:lineRule="auto"/>
              <w:jc w:val="center"/>
              <w:rPr>
                <w:rFonts w:hint="eastAsia" w:ascii="仿宋_GB2312" w:hAnsi="仿宋_GB2312" w:eastAsia="仿宋_GB2312" w:cs="仿宋_GB2312"/>
                <w:strike/>
                <w:dstrike w:val="0"/>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3355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7135AA79">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常住人口城镇化率</w:t>
            </w:r>
          </w:p>
        </w:tc>
        <w:tc>
          <w:tcPr>
            <w:tcW w:w="911" w:type="dxa"/>
            <w:noWrap w:val="0"/>
            <w:vAlign w:val="center"/>
          </w:tcPr>
          <w:p w14:paraId="69CACB5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3BAECDAA">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49.87</w:t>
            </w:r>
          </w:p>
        </w:tc>
        <w:tc>
          <w:tcPr>
            <w:tcW w:w="1189" w:type="dxa"/>
            <w:noWrap w:val="0"/>
            <w:vAlign w:val="center"/>
          </w:tcPr>
          <w:p w14:paraId="69DCCDAB">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51.63</w:t>
            </w:r>
          </w:p>
        </w:tc>
        <w:tc>
          <w:tcPr>
            <w:tcW w:w="1277" w:type="dxa"/>
            <w:noWrap w:val="0"/>
            <w:vAlign w:val="center"/>
          </w:tcPr>
          <w:p w14:paraId="7254267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[1.76]</w:t>
            </w:r>
          </w:p>
        </w:tc>
        <w:tc>
          <w:tcPr>
            <w:tcW w:w="1095" w:type="dxa"/>
            <w:noWrap w:val="0"/>
            <w:vAlign w:val="center"/>
          </w:tcPr>
          <w:p w14:paraId="4452DC1E">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5FD4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7CBE40F3">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b/>
                <w:color w:val="auto"/>
                <w:kern w:val="0"/>
                <w:szCs w:val="21"/>
                <w:highlight w:val="none"/>
              </w:rPr>
              <w:t>二、民生福祉</w:t>
            </w:r>
          </w:p>
        </w:tc>
        <w:tc>
          <w:tcPr>
            <w:tcW w:w="911" w:type="dxa"/>
            <w:noWrap w:val="0"/>
            <w:vAlign w:val="center"/>
          </w:tcPr>
          <w:p w14:paraId="533181B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67" w:type="dxa"/>
            <w:noWrap w:val="0"/>
            <w:vAlign w:val="center"/>
          </w:tcPr>
          <w:p w14:paraId="3051F30A">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　</w:t>
            </w:r>
          </w:p>
        </w:tc>
        <w:tc>
          <w:tcPr>
            <w:tcW w:w="1189" w:type="dxa"/>
            <w:noWrap w:val="0"/>
            <w:vAlign w:val="center"/>
          </w:tcPr>
          <w:p w14:paraId="74B98193">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　</w:t>
            </w:r>
          </w:p>
        </w:tc>
        <w:tc>
          <w:tcPr>
            <w:tcW w:w="1277" w:type="dxa"/>
            <w:noWrap w:val="0"/>
            <w:vAlign w:val="center"/>
          </w:tcPr>
          <w:p w14:paraId="14B16053">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p>
        </w:tc>
        <w:tc>
          <w:tcPr>
            <w:tcW w:w="1095" w:type="dxa"/>
            <w:noWrap w:val="0"/>
            <w:vAlign w:val="center"/>
          </w:tcPr>
          <w:p w14:paraId="70AA4DB9">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r>
      <w:tr w14:paraId="2B73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0D927B2A">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color w:val="auto"/>
                <w:kern w:val="0"/>
                <w:szCs w:val="21"/>
                <w:highlight w:val="none"/>
              </w:rPr>
              <w:t>城镇居民人均可支配收入</w:t>
            </w:r>
          </w:p>
        </w:tc>
        <w:tc>
          <w:tcPr>
            <w:tcW w:w="911" w:type="dxa"/>
            <w:noWrap w:val="0"/>
            <w:vAlign w:val="center"/>
          </w:tcPr>
          <w:p w14:paraId="1ED8507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元</w:t>
            </w:r>
          </w:p>
        </w:tc>
        <w:tc>
          <w:tcPr>
            <w:tcW w:w="1167" w:type="dxa"/>
            <w:noWrap w:val="0"/>
            <w:vAlign w:val="center"/>
          </w:tcPr>
          <w:p w14:paraId="2DA4D902">
            <w:pPr>
              <w:pageBreakBefore w:val="0"/>
              <w:widowControl/>
              <w:overflowPunct/>
              <w:topLinePunct w:val="0"/>
              <w:bidi w:val="0"/>
              <w:spacing w:line="288" w:lineRule="auto"/>
              <w:jc w:val="center"/>
              <w:textAlignment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bidi="ar"/>
              </w:rPr>
              <w:t>44787</w:t>
            </w:r>
          </w:p>
        </w:tc>
        <w:tc>
          <w:tcPr>
            <w:tcW w:w="1189" w:type="dxa"/>
            <w:noWrap w:val="0"/>
            <w:vAlign w:val="center"/>
          </w:tcPr>
          <w:p w14:paraId="3199A091">
            <w:pPr>
              <w:pageBreakBefore w:val="0"/>
              <w:widowControl/>
              <w:overflowPunct/>
              <w:topLinePunct w:val="0"/>
              <w:bidi w:val="0"/>
              <w:spacing w:line="288" w:lineRule="auto"/>
              <w:jc w:val="center"/>
              <w:textAlignment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bidi="ar"/>
              </w:rPr>
              <w:t>57151</w:t>
            </w:r>
            <w:r>
              <w:rPr>
                <w:rFonts w:hint="eastAsia" w:ascii="仿宋_GB2312" w:hAnsi="仿宋_GB2312" w:eastAsia="仿宋_GB2312" w:cs="仿宋_GB2312"/>
                <w:color w:val="auto"/>
                <w:kern w:val="0"/>
                <w:szCs w:val="21"/>
                <w:highlight w:val="none"/>
                <w:lang w:bidi="ar"/>
              </w:rPr>
              <w:t xml:space="preserve"> </w:t>
            </w:r>
          </w:p>
        </w:tc>
        <w:tc>
          <w:tcPr>
            <w:tcW w:w="1277" w:type="dxa"/>
            <w:noWrap w:val="0"/>
            <w:vAlign w:val="center"/>
          </w:tcPr>
          <w:p w14:paraId="45FE652C">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rPr>
              <w:t>5</w:t>
            </w:r>
          </w:p>
        </w:tc>
        <w:tc>
          <w:tcPr>
            <w:tcW w:w="1095" w:type="dxa"/>
            <w:noWrap w:val="0"/>
            <w:vAlign w:val="center"/>
          </w:tcPr>
          <w:p w14:paraId="3BF2168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6F68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2E7E96C0">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农村居民人均可支配收入</w:t>
            </w:r>
          </w:p>
        </w:tc>
        <w:tc>
          <w:tcPr>
            <w:tcW w:w="911" w:type="dxa"/>
            <w:noWrap w:val="0"/>
            <w:vAlign w:val="center"/>
          </w:tcPr>
          <w:p w14:paraId="2FC417D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元</w:t>
            </w:r>
          </w:p>
        </w:tc>
        <w:tc>
          <w:tcPr>
            <w:tcW w:w="1167" w:type="dxa"/>
            <w:noWrap w:val="0"/>
            <w:vAlign w:val="center"/>
          </w:tcPr>
          <w:p w14:paraId="4E0BDB42">
            <w:pPr>
              <w:pageBreakBefore w:val="0"/>
              <w:widowControl/>
              <w:overflowPunct/>
              <w:topLinePunct w:val="0"/>
              <w:bidi w:val="0"/>
              <w:spacing w:line="288" w:lineRule="auto"/>
              <w:jc w:val="center"/>
              <w:textAlignment w:val="center"/>
              <w:rPr>
                <w:rFonts w:hint="default" w:ascii="仿宋_GB2312" w:hAnsi="仿宋_GB2312" w:eastAsia="仿宋_GB2312" w:cs="仿宋_GB2312"/>
                <w:color w:val="auto"/>
                <w:kern w:val="0"/>
                <w:szCs w:val="21"/>
                <w:highlight w:val="none"/>
                <w:lang w:val="en-US" w:eastAsia="zh-CN" w:bidi="ar"/>
              </w:rPr>
            </w:pPr>
            <w:r>
              <w:rPr>
                <w:rFonts w:hint="eastAsia" w:ascii="仿宋_GB2312" w:hAnsi="仿宋_GB2312" w:eastAsia="仿宋_GB2312" w:cs="仿宋_GB2312"/>
                <w:color w:val="auto"/>
                <w:kern w:val="0"/>
                <w:szCs w:val="21"/>
                <w:highlight w:val="none"/>
                <w:lang w:val="en-US" w:eastAsia="zh-CN" w:bidi="ar"/>
              </w:rPr>
              <w:t>23391</w:t>
            </w:r>
          </w:p>
        </w:tc>
        <w:tc>
          <w:tcPr>
            <w:tcW w:w="1189" w:type="dxa"/>
            <w:noWrap w:val="0"/>
            <w:vAlign w:val="center"/>
          </w:tcPr>
          <w:p w14:paraId="5B33FA5B">
            <w:pPr>
              <w:pageBreakBefore w:val="0"/>
              <w:widowControl/>
              <w:overflowPunct/>
              <w:topLinePunct w:val="0"/>
              <w:bidi w:val="0"/>
              <w:spacing w:line="288" w:lineRule="auto"/>
              <w:jc w:val="center"/>
              <w:textAlignment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val="en-US" w:eastAsia="zh-CN" w:bidi="ar"/>
              </w:rPr>
              <w:t>29856</w:t>
            </w:r>
            <w:r>
              <w:rPr>
                <w:rFonts w:hint="eastAsia" w:ascii="仿宋_GB2312" w:hAnsi="仿宋_GB2312" w:eastAsia="仿宋_GB2312" w:cs="仿宋_GB2312"/>
                <w:color w:val="auto"/>
                <w:kern w:val="0"/>
                <w:szCs w:val="21"/>
                <w:highlight w:val="none"/>
                <w:lang w:bidi="ar"/>
              </w:rPr>
              <w:t xml:space="preserve"> </w:t>
            </w:r>
          </w:p>
        </w:tc>
        <w:tc>
          <w:tcPr>
            <w:tcW w:w="1277" w:type="dxa"/>
            <w:noWrap w:val="0"/>
            <w:vAlign w:val="center"/>
          </w:tcPr>
          <w:p w14:paraId="6BCA354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5</w:t>
            </w:r>
          </w:p>
        </w:tc>
        <w:tc>
          <w:tcPr>
            <w:tcW w:w="1095" w:type="dxa"/>
            <w:noWrap w:val="0"/>
            <w:vAlign w:val="center"/>
          </w:tcPr>
          <w:p w14:paraId="1CF8028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41AF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3F71B285">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城镇登记失业率</w:t>
            </w:r>
          </w:p>
        </w:tc>
        <w:tc>
          <w:tcPr>
            <w:tcW w:w="911" w:type="dxa"/>
            <w:noWrap w:val="0"/>
            <w:vAlign w:val="center"/>
          </w:tcPr>
          <w:p w14:paraId="156724D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67" w:type="dxa"/>
            <w:noWrap w:val="0"/>
            <w:vAlign w:val="center"/>
          </w:tcPr>
          <w:p w14:paraId="72717243">
            <w:pPr>
              <w:pageBreakBefore w:val="0"/>
              <w:widowControl/>
              <w:overflowPunct/>
              <w:topLinePunct w:val="0"/>
              <w:bidi w:val="0"/>
              <w:spacing w:line="288" w:lineRule="auto"/>
              <w:jc w:val="center"/>
              <w:textAlignment w:val="center"/>
              <w:rPr>
                <w:rFonts w:hint="default" w:ascii="仿宋_GB2312" w:hAnsi="仿宋_GB2312" w:eastAsia="仿宋_GB2312" w:cs="仿宋_GB2312"/>
                <w:color w:val="auto"/>
                <w:kern w:val="0"/>
                <w:szCs w:val="21"/>
                <w:highlight w:val="none"/>
                <w:lang w:val="en-US" w:eastAsia="zh-CN" w:bidi="ar"/>
              </w:rPr>
            </w:pPr>
            <w:r>
              <w:rPr>
                <w:rFonts w:hint="eastAsia" w:ascii="仿宋_GB2312" w:hAnsi="仿宋_GB2312" w:eastAsia="仿宋_GB2312" w:cs="仿宋_GB2312"/>
                <w:color w:val="auto"/>
                <w:kern w:val="0"/>
                <w:szCs w:val="21"/>
                <w:highlight w:val="none"/>
                <w:lang w:eastAsia="zh-CN" w:bidi="ar"/>
              </w:rPr>
              <w:t>&lt;</w:t>
            </w:r>
            <w:r>
              <w:rPr>
                <w:rFonts w:hint="eastAsia" w:ascii="仿宋_GB2312" w:hAnsi="仿宋_GB2312" w:eastAsia="仿宋_GB2312" w:cs="仿宋_GB2312"/>
                <w:color w:val="auto"/>
                <w:kern w:val="0"/>
                <w:szCs w:val="21"/>
                <w:highlight w:val="none"/>
                <w:lang w:bidi="ar"/>
              </w:rPr>
              <w:t>3.5</w:t>
            </w:r>
          </w:p>
        </w:tc>
        <w:tc>
          <w:tcPr>
            <w:tcW w:w="1189" w:type="dxa"/>
            <w:noWrap w:val="0"/>
            <w:vAlign w:val="center"/>
          </w:tcPr>
          <w:p w14:paraId="0F5FAB82">
            <w:pPr>
              <w:pageBreakBefore w:val="0"/>
              <w:widowControl/>
              <w:overflowPunct/>
              <w:topLinePunct w:val="0"/>
              <w:bidi w:val="0"/>
              <w:spacing w:line="288" w:lineRule="auto"/>
              <w:jc w:val="center"/>
              <w:textAlignment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bidi="ar"/>
              </w:rPr>
              <w:t>&lt;4.5</w:t>
            </w:r>
          </w:p>
        </w:tc>
        <w:tc>
          <w:tcPr>
            <w:tcW w:w="1277" w:type="dxa"/>
            <w:noWrap w:val="0"/>
            <w:vAlign w:val="center"/>
          </w:tcPr>
          <w:p w14:paraId="759AFDD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095" w:type="dxa"/>
            <w:noWrap w:val="0"/>
            <w:vAlign w:val="center"/>
          </w:tcPr>
          <w:p w14:paraId="47F525F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3549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47DA808B">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高中阶段教育毛入学率</w:t>
            </w:r>
          </w:p>
        </w:tc>
        <w:tc>
          <w:tcPr>
            <w:tcW w:w="911" w:type="dxa"/>
            <w:noWrap w:val="0"/>
            <w:vAlign w:val="center"/>
          </w:tcPr>
          <w:p w14:paraId="50CF284C">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67" w:type="dxa"/>
            <w:noWrap w:val="0"/>
            <w:vAlign w:val="center"/>
          </w:tcPr>
          <w:p w14:paraId="62B7E93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rPr>
              <w:t>90.</w:t>
            </w:r>
            <w:r>
              <w:rPr>
                <w:rFonts w:hint="eastAsia" w:ascii="仿宋_GB2312" w:hAnsi="仿宋_GB2312" w:eastAsia="仿宋_GB2312" w:cs="仿宋_GB2312"/>
                <w:color w:val="auto"/>
                <w:kern w:val="0"/>
                <w:szCs w:val="21"/>
                <w:highlight w:val="none"/>
                <w:lang w:val="en-US" w:eastAsia="zh-CN"/>
              </w:rPr>
              <w:t>9</w:t>
            </w:r>
          </w:p>
        </w:tc>
        <w:tc>
          <w:tcPr>
            <w:tcW w:w="1189" w:type="dxa"/>
            <w:noWrap w:val="0"/>
            <w:vAlign w:val="center"/>
          </w:tcPr>
          <w:p w14:paraId="4BAACF53">
            <w:pPr>
              <w:pageBreakBefore w:val="0"/>
              <w:widowControl/>
              <w:overflowPunct/>
              <w:topLinePunct w:val="0"/>
              <w:bidi w:val="0"/>
              <w:spacing w:line="288" w:lineRule="auto"/>
              <w:jc w:val="center"/>
              <w:rPr>
                <w:rFonts w:hint="eastAsia" w:ascii="仿宋_GB2312" w:hAnsi="仿宋_GB2312" w:eastAsia="仿宋_GB2312" w:cs="仿宋_GB2312"/>
                <w:bCs/>
                <w:color w:val="auto"/>
                <w:kern w:val="0"/>
                <w:szCs w:val="21"/>
                <w:highlight w:val="none"/>
                <w:lang w:bidi="ar"/>
              </w:rPr>
            </w:pPr>
            <w:r>
              <w:rPr>
                <w:rFonts w:hint="eastAsia" w:ascii="仿宋_GB2312" w:hAnsi="仿宋_GB2312" w:eastAsia="仿宋_GB2312" w:cs="仿宋_GB2312"/>
                <w:color w:val="auto"/>
                <w:kern w:val="0"/>
                <w:szCs w:val="21"/>
                <w:highlight w:val="none"/>
              </w:rPr>
              <w:t>92</w:t>
            </w:r>
            <w:r>
              <w:rPr>
                <w:rFonts w:hint="eastAsia" w:ascii="仿宋_GB2312" w:hAnsi="仿宋_GB2312" w:eastAsia="仿宋_GB2312" w:cs="仿宋_GB2312"/>
                <w:color w:val="auto"/>
                <w:kern w:val="0"/>
                <w:szCs w:val="21"/>
                <w:highlight w:val="none"/>
                <w:lang w:val="en-US" w:eastAsia="zh-CN"/>
              </w:rPr>
              <w:t>.1</w:t>
            </w:r>
          </w:p>
        </w:tc>
        <w:tc>
          <w:tcPr>
            <w:tcW w:w="1277" w:type="dxa"/>
            <w:noWrap w:val="0"/>
            <w:vAlign w:val="center"/>
          </w:tcPr>
          <w:p w14:paraId="68E37C9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w:t>
            </w:r>
          </w:p>
        </w:tc>
        <w:tc>
          <w:tcPr>
            <w:tcW w:w="1095" w:type="dxa"/>
            <w:noWrap w:val="0"/>
            <w:vAlign w:val="center"/>
          </w:tcPr>
          <w:p w14:paraId="3CFEFED8">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5960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2B2D3AD1">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人均预期寿命</w:t>
            </w:r>
          </w:p>
        </w:tc>
        <w:tc>
          <w:tcPr>
            <w:tcW w:w="911" w:type="dxa"/>
            <w:noWrap w:val="0"/>
            <w:vAlign w:val="center"/>
          </w:tcPr>
          <w:p w14:paraId="6E66E137">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岁</w:t>
            </w:r>
          </w:p>
        </w:tc>
        <w:tc>
          <w:tcPr>
            <w:tcW w:w="1167" w:type="dxa"/>
            <w:noWrap w:val="0"/>
            <w:vAlign w:val="center"/>
          </w:tcPr>
          <w:p w14:paraId="5FAD840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74</w:t>
            </w:r>
          </w:p>
        </w:tc>
        <w:tc>
          <w:tcPr>
            <w:tcW w:w="1189" w:type="dxa"/>
            <w:noWrap w:val="0"/>
            <w:vAlign w:val="center"/>
          </w:tcPr>
          <w:p w14:paraId="6EF795A9">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76</w:t>
            </w:r>
          </w:p>
        </w:tc>
        <w:tc>
          <w:tcPr>
            <w:tcW w:w="1277" w:type="dxa"/>
            <w:noWrap w:val="0"/>
            <w:vAlign w:val="center"/>
          </w:tcPr>
          <w:p w14:paraId="58C2812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w:t>
            </w:r>
          </w:p>
        </w:tc>
        <w:tc>
          <w:tcPr>
            <w:tcW w:w="1095" w:type="dxa"/>
            <w:noWrap w:val="0"/>
            <w:vAlign w:val="center"/>
          </w:tcPr>
          <w:p w14:paraId="6AB255C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65A8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79D2606F">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常住人口</w:t>
            </w:r>
          </w:p>
        </w:tc>
        <w:tc>
          <w:tcPr>
            <w:tcW w:w="911" w:type="dxa"/>
            <w:noWrap w:val="0"/>
            <w:vAlign w:val="center"/>
          </w:tcPr>
          <w:p w14:paraId="2F1C1E9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万人</w:t>
            </w:r>
          </w:p>
        </w:tc>
        <w:tc>
          <w:tcPr>
            <w:tcW w:w="1167" w:type="dxa"/>
            <w:noWrap w:val="0"/>
            <w:vAlign w:val="center"/>
          </w:tcPr>
          <w:p w14:paraId="37929AA7">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r>
              <w:rPr>
                <w:rFonts w:hint="eastAsia" w:ascii="仿宋_GB2312" w:hAnsi="仿宋_GB2312" w:eastAsia="仿宋_GB2312" w:cs="仿宋_GB2312"/>
                <w:color w:val="auto"/>
                <w:kern w:val="0"/>
                <w:szCs w:val="21"/>
                <w:highlight w:val="none"/>
                <w:lang w:val="en-US" w:eastAsia="zh-CN"/>
              </w:rPr>
              <w:t>3.03</w:t>
            </w:r>
          </w:p>
        </w:tc>
        <w:tc>
          <w:tcPr>
            <w:tcW w:w="1189" w:type="dxa"/>
            <w:noWrap w:val="0"/>
            <w:vAlign w:val="center"/>
          </w:tcPr>
          <w:p w14:paraId="367EB00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r>
              <w:rPr>
                <w:rFonts w:hint="eastAsia" w:ascii="仿宋_GB2312" w:hAnsi="仿宋_GB2312" w:eastAsia="仿宋_GB2312" w:cs="仿宋_GB2312"/>
                <w:color w:val="auto"/>
                <w:kern w:val="0"/>
                <w:szCs w:val="21"/>
                <w:highlight w:val="none"/>
                <w:lang w:val="en-US" w:eastAsia="zh-CN"/>
              </w:rPr>
              <w:t>4</w:t>
            </w:r>
            <w:r>
              <w:rPr>
                <w:rFonts w:hint="eastAsia" w:ascii="仿宋_GB2312" w:hAnsi="仿宋_GB2312" w:eastAsia="仿宋_GB2312" w:cs="仿宋_GB2312"/>
                <w:color w:val="auto"/>
                <w:kern w:val="0"/>
                <w:szCs w:val="21"/>
                <w:highlight w:val="none"/>
              </w:rPr>
              <w:t>.</w:t>
            </w:r>
            <w:r>
              <w:rPr>
                <w:rFonts w:hint="eastAsia" w:ascii="仿宋_GB2312" w:hAnsi="仿宋_GB2312" w:eastAsia="仿宋_GB2312" w:cs="仿宋_GB2312"/>
                <w:color w:val="auto"/>
                <w:kern w:val="0"/>
                <w:szCs w:val="21"/>
                <w:highlight w:val="none"/>
                <w:lang w:val="en-US" w:eastAsia="zh-CN"/>
              </w:rPr>
              <w:t>03</w:t>
            </w:r>
          </w:p>
        </w:tc>
        <w:tc>
          <w:tcPr>
            <w:tcW w:w="1277" w:type="dxa"/>
            <w:noWrap w:val="0"/>
            <w:vAlign w:val="center"/>
          </w:tcPr>
          <w:p w14:paraId="0053C8C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w:t>
            </w:r>
          </w:p>
        </w:tc>
        <w:tc>
          <w:tcPr>
            <w:tcW w:w="1095" w:type="dxa"/>
            <w:noWrap w:val="0"/>
            <w:vAlign w:val="center"/>
          </w:tcPr>
          <w:p w14:paraId="78E8F2EB">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预期性</w:t>
            </w:r>
          </w:p>
        </w:tc>
      </w:tr>
      <w:tr w14:paraId="1819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67" w:type="dxa"/>
            <w:noWrap w:val="0"/>
            <w:vAlign w:val="center"/>
          </w:tcPr>
          <w:p w14:paraId="2FE253B2">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b/>
                <w:color w:val="auto"/>
                <w:kern w:val="0"/>
                <w:szCs w:val="21"/>
                <w:highlight w:val="none"/>
              </w:rPr>
              <w:t>三、资源环境</w:t>
            </w:r>
          </w:p>
        </w:tc>
        <w:tc>
          <w:tcPr>
            <w:tcW w:w="911" w:type="dxa"/>
            <w:noWrap w:val="0"/>
            <w:vAlign w:val="center"/>
          </w:tcPr>
          <w:p w14:paraId="28E5019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167" w:type="dxa"/>
            <w:noWrap w:val="0"/>
            <w:vAlign w:val="center"/>
          </w:tcPr>
          <w:p w14:paraId="7A279078">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　</w:t>
            </w:r>
          </w:p>
        </w:tc>
        <w:tc>
          <w:tcPr>
            <w:tcW w:w="1189" w:type="dxa"/>
            <w:noWrap w:val="0"/>
            <w:vAlign w:val="center"/>
          </w:tcPr>
          <w:p w14:paraId="32EFC8BD">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rPr>
            </w:pPr>
            <w:r>
              <w:rPr>
                <w:rFonts w:hint="eastAsia" w:ascii="仿宋_GB2312" w:hAnsi="仿宋_GB2312" w:eastAsia="仿宋_GB2312" w:cs="仿宋_GB2312"/>
                <w:color w:val="auto"/>
                <w:kern w:val="0"/>
                <w:szCs w:val="21"/>
                <w:highlight w:val="none"/>
              </w:rPr>
              <w:t>　</w:t>
            </w:r>
          </w:p>
        </w:tc>
        <w:tc>
          <w:tcPr>
            <w:tcW w:w="1277" w:type="dxa"/>
            <w:noWrap w:val="0"/>
            <w:vAlign w:val="center"/>
          </w:tcPr>
          <w:p w14:paraId="7A82EAF3">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p>
        </w:tc>
        <w:tc>
          <w:tcPr>
            <w:tcW w:w="1095" w:type="dxa"/>
            <w:noWrap w:val="0"/>
            <w:vAlign w:val="center"/>
          </w:tcPr>
          <w:p w14:paraId="2F85AB2E">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r>
      <w:tr w14:paraId="4F4A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2567" w:type="dxa"/>
            <w:noWrap w:val="0"/>
            <w:vAlign w:val="center"/>
          </w:tcPr>
          <w:p w14:paraId="559F8E65">
            <w:pPr>
              <w:pageBreakBefore w:val="0"/>
              <w:widowControl/>
              <w:overflowPunct/>
              <w:topLinePunct w:val="0"/>
              <w:bidi w:val="0"/>
              <w:spacing w:line="288" w:lineRule="auto"/>
              <w:jc w:val="left"/>
              <w:rPr>
                <w:rFonts w:hint="eastAsia" w:ascii="仿宋_GB2312" w:hAnsi="仿宋_GB2312" w:eastAsia="仿宋_GB2312" w:cs="仿宋_GB2312"/>
                <w:b/>
                <w:color w:val="auto"/>
                <w:kern w:val="0"/>
                <w:szCs w:val="21"/>
                <w:highlight w:val="none"/>
              </w:rPr>
            </w:pPr>
            <w:r>
              <w:rPr>
                <w:rFonts w:hint="eastAsia" w:ascii="仿宋_GB2312" w:hAnsi="仿宋_GB2312" w:eastAsia="仿宋_GB2312" w:cs="仿宋_GB2312"/>
                <w:color w:val="auto"/>
                <w:kern w:val="0"/>
                <w:szCs w:val="21"/>
                <w:highlight w:val="none"/>
              </w:rPr>
              <w:t>单位生产总值能耗降低</w:t>
            </w:r>
          </w:p>
        </w:tc>
        <w:tc>
          <w:tcPr>
            <w:tcW w:w="911" w:type="dxa"/>
            <w:noWrap w:val="0"/>
            <w:vAlign w:val="center"/>
          </w:tcPr>
          <w:p w14:paraId="3058D03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4ED96BC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完成目标　</w:t>
            </w:r>
          </w:p>
        </w:tc>
        <w:tc>
          <w:tcPr>
            <w:tcW w:w="1189" w:type="dxa"/>
            <w:noWrap w:val="0"/>
            <w:vAlign w:val="center"/>
          </w:tcPr>
          <w:p w14:paraId="4B106C03">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按柳州市下达任务　</w:t>
            </w:r>
          </w:p>
        </w:tc>
        <w:tc>
          <w:tcPr>
            <w:tcW w:w="1277" w:type="dxa"/>
            <w:noWrap w:val="0"/>
            <w:vAlign w:val="center"/>
          </w:tcPr>
          <w:p w14:paraId="7F3FA78C">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095" w:type="dxa"/>
            <w:noWrap w:val="0"/>
            <w:vAlign w:val="center"/>
          </w:tcPr>
          <w:p w14:paraId="16B128B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2F4A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exact"/>
          <w:jc w:val="center"/>
        </w:trPr>
        <w:tc>
          <w:tcPr>
            <w:tcW w:w="2567" w:type="dxa"/>
            <w:noWrap w:val="0"/>
            <w:vAlign w:val="center"/>
          </w:tcPr>
          <w:p w14:paraId="18F174A8">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耕地保有量</w:t>
            </w:r>
          </w:p>
        </w:tc>
        <w:tc>
          <w:tcPr>
            <w:tcW w:w="911" w:type="dxa"/>
            <w:noWrap w:val="0"/>
            <w:vAlign w:val="center"/>
          </w:tcPr>
          <w:p w14:paraId="52D86FCD">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万公顷</w:t>
            </w:r>
          </w:p>
        </w:tc>
        <w:tc>
          <w:tcPr>
            <w:tcW w:w="1167" w:type="dxa"/>
            <w:noWrap w:val="0"/>
            <w:vAlign w:val="center"/>
          </w:tcPr>
          <w:p w14:paraId="20C01C18">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完成目标</w:t>
            </w:r>
          </w:p>
        </w:tc>
        <w:tc>
          <w:tcPr>
            <w:tcW w:w="1189" w:type="dxa"/>
            <w:noWrap w:val="0"/>
            <w:vAlign w:val="center"/>
          </w:tcPr>
          <w:p w14:paraId="2CC13686">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按柳州市下达任务</w:t>
            </w:r>
          </w:p>
        </w:tc>
        <w:tc>
          <w:tcPr>
            <w:tcW w:w="1277" w:type="dxa"/>
            <w:noWrap w:val="0"/>
            <w:vAlign w:val="center"/>
          </w:tcPr>
          <w:p w14:paraId="3C5D122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095" w:type="dxa"/>
            <w:noWrap w:val="0"/>
            <w:vAlign w:val="center"/>
          </w:tcPr>
          <w:p w14:paraId="15FEA59E">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365C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2567" w:type="dxa"/>
            <w:noWrap w:val="0"/>
            <w:vAlign w:val="center"/>
          </w:tcPr>
          <w:p w14:paraId="00991EAC">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氮氧化物排放减少</w:t>
            </w:r>
          </w:p>
        </w:tc>
        <w:tc>
          <w:tcPr>
            <w:tcW w:w="911" w:type="dxa"/>
            <w:noWrap w:val="0"/>
            <w:vAlign w:val="center"/>
          </w:tcPr>
          <w:p w14:paraId="267795D3">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50CD556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完成目标　</w:t>
            </w:r>
          </w:p>
        </w:tc>
        <w:tc>
          <w:tcPr>
            <w:tcW w:w="1189" w:type="dxa"/>
            <w:noWrap w:val="0"/>
            <w:vAlign w:val="center"/>
          </w:tcPr>
          <w:p w14:paraId="3927078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按上级下达任务　</w:t>
            </w:r>
          </w:p>
        </w:tc>
        <w:tc>
          <w:tcPr>
            <w:tcW w:w="1277" w:type="dxa"/>
            <w:noWrap w:val="0"/>
            <w:vAlign w:val="center"/>
          </w:tcPr>
          <w:p w14:paraId="7D73E657">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095" w:type="dxa"/>
            <w:noWrap w:val="0"/>
            <w:vAlign w:val="center"/>
          </w:tcPr>
          <w:p w14:paraId="1C17C4A8">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670F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2567" w:type="dxa"/>
            <w:noWrap w:val="0"/>
            <w:vAlign w:val="center"/>
          </w:tcPr>
          <w:p w14:paraId="64A5CE94">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氨氮排放减少</w:t>
            </w:r>
          </w:p>
        </w:tc>
        <w:tc>
          <w:tcPr>
            <w:tcW w:w="911" w:type="dxa"/>
            <w:noWrap w:val="0"/>
            <w:vAlign w:val="center"/>
          </w:tcPr>
          <w:p w14:paraId="6A1405C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3F1D03AA">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完成目标　</w:t>
            </w:r>
          </w:p>
        </w:tc>
        <w:tc>
          <w:tcPr>
            <w:tcW w:w="1189" w:type="dxa"/>
            <w:noWrap w:val="0"/>
            <w:vAlign w:val="center"/>
          </w:tcPr>
          <w:p w14:paraId="30BC258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按上级下达任务　</w:t>
            </w:r>
          </w:p>
        </w:tc>
        <w:tc>
          <w:tcPr>
            <w:tcW w:w="1277" w:type="dxa"/>
            <w:noWrap w:val="0"/>
            <w:vAlign w:val="center"/>
          </w:tcPr>
          <w:p w14:paraId="71A3BB24">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w:t>
            </w:r>
          </w:p>
        </w:tc>
        <w:tc>
          <w:tcPr>
            <w:tcW w:w="1095" w:type="dxa"/>
            <w:noWrap w:val="0"/>
            <w:vAlign w:val="center"/>
          </w:tcPr>
          <w:p w14:paraId="3BAE9230">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7BC2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67" w:type="dxa"/>
            <w:noWrap w:val="0"/>
            <w:vAlign w:val="center"/>
          </w:tcPr>
          <w:p w14:paraId="2E1F2DFA">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森林覆盖率</w:t>
            </w:r>
          </w:p>
        </w:tc>
        <w:tc>
          <w:tcPr>
            <w:tcW w:w="911" w:type="dxa"/>
            <w:noWrap w:val="0"/>
            <w:vAlign w:val="center"/>
          </w:tcPr>
          <w:p w14:paraId="6D04A5A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0C9EB17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完成目标</w:t>
            </w:r>
          </w:p>
        </w:tc>
        <w:tc>
          <w:tcPr>
            <w:tcW w:w="1189" w:type="dxa"/>
            <w:noWrap w:val="0"/>
            <w:vAlign w:val="center"/>
          </w:tcPr>
          <w:p w14:paraId="68C65FCE">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按上级下达任务　</w:t>
            </w:r>
          </w:p>
        </w:tc>
        <w:tc>
          <w:tcPr>
            <w:tcW w:w="1277" w:type="dxa"/>
            <w:noWrap w:val="0"/>
            <w:vAlign w:val="center"/>
          </w:tcPr>
          <w:p w14:paraId="66D4785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095" w:type="dxa"/>
            <w:noWrap w:val="0"/>
            <w:vAlign w:val="center"/>
          </w:tcPr>
          <w:p w14:paraId="20997BCF">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r w14:paraId="1763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jc w:val="center"/>
        </w:trPr>
        <w:tc>
          <w:tcPr>
            <w:tcW w:w="2567" w:type="dxa"/>
            <w:noWrap w:val="0"/>
            <w:vAlign w:val="center"/>
          </w:tcPr>
          <w:p w14:paraId="0C06BE16">
            <w:pPr>
              <w:pageBreakBefore w:val="0"/>
              <w:widowControl/>
              <w:overflowPunct/>
              <w:topLinePunct w:val="0"/>
              <w:bidi w:val="0"/>
              <w:spacing w:line="288" w:lineRule="auto"/>
              <w:jc w:val="left"/>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单位生产总值二氧化碳排放降低</w:t>
            </w:r>
          </w:p>
        </w:tc>
        <w:tc>
          <w:tcPr>
            <w:tcW w:w="911" w:type="dxa"/>
            <w:noWrap w:val="0"/>
            <w:vAlign w:val="center"/>
          </w:tcPr>
          <w:p w14:paraId="1AE8D162">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167" w:type="dxa"/>
            <w:noWrap w:val="0"/>
            <w:vAlign w:val="center"/>
          </w:tcPr>
          <w:p w14:paraId="7D504CCE">
            <w:pPr>
              <w:pageBreakBefore w:val="0"/>
              <w:widowControl/>
              <w:overflowPunct/>
              <w:topLinePunct w:val="0"/>
              <w:bidi w:val="0"/>
              <w:spacing w:line="288" w:lineRule="auto"/>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完成目标　</w:t>
            </w:r>
          </w:p>
        </w:tc>
        <w:tc>
          <w:tcPr>
            <w:tcW w:w="1189" w:type="dxa"/>
            <w:noWrap w:val="0"/>
            <w:vAlign w:val="center"/>
          </w:tcPr>
          <w:p w14:paraId="70D3CB31">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按上级下达任务</w:t>
            </w:r>
          </w:p>
        </w:tc>
        <w:tc>
          <w:tcPr>
            <w:tcW w:w="1277" w:type="dxa"/>
            <w:noWrap w:val="0"/>
            <w:vAlign w:val="center"/>
          </w:tcPr>
          <w:p w14:paraId="40916D65">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w:t>
            </w:r>
          </w:p>
        </w:tc>
        <w:tc>
          <w:tcPr>
            <w:tcW w:w="1095" w:type="dxa"/>
            <w:noWrap w:val="0"/>
            <w:vAlign w:val="center"/>
          </w:tcPr>
          <w:p w14:paraId="4CE72F03">
            <w:pPr>
              <w:pageBreakBefore w:val="0"/>
              <w:widowControl/>
              <w:overflowPunct/>
              <w:topLinePunct w:val="0"/>
              <w:bidi w:val="0"/>
              <w:spacing w:line="288" w:lineRule="auto"/>
              <w:jc w:val="center"/>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约束性</w:t>
            </w:r>
          </w:p>
        </w:tc>
      </w:tr>
    </w:tbl>
    <w:p w14:paraId="31D1479E">
      <w:pPr>
        <w:pageBreakBefore w:val="0"/>
        <w:widowControl/>
        <w:overflowPunct/>
        <w:topLinePunct w:val="0"/>
        <w:bidi w:val="0"/>
        <w:spacing w:line="288" w:lineRule="auto"/>
        <w:ind w:firstLine="210" w:firstLineChars="100"/>
        <w:jc w:val="left"/>
        <w:rPr>
          <w:rFonts w:hint="eastAsia" w:ascii="仿宋_GB2312" w:hAnsi="仿宋_GB2312" w:eastAsia="仿宋_GB2312" w:cs="仿宋_GB2312"/>
          <w:color w:val="000000" w:themeColor="text1"/>
          <w:kern w:val="0"/>
          <w:szCs w:val="21"/>
          <w:highlight w:val="none"/>
          <w14:textFill>
            <w14:solidFill>
              <w14:schemeClr w14:val="tx1"/>
            </w14:solidFill>
          </w14:textFill>
        </w:rPr>
      </w:pPr>
      <w:r>
        <w:rPr>
          <w:rFonts w:hint="eastAsia" w:ascii="仿宋_GB2312" w:hAnsi="仿宋_GB2312" w:eastAsia="仿宋_GB2312" w:cs="仿宋_GB2312"/>
          <w:color w:val="000000" w:themeColor="text1"/>
          <w:kern w:val="0"/>
          <w:szCs w:val="21"/>
          <w:highlight w:val="none"/>
          <w14:textFill>
            <w14:solidFill>
              <w14:schemeClr w14:val="tx1"/>
            </w14:solidFill>
          </w14:textFill>
        </w:rPr>
        <w:t>注：①地区生产总值、人均地区生产总值增速按不变价计算。</w:t>
      </w:r>
    </w:p>
    <w:p w14:paraId="3D695C25">
      <w:pPr>
        <w:pageBreakBefore w:val="0"/>
        <w:widowControl/>
        <w:tabs>
          <w:tab w:val="left" w:pos="291"/>
        </w:tabs>
        <w:overflowPunct/>
        <w:topLinePunct w:val="0"/>
        <w:bidi w:val="0"/>
        <w:spacing w:line="288" w:lineRule="auto"/>
        <w:ind w:firstLine="630" w:firstLineChars="300"/>
        <w:jc w:val="left"/>
        <w:rPr>
          <w:rFonts w:hint="eastAsia" w:ascii="仿宋_GB2312" w:hAnsi="仿宋_GB2312" w:eastAsia="仿宋_GB2312" w:cs="仿宋_GB2312"/>
          <w:color w:val="000000" w:themeColor="text1"/>
          <w:kern w:val="0"/>
          <w:szCs w:val="21"/>
          <w:highlight w:val="none"/>
          <w14:textFill>
            <w14:solidFill>
              <w14:schemeClr w14:val="tx1"/>
            </w14:solidFill>
          </w14:textFill>
        </w:rPr>
      </w:pPr>
      <w:r>
        <w:rPr>
          <w:rFonts w:hint="eastAsia" w:ascii="仿宋_GB2312" w:hAnsi="仿宋_GB2312" w:eastAsia="仿宋_GB2312" w:cs="仿宋_GB2312"/>
          <w:color w:val="000000" w:themeColor="text1"/>
          <w:kern w:val="0"/>
          <w:szCs w:val="21"/>
          <w:highlight w:val="none"/>
          <w14:textFill>
            <w14:solidFill>
              <w14:schemeClr w14:val="tx1"/>
            </w14:solidFill>
          </w14:textFill>
        </w:rPr>
        <w:t>②</w:t>
      </w:r>
      <w:r>
        <w:rPr>
          <w:rFonts w:hint="eastAsia" w:ascii="仿宋_GB2312" w:hAnsi="仿宋_GB2312" w:eastAsia="仿宋_GB2312" w:cs="仿宋_GB2312"/>
          <w:b w:val="0"/>
          <w:bCs w:val="0"/>
          <w:color w:val="000000" w:themeColor="text1"/>
          <w:kern w:val="0"/>
          <w:szCs w:val="21"/>
          <w:highlight w:val="none"/>
          <w14:textFill>
            <w14:solidFill>
              <w14:schemeClr w14:val="tx1"/>
            </w14:solidFill>
          </w14:textFill>
        </w:rPr>
        <w:t>[ ]</w:t>
      </w:r>
      <w:r>
        <w:rPr>
          <w:rFonts w:hint="eastAsia" w:ascii="仿宋_GB2312" w:hAnsi="仿宋_GB2312" w:eastAsia="仿宋_GB2312" w:cs="仿宋_GB2312"/>
          <w:color w:val="000000" w:themeColor="text1"/>
          <w:kern w:val="0"/>
          <w:szCs w:val="21"/>
          <w:highlight w:val="none"/>
          <w14:textFill>
            <w14:solidFill>
              <w14:schemeClr w14:val="tx1"/>
            </w14:solidFill>
          </w14:textFill>
        </w:rPr>
        <w:t>内为五年累计数。</w:t>
      </w:r>
    </w:p>
    <w:p w14:paraId="7149F48C">
      <w:pPr>
        <w:pStyle w:val="21"/>
        <w:rPr>
          <w:rFonts w:hint="eastAsia"/>
          <w:color w:val="000000" w:themeColor="text1"/>
          <w:sz w:val="16"/>
          <w:szCs w:val="16"/>
          <w:highlight w:val="none"/>
          <w14:textFill>
            <w14:solidFill>
              <w14:schemeClr w14:val="tx1"/>
            </w14:solidFill>
          </w14:textFill>
        </w:rPr>
      </w:pPr>
    </w:p>
    <w:p w14:paraId="1B0A9478">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br w:type="page"/>
      </w:r>
    </w:p>
    <w:p w14:paraId="37EA65C0">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color w:val="auto"/>
          <w:sz w:val="32"/>
          <w:szCs w:val="40"/>
          <w:lang w:val="en-US" w:eastAsia="zh-CN"/>
        </w:rPr>
      </w:pPr>
      <w:bookmarkStart w:id="16" w:name="_Toc597173120"/>
      <w:r>
        <w:rPr>
          <w:rFonts w:hint="eastAsia" w:ascii="黑体" w:hAnsi="黑体" w:eastAsia="黑体" w:cs="黑体"/>
          <w:color w:val="auto"/>
          <w:sz w:val="32"/>
          <w:szCs w:val="40"/>
          <w:lang w:val="en-US" w:eastAsia="zh-CN"/>
        </w:rPr>
        <w:t>加快建设现代化产业体系，巩固壮大实体经济根基</w:t>
      </w:r>
      <w:bookmarkEnd w:id="16"/>
    </w:p>
    <w:p w14:paraId="6B4DF063">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color w:val="auto"/>
          <w:lang w:val="en-US" w:eastAsia="zh-CN"/>
        </w:rPr>
      </w:pPr>
      <w:bookmarkStart w:id="17" w:name="_Toc291561487"/>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Hans"/>
        </w:rPr>
        <w:t>十五五”时期</w:t>
      </w:r>
      <w:r>
        <w:rPr>
          <w:rFonts w:hint="default"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val="en-US" w:eastAsia="zh-CN"/>
        </w:rPr>
        <w:t>突出“强工业”战略引领，以推动高质量发展为主题，统筹发展和安全，锚定实现新型工业化</w:t>
      </w:r>
      <w:r>
        <w:rPr>
          <w:rFonts w:hint="eastAsia" w:ascii="仿宋_GB2312" w:hAnsi="仿宋_GB2312" w:eastAsia="仿宋_GB2312" w:cs="仿宋_GB2312"/>
          <w:color w:val="auto"/>
          <w:sz w:val="32"/>
          <w:szCs w:val="32"/>
          <w:highlight w:val="none"/>
          <w:lang w:val="en-US" w:eastAsia="zh-Hans"/>
        </w:rPr>
        <w:t>的</w:t>
      </w:r>
      <w:r>
        <w:rPr>
          <w:rFonts w:hint="eastAsia" w:ascii="仿宋_GB2312" w:hAnsi="仿宋_GB2312" w:eastAsia="仿宋_GB2312" w:cs="仿宋_GB2312"/>
          <w:color w:val="auto"/>
          <w:sz w:val="32"/>
          <w:szCs w:val="32"/>
          <w:highlight w:val="none"/>
          <w:lang w:val="en-US" w:eastAsia="zh-CN"/>
        </w:rPr>
        <w:t>关键任务，坚持智能化、绿色化、融合化</w:t>
      </w:r>
      <w:r>
        <w:rPr>
          <w:rFonts w:hint="eastAsia" w:ascii="仿宋_GB2312" w:hAnsi="仿宋_GB2312" w:eastAsia="仿宋_GB2312" w:cs="仿宋_GB2312"/>
          <w:color w:val="auto"/>
          <w:sz w:val="32"/>
          <w:szCs w:val="32"/>
          <w:highlight w:val="none"/>
          <w:lang w:val="en-US" w:eastAsia="zh-Hans"/>
        </w:rPr>
        <w:t>发展</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lang w:eastAsia="zh-Hans"/>
        </w:rPr>
        <w:t>深入实施“</w:t>
      </w:r>
      <w:r>
        <w:rPr>
          <w:rFonts w:hint="eastAsia" w:ascii="仿宋_GB2312" w:hAnsi="仿宋_GB2312" w:eastAsia="仿宋_GB2312" w:cs="仿宋_GB2312"/>
          <w:color w:val="auto"/>
          <w:sz w:val="32"/>
          <w:szCs w:val="32"/>
        </w:rPr>
        <w:t>人工智能+</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rPr>
        <w:t>行动</w:t>
      </w:r>
      <w:r>
        <w:rPr>
          <w:rFonts w:hint="eastAsia" w:ascii="仿宋_GB2312" w:hAnsi="仿宋_GB2312" w:eastAsia="仿宋_GB2312" w:cs="仿宋_GB2312"/>
          <w:color w:val="auto"/>
          <w:sz w:val="32"/>
          <w:szCs w:val="32"/>
          <w:lang w:eastAsia="zh-Hans"/>
        </w:rPr>
        <w:t>和产业基础再造工程</w:t>
      </w:r>
      <w:r>
        <w:rPr>
          <w:rFonts w:hint="default"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lang w:eastAsia="zh-Hans"/>
        </w:rPr>
        <w:t>承接自治区和柳州市产业梯度转移</w:t>
      </w:r>
      <w:r>
        <w:rPr>
          <w:rFonts w:hint="default"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rPr>
        <w:t>提升产业链供应链韧性和安全水平</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highlight w:val="none"/>
          <w:lang w:eastAsia="zh-CN"/>
        </w:rPr>
        <w:t>持续强龙头、补链条、聚集群，</w:t>
      </w:r>
      <w:r>
        <w:rPr>
          <w:rFonts w:hint="eastAsia" w:ascii="仿宋_GB2312" w:hAnsi="仿宋_GB2312" w:eastAsia="仿宋_GB2312" w:cs="仿宋_GB2312"/>
          <w:color w:val="auto"/>
          <w:kern w:val="2"/>
          <w:sz w:val="32"/>
          <w:szCs w:val="32"/>
          <w:lang w:val="en-US" w:eastAsia="zh-CN" w:bidi="ar-SA"/>
        </w:rPr>
        <w:t>主动融入柳州“10+N”现代化工业体系</w:t>
      </w:r>
      <w:r>
        <w:rPr>
          <w:rFonts w:hint="eastAsia" w:ascii="仿宋_GB2312" w:hAnsi="仿宋_GB2312" w:eastAsia="仿宋_GB2312" w:cs="仿宋_GB2312"/>
          <w:color w:val="auto"/>
          <w:sz w:val="32"/>
          <w:szCs w:val="32"/>
          <w:highlight w:val="none"/>
          <w:lang w:val="en-US" w:eastAsia="zh-CN"/>
        </w:rPr>
        <w:t>，做强做优做大精细化工、金属精加工、</w:t>
      </w:r>
      <w:r>
        <w:rPr>
          <w:rFonts w:hint="default" w:ascii="仿宋_GB2312" w:hAnsi="仿宋_GB2312" w:eastAsia="仿宋_GB2312" w:cs="仿宋_GB2312"/>
          <w:color w:val="auto"/>
          <w:sz w:val="32"/>
          <w:szCs w:val="32"/>
          <w:highlight w:val="none"/>
          <w:lang w:eastAsia="zh-CN"/>
        </w:rPr>
        <w:t>食品医药（农产品加工）</w:t>
      </w:r>
      <w:r>
        <w:rPr>
          <w:rFonts w:hint="eastAsia" w:ascii="仿宋_GB2312" w:hAnsi="仿宋_GB2312" w:eastAsia="仿宋_GB2312" w:cs="仿宋_GB2312"/>
          <w:color w:val="auto"/>
          <w:sz w:val="32"/>
          <w:szCs w:val="32"/>
          <w:highlight w:val="none"/>
          <w:lang w:val="en-US" w:eastAsia="zh-CN"/>
        </w:rPr>
        <w:t>、木材加工四大</w:t>
      </w:r>
      <w:r>
        <w:rPr>
          <w:rFonts w:hint="eastAsia" w:ascii="仿宋_GB2312" w:hAnsi="仿宋_GB2312" w:eastAsia="仿宋_GB2312" w:cs="仿宋_GB2312"/>
          <w:color w:val="auto"/>
          <w:sz w:val="32"/>
          <w:szCs w:val="32"/>
          <w:highlight w:val="none"/>
          <w:lang w:val="en-US" w:eastAsia="zh-Hans"/>
        </w:rPr>
        <w:t>传统</w:t>
      </w:r>
      <w:r>
        <w:rPr>
          <w:rFonts w:hint="eastAsia" w:ascii="仿宋_GB2312" w:hAnsi="仿宋_GB2312" w:eastAsia="仿宋_GB2312" w:cs="仿宋_GB2312"/>
          <w:color w:val="auto"/>
          <w:sz w:val="32"/>
          <w:szCs w:val="32"/>
          <w:highlight w:val="none"/>
          <w:lang w:val="en-US" w:eastAsia="zh-CN"/>
        </w:rPr>
        <w:t>主导产业，培育壮大新兴产业，</w:t>
      </w:r>
      <w:r>
        <w:rPr>
          <w:rFonts w:hint="eastAsia" w:ascii="仿宋_GB2312" w:hAnsi="仿宋_GB2312" w:eastAsia="仿宋_GB2312" w:cs="仿宋_GB2312"/>
          <w:color w:val="auto"/>
          <w:sz w:val="32"/>
          <w:szCs w:val="32"/>
          <w:highlight w:val="none"/>
          <w:lang w:val="en-US" w:eastAsia="zh-Hans"/>
        </w:rPr>
        <w:t>提前</w:t>
      </w:r>
      <w:r>
        <w:rPr>
          <w:rFonts w:hint="eastAsia" w:ascii="仿宋_GB2312" w:hAnsi="仿宋_GB2312" w:eastAsia="仿宋_GB2312" w:cs="仿宋_GB2312"/>
          <w:color w:val="auto"/>
          <w:sz w:val="32"/>
          <w:szCs w:val="32"/>
          <w:highlight w:val="none"/>
          <w:lang w:val="en-US" w:eastAsia="zh-CN"/>
        </w:rPr>
        <w:t>布局未来产业，推动科技创新和产业创新深度融合，推动信息化和工业化深度融合，因地制宜发展新质生产力，加快构建具有核心竞争力的“4+2”现代化工业体系，着力稳增长、强创新、促融合、优治理、防风险，推动</w:t>
      </w:r>
      <w:r>
        <w:rPr>
          <w:rFonts w:hint="eastAsia" w:ascii="仿宋_GB2312" w:hAnsi="仿宋_GB2312" w:eastAsia="仿宋_GB2312" w:cs="仿宋_GB2312"/>
          <w:color w:val="auto"/>
          <w:sz w:val="32"/>
          <w:szCs w:val="32"/>
          <w:highlight w:val="none"/>
          <w:lang w:val="en-US" w:eastAsia="zh-Hans"/>
        </w:rPr>
        <w:t>柳城县</w:t>
      </w:r>
      <w:r>
        <w:rPr>
          <w:rFonts w:hint="eastAsia" w:ascii="仿宋_GB2312" w:hAnsi="仿宋_GB2312" w:eastAsia="仿宋_GB2312" w:cs="仿宋_GB2312"/>
          <w:color w:val="auto"/>
          <w:sz w:val="32"/>
          <w:szCs w:val="32"/>
          <w:highlight w:val="none"/>
          <w:lang w:val="en-US" w:eastAsia="zh-CN"/>
        </w:rPr>
        <w:t>工业经济实现质的有效提升和量的合理增长</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打造柳州工业高质量发展主要拓展区。</w:t>
      </w:r>
      <w:bookmarkEnd w:id="17"/>
    </w:p>
    <w:p w14:paraId="06314099">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color w:val="auto"/>
          <w:kern w:val="0"/>
          <w:sz w:val="32"/>
          <w:szCs w:val="32"/>
          <w:lang w:val="en-US" w:eastAsia="zh-Hans" w:bidi="ar-SA"/>
        </w:rPr>
      </w:pPr>
      <w:r>
        <w:rPr>
          <w:rFonts w:hint="eastAsia" w:ascii="楷体" w:hAnsi="楷体" w:eastAsia="楷体" w:cs="楷体"/>
          <w:b/>
          <w:bCs/>
          <w:color w:val="auto"/>
          <w:kern w:val="0"/>
          <w:sz w:val="32"/>
          <w:szCs w:val="32"/>
          <w:lang w:val="en-US" w:eastAsia="zh-CN" w:bidi="ar-SA"/>
        </w:rPr>
        <w:t>第一节 做强做优做大</w:t>
      </w:r>
      <w:r>
        <w:rPr>
          <w:rFonts w:hint="eastAsia" w:ascii="楷体" w:hAnsi="楷体" w:eastAsia="楷体" w:cs="楷体"/>
          <w:b/>
          <w:bCs/>
          <w:color w:val="auto"/>
          <w:kern w:val="0"/>
          <w:sz w:val="32"/>
          <w:szCs w:val="32"/>
          <w:lang w:val="en-US" w:eastAsia="zh-Hans" w:bidi="ar-SA"/>
        </w:rPr>
        <w:t>传统</w:t>
      </w:r>
      <w:r>
        <w:rPr>
          <w:rFonts w:hint="eastAsia" w:ascii="楷体" w:hAnsi="楷体" w:eastAsia="楷体" w:cs="楷体"/>
          <w:b/>
          <w:bCs/>
          <w:color w:val="auto"/>
          <w:kern w:val="0"/>
          <w:sz w:val="32"/>
          <w:szCs w:val="32"/>
          <w:lang w:val="en-US" w:eastAsia="zh-CN" w:bidi="ar-SA"/>
        </w:rPr>
        <w:t>支柱产业</w:t>
      </w:r>
      <w:r>
        <w:rPr>
          <w:rFonts w:hint="default" w:ascii="楷体" w:hAnsi="楷体" w:eastAsia="楷体" w:cs="楷体"/>
          <w:b/>
          <w:bCs/>
          <w:color w:val="auto"/>
          <w:kern w:val="0"/>
          <w:sz w:val="32"/>
          <w:szCs w:val="32"/>
          <w:lang w:val="en-US" w:eastAsia="zh-CN" w:bidi="ar-SA"/>
        </w:rPr>
        <w:t>，</w:t>
      </w:r>
      <w:r>
        <w:rPr>
          <w:rFonts w:hint="eastAsia" w:ascii="楷体" w:hAnsi="楷体" w:eastAsia="楷体" w:cs="楷体"/>
          <w:b/>
          <w:bCs/>
          <w:color w:val="auto"/>
          <w:kern w:val="0"/>
          <w:sz w:val="32"/>
          <w:szCs w:val="32"/>
          <w:lang w:val="en-US" w:eastAsia="zh-Hans" w:bidi="ar-SA"/>
        </w:rPr>
        <w:t>打造</w:t>
      </w:r>
      <w:r>
        <w:rPr>
          <w:rFonts w:hint="eastAsia" w:ascii="楷体" w:hAnsi="楷体" w:eastAsia="楷体" w:cs="楷体"/>
          <w:b/>
          <w:bCs/>
          <w:color w:val="auto"/>
          <w:kern w:val="0"/>
          <w:sz w:val="32"/>
          <w:szCs w:val="32"/>
          <w:lang w:val="en-US" w:eastAsia="zh-CN" w:bidi="ar-SA"/>
        </w:rPr>
        <w:t>“四个百亿”产业</w:t>
      </w:r>
      <w:r>
        <w:rPr>
          <w:rFonts w:hint="eastAsia" w:ascii="楷体" w:hAnsi="楷体" w:eastAsia="楷体" w:cs="楷体"/>
          <w:b/>
          <w:bCs/>
          <w:color w:val="auto"/>
          <w:kern w:val="0"/>
          <w:sz w:val="32"/>
          <w:szCs w:val="32"/>
          <w:lang w:val="en-US" w:eastAsia="zh-Hans" w:bidi="ar-SA"/>
        </w:rPr>
        <w:t>集群</w:t>
      </w:r>
    </w:p>
    <w:p w14:paraId="25C3218E">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聚焦</w:t>
      </w:r>
      <w:r>
        <w:rPr>
          <w:rFonts w:hint="eastAsia" w:ascii="仿宋_GB2312" w:hAnsi="仿宋_GB2312" w:eastAsia="仿宋_GB2312" w:cs="仿宋_GB2312"/>
          <w:b w:val="0"/>
          <w:bCs w:val="0"/>
          <w:color w:val="auto"/>
          <w:sz w:val="32"/>
          <w:szCs w:val="32"/>
          <w:highlight w:val="none"/>
          <w:lang w:val="en-US" w:eastAsia="zh-CN"/>
        </w:rPr>
        <w:t>精细化工、金属精加工、</w:t>
      </w:r>
      <w:r>
        <w:rPr>
          <w:rFonts w:hint="default" w:ascii="仿宋_GB2312" w:hAnsi="仿宋_GB2312" w:eastAsia="仿宋_GB2312" w:cs="仿宋_GB2312"/>
          <w:b w:val="0"/>
          <w:bCs w:val="0"/>
          <w:color w:val="auto"/>
          <w:sz w:val="32"/>
          <w:szCs w:val="32"/>
          <w:highlight w:val="none"/>
          <w:lang w:eastAsia="zh-CN"/>
        </w:rPr>
        <w:t>食品医药（农产品加工）</w:t>
      </w:r>
      <w:r>
        <w:rPr>
          <w:rFonts w:hint="eastAsia" w:ascii="仿宋_GB2312" w:hAnsi="仿宋_GB2312" w:eastAsia="仿宋_GB2312" w:cs="仿宋_GB2312"/>
          <w:b w:val="0"/>
          <w:bCs w:val="0"/>
          <w:color w:val="auto"/>
          <w:sz w:val="32"/>
          <w:szCs w:val="32"/>
          <w:highlight w:val="none"/>
          <w:lang w:val="en-US" w:eastAsia="zh-CN"/>
        </w:rPr>
        <w:t>、木材加工</w:t>
      </w:r>
      <w:r>
        <w:rPr>
          <w:rFonts w:hint="default" w:ascii="Times New Roman" w:hAnsi="Times New Roman" w:eastAsia="仿宋_GB2312" w:cs="Times New Roman"/>
          <w:color w:val="auto"/>
          <w:sz w:val="32"/>
          <w:szCs w:val="32"/>
          <w:highlight w:val="none"/>
          <w:lang w:val="en-US" w:eastAsia="zh-CN"/>
        </w:rPr>
        <w:t>四大</w:t>
      </w:r>
      <w:r>
        <w:rPr>
          <w:rFonts w:hint="eastAsia" w:ascii="Times New Roman" w:hAnsi="Times New Roman" w:eastAsia="仿宋_GB2312" w:cs="Times New Roman"/>
          <w:color w:val="auto"/>
          <w:sz w:val="32"/>
          <w:szCs w:val="32"/>
          <w:highlight w:val="none"/>
          <w:lang w:val="en-US" w:eastAsia="zh-Hans"/>
        </w:rPr>
        <w:t>传统支柱</w:t>
      </w:r>
      <w:r>
        <w:rPr>
          <w:rFonts w:hint="default" w:ascii="Times New Roman" w:hAnsi="Times New Roman" w:eastAsia="仿宋_GB2312" w:cs="Times New Roman"/>
          <w:color w:val="auto"/>
          <w:sz w:val="32"/>
          <w:szCs w:val="32"/>
          <w:highlight w:val="none"/>
          <w:lang w:val="en-US" w:eastAsia="zh-CN"/>
        </w:rPr>
        <w:t>产业，深化产业链协同，</w:t>
      </w:r>
      <w:r>
        <w:rPr>
          <w:rFonts w:hint="eastAsia" w:ascii="Times New Roman" w:hAnsi="Times New Roman" w:eastAsia="仿宋_GB2312" w:cs="Times New Roman"/>
          <w:color w:val="auto"/>
          <w:sz w:val="32"/>
          <w:szCs w:val="32"/>
          <w:highlight w:val="none"/>
          <w:lang w:eastAsia="zh-CN"/>
        </w:rPr>
        <w:t>构建“龙头引领、梯队协同、优势互补”的现代化产业集群发展新格局</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推动</w:t>
      </w:r>
      <w:r>
        <w:rPr>
          <w:rFonts w:hint="eastAsia" w:ascii="Times New Roman" w:hAnsi="Times New Roman" w:eastAsia="仿宋_GB2312" w:cs="Times New Roman"/>
          <w:color w:val="auto"/>
          <w:sz w:val="32"/>
          <w:szCs w:val="32"/>
          <w:highlight w:val="none"/>
          <w:lang w:val="en-US" w:eastAsia="zh-Hans"/>
        </w:rPr>
        <w:t>产</w:t>
      </w:r>
      <w:r>
        <w:rPr>
          <w:rFonts w:hint="default" w:ascii="Times New Roman" w:hAnsi="Times New Roman" w:eastAsia="仿宋_GB2312" w:cs="Times New Roman"/>
          <w:color w:val="auto"/>
          <w:sz w:val="32"/>
          <w:szCs w:val="32"/>
          <w:highlight w:val="none"/>
          <w:lang w:val="en-US" w:eastAsia="zh-CN"/>
        </w:rPr>
        <w:t>业转型升级</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Hans"/>
        </w:rPr>
        <w:t>高质量发展</w:t>
      </w:r>
      <w:r>
        <w:rPr>
          <w:rFonts w:hint="default" w:ascii="Times New Roman" w:hAnsi="Times New Roman" w:eastAsia="仿宋_GB2312" w:cs="Times New Roman"/>
          <w:color w:val="auto"/>
          <w:sz w:val="32"/>
          <w:szCs w:val="32"/>
          <w:highlight w:val="none"/>
          <w:lang w:eastAsia="zh-Hans"/>
        </w:rPr>
        <w:t>。</w:t>
      </w:r>
      <w:r>
        <w:rPr>
          <w:rFonts w:hint="eastAsia" w:ascii="仿宋_GB2312" w:hAnsi="仿宋_GB2312" w:eastAsia="仿宋_GB2312" w:cs="仿宋_GB2312"/>
          <w:color w:val="auto"/>
          <w:sz w:val="32"/>
          <w:szCs w:val="32"/>
          <w:highlight w:val="none"/>
          <w:lang w:val="en-US" w:eastAsia="zh-Hans"/>
        </w:rPr>
        <w:t>力争</w:t>
      </w:r>
      <w:r>
        <w:rPr>
          <w:rFonts w:hint="eastAsia" w:ascii="仿宋_GB2312" w:hAnsi="仿宋_GB2312" w:eastAsia="仿宋_GB2312" w:cs="仿宋_GB2312"/>
          <w:b w:val="0"/>
          <w:bCs w:val="0"/>
          <w:color w:val="auto"/>
          <w:sz w:val="32"/>
          <w:szCs w:val="32"/>
          <w:highlight w:val="none"/>
          <w:lang w:val="en-US" w:eastAsia="zh-CN"/>
        </w:rPr>
        <w:t>2030年</w:t>
      </w:r>
      <w:r>
        <w:rPr>
          <w:rFonts w:hint="default" w:ascii="Times New Roman" w:hAnsi="Times New Roman" w:eastAsia="仿宋_GB2312" w:cs="Times New Roman"/>
          <w:color w:val="auto"/>
          <w:sz w:val="32"/>
          <w:szCs w:val="32"/>
          <w:highlight w:val="none"/>
          <w:lang w:val="en-US" w:eastAsia="zh-CN"/>
        </w:rPr>
        <w:t>四大</w:t>
      </w:r>
      <w:r>
        <w:rPr>
          <w:rFonts w:hint="eastAsia" w:ascii="Times New Roman" w:hAnsi="Times New Roman" w:eastAsia="仿宋_GB2312" w:cs="Times New Roman"/>
          <w:color w:val="auto"/>
          <w:sz w:val="32"/>
          <w:szCs w:val="32"/>
          <w:highlight w:val="none"/>
          <w:lang w:val="en-US" w:eastAsia="zh-Hans"/>
        </w:rPr>
        <w:t>传统支柱</w:t>
      </w:r>
      <w:r>
        <w:rPr>
          <w:rFonts w:hint="default" w:ascii="Times New Roman" w:hAnsi="Times New Roman" w:eastAsia="仿宋_GB2312" w:cs="Times New Roman"/>
          <w:color w:val="auto"/>
          <w:sz w:val="32"/>
          <w:szCs w:val="32"/>
          <w:highlight w:val="none"/>
          <w:lang w:val="en-US" w:eastAsia="zh-CN"/>
        </w:rPr>
        <w:t>产业</w:t>
      </w:r>
      <w:r>
        <w:rPr>
          <w:rFonts w:hint="eastAsia" w:ascii="仿宋_GB2312" w:hAnsi="仿宋_GB2312" w:eastAsia="仿宋_GB2312" w:cs="仿宋_GB2312"/>
          <w:b w:val="0"/>
          <w:bCs w:val="0"/>
          <w:color w:val="auto"/>
          <w:sz w:val="32"/>
          <w:szCs w:val="32"/>
          <w:highlight w:val="none"/>
          <w:lang w:val="en-US" w:eastAsia="zh-CN"/>
        </w:rPr>
        <w:t>产值</w:t>
      </w:r>
      <w:r>
        <w:rPr>
          <w:rFonts w:hint="eastAsia" w:ascii="仿宋_GB2312" w:hAnsi="仿宋_GB2312" w:eastAsia="仿宋_GB2312" w:cs="仿宋_GB2312"/>
          <w:b w:val="0"/>
          <w:bCs w:val="0"/>
          <w:color w:val="auto"/>
          <w:sz w:val="32"/>
          <w:szCs w:val="32"/>
          <w:highlight w:val="none"/>
          <w:lang w:val="en-US" w:eastAsia="zh-Hans"/>
        </w:rPr>
        <w:t>均</w:t>
      </w:r>
      <w:r>
        <w:rPr>
          <w:rFonts w:hint="eastAsia" w:ascii="仿宋_GB2312" w:hAnsi="仿宋_GB2312" w:eastAsia="仿宋_GB2312" w:cs="仿宋_GB2312"/>
          <w:b w:val="0"/>
          <w:bCs w:val="0"/>
          <w:color w:val="auto"/>
          <w:sz w:val="32"/>
          <w:szCs w:val="32"/>
          <w:highlight w:val="none"/>
          <w:lang w:val="en-US" w:eastAsia="zh-CN"/>
        </w:rPr>
        <w:t>突破100亿元。</w:t>
      </w:r>
    </w:p>
    <w:p w14:paraId="25A56379">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精细化工产业。</w:t>
      </w:r>
      <w:r>
        <w:rPr>
          <w:rFonts w:hint="eastAsia" w:ascii="仿宋_GB2312" w:hAnsi="仿宋_GB2312" w:eastAsia="仿宋_GB2312" w:cs="仿宋_GB2312"/>
          <w:color w:val="000000" w:themeColor="text1"/>
          <w:sz w:val="32"/>
          <w:szCs w:val="32"/>
          <w:highlight w:val="none"/>
          <w14:textFill>
            <w14:solidFill>
              <w14:schemeClr w14:val="tx1"/>
            </w14:solidFill>
          </w14:textFill>
        </w:rPr>
        <w:t>以六塘精细化工产业园为核心载体，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扩大园区企业优势产能，加快企业发展。瞄准柳州新能源汽车、电子信息产业配套需求，重点发展电子级磷酸等特色产品，填补区域产业链空白</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提升电子级磷酸产能，拓展欧美市场出口份额</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打造国内领先的电子级磷酸生产基地</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推动化工企业实施技术改造，优化生产工艺，降低能耗与污染物排放，实现“传统化工”向“绿色化工”转型。以“强链补链延链”为核心，大力发展医</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中间体、农药中间体、高性能涂料等高端产品</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围绕产业链图谱开展精准招商，引入企业、链主企业与配套项目，形成集群效应。</w:t>
      </w:r>
    </w:p>
    <w:tbl>
      <w:tblPr>
        <w:tblStyle w:val="17"/>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5"/>
      </w:tblGrid>
      <w:tr w14:paraId="5737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5" w:type="dxa"/>
          </w:tcPr>
          <w:p w14:paraId="10D53EFF">
            <w:pPr>
              <w:pStyle w:val="37"/>
              <w:pageBreakBefore w:val="0"/>
              <w:overflowPunct/>
              <w:topLinePunct w:val="0"/>
              <w:bidi w:val="0"/>
              <w:spacing w:line="288" w:lineRule="auto"/>
              <w:rPr>
                <w:rFonts w:hint="default" w:eastAsia="方正小标宋简体"/>
                <w:color w:val="auto"/>
                <w:highlight w:val="none"/>
                <w:lang w:val="en-US" w:eastAsia="zh-CN"/>
              </w:rPr>
            </w:pPr>
            <w:r>
              <w:rPr>
                <w:rFonts w:hint="eastAsia" w:ascii="黑体" w:hAnsi="黑体" w:eastAsia="黑体" w:cs="黑体"/>
                <w:color w:val="auto"/>
                <w:highlight w:val="none"/>
              </w:rPr>
              <w:t>专栏</w:t>
            </w:r>
            <w:r>
              <w:rPr>
                <w:rFonts w:hint="eastAsia" w:ascii="黑体" w:hAnsi="黑体" w:eastAsia="黑体" w:cs="黑体"/>
                <w:color w:val="auto"/>
                <w:highlight w:val="none"/>
                <w:lang w:val="en-US" w:eastAsia="zh-CN"/>
              </w:rPr>
              <w:t>1</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Hans"/>
              </w:rPr>
              <w:t>精细化工产业</w:t>
            </w:r>
            <w:r>
              <w:rPr>
                <w:rFonts w:hint="eastAsia" w:ascii="黑体" w:hAnsi="黑体" w:eastAsia="黑体" w:cs="黑体"/>
                <w:color w:val="auto"/>
                <w:highlight w:val="none"/>
                <w:lang w:val="en-US" w:eastAsia="zh-CN"/>
              </w:rPr>
              <w:t>重</w:t>
            </w:r>
            <w:r>
              <w:rPr>
                <w:rFonts w:hint="eastAsia" w:ascii="黑体" w:hAnsi="黑体" w:eastAsia="黑体" w:cs="黑体"/>
                <w:color w:val="auto"/>
                <w:highlight w:val="none"/>
                <w:lang w:val="en-US" w:eastAsia="zh-Hans"/>
              </w:rPr>
              <w:t>点</w:t>
            </w:r>
            <w:r>
              <w:rPr>
                <w:rFonts w:hint="eastAsia" w:ascii="黑体" w:hAnsi="黑体" w:eastAsia="黑体" w:cs="黑体"/>
                <w:color w:val="auto"/>
                <w:highlight w:val="none"/>
                <w:lang w:val="en-US" w:eastAsia="zh-CN"/>
              </w:rPr>
              <w:t>项目</w:t>
            </w:r>
          </w:p>
        </w:tc>
      </w:tr>
      <w:tr w14:paraId="2428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5" w:type="dxa"/>
          </w:tcPr>
          <w:p w14:paraId="4BF2F295">
            <w:pPr>
              <w:pStyle w:val="38"/>
              <w:pageBreakBefore w:val="0"/>
              <w:numPr>
                <w:ilvl w:val="0"/>
                <w:numId w:val="0"/>
              </w:numPr>
              <w:overflowPunct/>
              <w:topLinePunct w:val="0"/>
              <w:bidi w:val="0"/>
              <w:spacing w:line="288" w:lineRule="auto"/>
              <w:ind w:firstLine="480" w:firstLineChars="200"/>
              <w:rPr>
                <w:rFonts w:hint="eastAsia" w:eastAsia="仿宋_GB2312"/>
                <w:color w:val="auto"/>
                <w:highlight w:val="none"/>
                <w:lang w:val="en-US" w:eastAsia="zh-CN"/>
              </w:rPr>
            </w:pPr>
            <w:r>
              <w:rPr>
                <w:rFonts w:hint="eastAsia"/>
                <w:color w:val="auto"/>
                <w:highlight w:val="none"/>
                <w:lang w:val="en-US" w:eastAsia="zh-CN"/>
              </w:rPr>
              <w:t>1.</w:t>
            </w:r>
            <w:r>
              <w:rPr>
                <w:rFonts w:hint="eastAsia" w:eastAsia="仿宋_GB2312"/>
                <w:color w:val="auto"/>
                <w:highlight w:val="none"/>
                <w:lang w:val="en-US" w:eastAsia="zh-CN"/>
              </w:rPr>
              <w:t>广西顺安绿色农用化学品及配套加工中心项目</w:t>
            </w:r>
            <w:r>
              <w:rPr>
                <w:rFonts w:hint="eastAsia" w:eastAsia="仿宋_GB2312"/>
                <w:color w:val="auto"/>
                <w:highlight w:val="none"/>
                <w:lang w:val="en-US" w:eastAsia="zh-CN"/>
              </w:rPr>
              <w:br w:type="textWrapping"/>
            </w:r>
            <w:r>
              <w:rPr>
                <w:rFonts w:hint="eastAsia"/>
                <w:color w:val="auto"/>
                <w:highlight w:val="none"/>
                <w:lang w:val="en-US" w:eastAsia="zh-CN"/>
              </w:rPr>
              <w:t xml:space="preserve">    </w:t>
            </w:r>
            <w:r>
              <w:rPr>
                <w:rFonts w:hint="eastAsia" w:eastAsia="仿宋_GB2312"/>
                <w:color w:val="auto"/>
                <w:highlight w:val="none"/>
                <w:lang w:val="en-US" w:eastAsia="zh-CN"/>
              </w:rPr>
              <w:t>项目位于六塘片区，建设用地约170亩，建设年产20万吨控释新型肥料及农药颗粒剂；建设毒氟磷原药合成生产车间、农药试剂加工项目。</w:t>
            </w:r>
          </w:p>
          <w:p w14:paraId="0CB0BFA6">
            <w:pPr>
              <w:pStyle w:val="38"/>
              <w:pageBreakBefore w:val="0"/>
              <w:overflowPunct/>
              <w:topLinePunct w:val="0"/>
              <w:bidi w:val="0"/>
              <w:spacing w:line="288" w:lineRule="auto"/>
              <w:ind w:firstLine="480"/>
              <w:rPr>
                <w:rFonts w:hint="eastAsia"/>
                <w:b w:val="0"/>
                <w:bCs w:val="0"/>
                <w:color w:val="auto"/>
                <w:highlight w:val="none"/>
              </w:rPr>
            </w:pPr>
            <w:r>
              <w:rPr>
                <w:rFonts w:hint="eastAsia"/>
                <w:b w:val="0"/>
                <w:bCs w:val="0"/>
                <w:color w:val="auto"/>
                <w:highlight w:val="none"/>
              </w:rPr>
              <w:t>2.年产150吨高纯材料技改项目二期</w:t>
            </w:r>
          </w:p>
          <w:p w14:paraId="7C93D070">
            <w:pPr>
              <w:pStyle w:val="38"/>
              <w:pageBreakBefore w:val="0"/>
              <w:overflowPunct/>
              <w:topLinePunct w:val="0"/>
              <w:bidi w:val="0"/>
              <w:spacing w:line="288" w:lineRule="auto"/>
              <w:ind w:firstLine="480"/>
              <w:rPr>
                <w:rFonts w:hint="eastAsia"/>
                <w:b w:val="0"/>
                <w:bCs w:val="0"/>
                <w:color w:val="auto"/>
                <w:highlight w:val="none"/>
              </w:rPr>
            </w:pPr>
            <w:r>
              <w:rPr>
                <w:rFonts w:hint="eastAsia"/>
                <w:b w:val="0"/>
                <w:bCs w:val="0"/>
                <w:color w:val="auto"/>
                <w:highlight w:val="none"/>
              </w:rPr>
              <w:t>项目位于六塘片区，拟通过厂区原有闲置工业用地建设，项目占地约40亩，建设2栋厂房及洁净装修、设备购置等，建成高纯硒、高纯碲化镉、高纯锡、高纯锌、高纯银、硅镓粉、高纯硫化镉、超高纯镓、其他化合物等9条生产线，合计年产能150吨。</w:t>
            </w:r>
          </w:p>
          <w:p w14:paraId="12E79BCB">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3.新建1600t/a 生物驱虫原料药生产项目</w:t>
            </w:r>
          </w:p>
          <w:p w14:paraId="3E536EEA">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项目总投资2亿元。项目坐落于柳城县工业区六塘片区，占地面积约43333.55平方米。厂区建设有多个功能车间及2个符合国家药品认证的GMP精烘包车间，配备有环保设备、锅炉、冷冻设备、反应釜设备及质检中心等配套设施。</w:t>
            </w:r>
          </w:p>
          <w:p w14:paraId="010E0B4B">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4.年处理量10万吨铝灰项目</w:t>
            </w:r>
          </w:p>
          <w:p w14:paraId="45D7912C">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项目入驻六塘片区，总占地面积为40亩，建筑面积约13048平方米，建设年处理量10万吨铝灰项目。</w:t>
            </w:r>
          </w:p>
          <w:p w14:paraId="22E6AFDD">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5.硫酸钾和复合肥项目</w:t>
            </w:r>
          </w:p>
          <w:p w14:paraId="750979CF">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该项目计划总投资10亿元，其中固定资产投资8亿元，流动资金2亿元，拟占地200亩，分两期建设。一期项目建设规模为硫酸钾10万吨/年，复合肥20万吨/年；二期项目建设规模为熔盐级硝酸钾和农业硝酸钾10万吨/年，熔盐级硝酸钠2万吨/年，硝酸15万吨/年，硝酸铵钙10万吨/年，精制硫酸钙8万吨/年，工业氯化钠8万吨/年，碳酸钾2万吨/年。</w:t>
            </w:r>
          </w:p>
          <w:p w14:paraId="3A6D9906">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6.氯碱产业链发展项目</w:t>
            </w:r>
          </w:p>
          <w:p w14:paraId="75C6FAD0">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项目意向地点位于柳城县，项目总投资2亿元，预计形成产值5亿元。生产有机过氧化物项目，产品主要用于高分子聚合反应中作引发剂、交联剂。</w:t>
            </w:r>
          </w:p>
          <w:p w14:paraId="108791E9">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7.年产5万吨农药中间体项目</w:t>
            </w:r>
          </w:p>
          <w:p w14:paraId="097AE267">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项目拟入驻六塘片区，建设用地约40亩，建设新型农药生产线，配套环保系统、供配电系统等基础配套设施。</w:t>
            </w:r>
          </w:p>
          <w:p w14:paraId="51C44112">
            <w:pPr>
              <w:pStyle w:val="38"/>
              <w:pageBreakBefore w:val="0"/>
              <w:overflowPunct/>
              <w:topLinePunct w:val="0"/>
              <w:bidi w:val="0"/>
              <w:spacing w:line="288" w:lineRule="auto"/>
              <w:ind w:firstLine="480"/>
              <w:rPr>
                <w:rFonts w:hint="eastAsia"/>
                <w:color w:val="auto"/>
                <w:highlight w:val="none"/>
                <w:lang w:val="en-US" w:eastAsia="zh-CN"/>
              </w:rPr>
            </w:pPr>
            <w:r>
              <w:rPr>
                <w:rFonts w:hint="eastAsia"/>
                <w:color w:val="auto"/>
                <w:highlight w:val="none"/>
                <w:lang w:val="en-US" w:eastAsia="zh-CN"/>
              </w:rPr>
              <w:t>8.农药中间体项目（东化）</w:t>
            </w:r>
          </w:p>
          <w:p w14:paraId="0A0F2E0F">
            <w:pPr>
              <w:pStyle w:val="38"/>
              <w:pageBreakBefore w:val="0"/>
              <w:overflowPunct/>
              <w:topLinePunct w:val="0"/>
              <w:bidi w:val="0"/>
              <w:spacing w:line="288" w:lineRule="auto"/>
              <w:ind w:firstLine="480"/>
              <w:rPr>
                <w:rFonts w:hint="default"/>
                <w:color w:val="auto"/>
                <w:highlight w:val="none"/>
                <w:lang w:val="en-US" w:eastAsia="zh-CN"/>
              </w:rPr>
            </w:pPr>
            <w:r>
              <w:rPr>
                <w:rFonts w:hint="default"/>
                <w:color w:val="auto"/>
                <w:highlight w:val="none"/>
                <w:lang w:val="en-US" w:eastAsia="zh-CN"/>
              </w:rPr>
              <w:t>项目拟入六塘片区，建设用地约30亩，新建一条农药中间体生产线车间及配套相关供配电、罐区、仓库、供水、供电、供</w:t>
            </w:r>
            <w:r>
              <w:rPr>
                <w:rFonts w:hint="eastAsia"/>
                <w:color w:val="auto"/>
                <w:highlight w:val="none"/>
                <w:lang w:val="en-US" w:eastAsia="zh-CN"/>
              </w:rPr>
              <w:t>气</w:t>
            </w:r>
            <w:r>
              <w:rPr>
                <w:rFonts w:hint="default"/>
                <w:color w:val="auto"/>
                <w:highlight w:val="none"/>
                <w:lang w:val="en-US" w:eastAsia="zh-CN"/>
              </w:rPr>
              <w:t>等公用工程建构筑物。</w:t>
            </w:r>
          </w:p>
        </w:tc>
      </w:tr>
    </w:tbl>
    <w:p w14:paraId="4A81D124">
      <w:pPr>
        <w:pStyle w:val="21"/>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eastAsia"/>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金属精加工产业。</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围绕“</w:t>
      </w:r>
      <w:r>
        <w:rPr>
          <w:rFonts w:hint="eastAsia" w:ascii="仿宋_GB2312" w:hAnsi="仿宋_GB2312" w:eastAsia="仿宋_GB2312" w:cs="仿宋_GB2312"/>
          <w:color w:val="000000" w:themeColor="text1"/>
          <w:sz w:val="32"/>
          <w:szCs w:val="32"/>
          <w:highlight w:val="none"/>
          <w14:textFill>
            <w14:solidFill>
              <w14:schemeClr w14:val="tx1"/>
            </w14:solidFill>
          </w14:textFill>
        </w:rPr>
        <w:t>废旧金属回收—炼钢—轧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76DCAE5">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textAlignment w:val="auto"/>
        <w:rPr>
          <w:rFonts w:hint="default"/>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拉丝</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highlight w:val="none"/>
          <w14:textFill>
            <w14:solidFill>
              <w14:schemeClr w14:val="tx1"/>
            </w14:solidFill>
          </w14:textFill>
        </w:rPr>
        <w:t>紧固件制造</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”产业链闭环，打造</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柳州金属配套产业核心承载区</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推动炼钢、轧制环节发展，</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建设特种钢冶炼与轧钢拉丝一体化基地。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推动企业实施技术改造</w:t>
      </w:r>
      <w:r>
        <w:rPr>
          <w:rFonts w:hint="eastAsia" w:ascii="仿宋_GB2312" w:hAnsi="仿宋_GB2312" w:eastAsia="仿宋_GB2312" w:cs="仿宋_GB2312"/>
          <w:color w:val="000000" w:themeColor="text1"/>
          <w:sz w:val="32"/>
          <w:szCs w:val="32"/>
          <w:highlight w:val="none"/>
          <w14:textFill>
            <w14:solidFill>
              <w14:schemeClr w14:val="tx1"/>
            </w14:solidFill>
          </w14:textFill>
        </w:rPr>
        <w:t>，新增自动化冷镦设备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引进智能化分拣设备，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扩大加工产能。大力</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发展钢结构等细分领域</w:t>
      </w:r>
      <w:r>
        <w:rPr>
          <w:rFonts w:hint="eastAsia" w:ascii="仿宋_GB2312" w:hAnsi="仿宋_GB2312" w:eastAsia="仿宋_GB2312" w:cs="仿宋_GB2312"/>
          <w:b w:val="0"/>
          <w:bCs w:val="0"/>
          <w:color w:val="000000" w:themeColor="text1"/>
          <w:sz w:val="32"/>
          <w:szCs w:val="32"/>
          <w:highlight w:val="none"/>
          <w:lang w:val="en-US" w:eastAsia="zh-Hans"/>
          <w14:textFill>
            <w14:solidFill>
              <w14:schemeClr w14:val="tx1"/>
            </w14:solidFill>
          </w14:textFill>
        </w:rPr>
        <w:t>产业</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加快林业机械智造产业园基础设施建设。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强化产业协同，形成</w:t>
      </w:r>
      <w:r>
        <w:rPr>
          <w:rFonts w:hint="eastAsia" w:ascii="仿宋_GB2312" w:hAnsi="仿宋_GB2312" w:eastAsia="仿宋_GB2312" w:cs="仿宋_GB2312"/>
          <w:color w:val="000000" w:themeColor="text1"/>
          <w:sz w:val="32"/>
          <w:szCs w:val="32"/>
          <w:highlight w:val="none"/>
          <w14:textFill>
            <w14:solidFill>
              <w14:schemeClr w14:val="tx1"/>
            </w14:solidFill>
          </w14:textFill>
        </w:rPr>
        <w:t>废旧金属直供冶炼</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和轧制</w:t>
      </w:r>
      <w:r>
        <w:rPr>
          <w:rFonts w:hint="eastAsia" w:ascii="仿宋_GB2312" w:hAnsi="仿宋_GB2312" w:eastAsia="仿宋_GB2312" w:cs="仿宋_GB2312"/>
          <w:color w:val="000000" w:themeColor="text1"/>
          <w:sz w:val="32"/>
          <w:szCs w:val="32"/>
          <w:highlight w:val="none"/>
          <w14:textFill>
            <w14:solidFill>
              <w14:schemeClr w14:val="tx1"/>
            </w14:solidFill>
          </w14:textFill>
        </w:rPr>
        <w:t>环节，降低运输损耗与采购成本。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推动产品创新，</w:t>
      </w:r>
      <w:r>
        <w:rPr>
          <w:rFonts w:hint="eastAsia" w:ascii="仿宋_GB2312" w:hAnsi="仿宋_GB2312" w:eastAsia="仿宋_GB2312" w:cs="仿宋_GB2312"/>
          <w:color w:val="000000" w:themeColor="text1"/>
          <w:sz w:val="32"/>
          <w:szCs w:val="32"/>
          <w:highlight w:val="none"/>
          <w14:textFill>
            <w14:solidFill>
              <w14:schemeClr w14:val="tx1"/>
            </w14:solidFill>
          </w14:textFill>
        </w:rPr>
        <w:t>生产抗菌不锈钢、高强度汽车用钢、镍基双相钢，适配紧固件冷镦成型需求。</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利用4栋超40000平方米的多层标准厂房，</w:t>
      </w:r>
      <w:r>
        <w:rPr>
          <w:rFonts w:hint="eastAsia" w:ascii="仿宋_GB2312" w:hAnsi="仿宋_GB2312" w:eastAsia="仿宋_GB2312" w:cs="仿宋_GB2312"/>
          <w:color w:val="000000" w:themeColor="text1"/>
          <w:sz w:val="32"/>
          <w:szCs w:val="32"/>
          <w:highlight w:val="none"/>
          <w14:textFill>
            <w14:solidFill>
              <w14:schemeClr w14:val="tx1"/>
            </w14:solidFill>
          </w14:textFill>
        </w:rPr>
        <w:t>招商引资紧固件企业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进驻园区</w:t>
      </w:r>
      <w:r>
        <w:rPr>
          <w:rFonts w:hint="eastAsia" w:ascii="仿宋_GB2312" w:hAnsi="仿宋_GB2312" w:eastAsia="仿宋_GB2312" w:cs="仿宋_GB2312"/>
          <w:color w:val="000000" w:themeColor="text1"/>
          <w:sz w:val="32"/>
          <w:szCs w:val="32"/>
          <w:highlight w:val="none"/>
          <w14:textFill>
            <w14:solidFill>
              <w14:schemeClr w14:val="tx1"/>
            </w14:solidFill>
          </w14:textFill>
        </w:rPr>
        <w:t>，建设高强度螺栓、新能源</w:t>
      </w:r>
      <w:r>
        <w:rPr>
          <w:rFonts w:hint="eastAsia" w:ascii="仿宋" w:hAnsi="仿宋" w:eastAsia="仿宋" w:cs="仿宋"/>
          <w:color w:val="000000" w:themeColor="text1"/>
          <w:sz w:val="32"/>
          <w:szCs w:val="32"/>
          <w:highlight w:val="none"/>
          <w14:textFill>
            <w14:solidFill>
              <w14:schemeClr w14:val="tx1"/>
            </w14:solidFill>
          </w14:textFill>
        </w:rPr>
        <w:t>汽车专用紧固件生产线。</w:t>
      </w:r>
      <w:r>
        <w:rPr>
          <w:rFonts w:hint="eastAsia" w:ascii="仿宋" w:hAnsi="仿宋" w:eastAsia="仿宋" w:cs="仿宋"/>
          <w:color w:val="000000" w:themeColor="text1"/>
          <w:sz w:val="32"/>
          <w:szCs w:val="32"/>
          <w:highlight w:val="none"/>
          <w:lang w:val="en-US" w:eastAsia="zh-CN"/>
          <w14:textFill>
            <w14:solidFill>
              <w14:schemeClr w14:val="tx1"/>
            </w14:solidFill>
          </w14:textFill>
        </w:rPr>
        <w:t>利用</w:t>
      </w:r>
      <w:r>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t>冷镦模业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为技术，引进其他模具企业，</w:t>
      </w:r>
      <w:r>
        <w:rPr>
          <w:rFonts w:hint="eastAsia" w:ascii="仿宋" w:hAnsi="仿宋" w:eastAsia="仿宋" w:cs="仿宋"/>
          <w:color w:val="000000" w:themeColor="text1"/>
          <w:sz w:val="32"/>
          <w:szCs w:val="32"/>
          <w:highlight w:val="none"/>
          <w14:textFill>
            <w14:solidFill>
              <w14:schemeClr w14:val="tx1"/>
            </w14:solidFill>
          </w14:textFill>
        </w:rPr>
        <w:t>形成“龙头+配套”格局。</w:t>
      </w:r>
      <w:r>
        <w:rPr>
          <w:rFonts w:hint="eastAsia" w:ascii="仿宋" w:hAnsi="仿宋" w:eastAsia="仿宋" w:cs="仿宋"/>
          <w:color w:val="000000" w:themeColor="text1"/>
          <w:sz w:val="32"/>
          <w:szCs w:val="32"/>
          <w:highlight w:val="none"/>
          <w:lang w:eastAsia="zh-Hans"/>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“强链补链延链”</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策略</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引入供应链金融机构，提供订单融资、仓单质押服务</w:t>
      </w:r>
      <w:r>
        <w:rPr>
          <w:rFonts w:hint="default"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搭建金属制品交易平台，整合产业链采购需求，加强与物流集团合作，降低</w:t>
      </w:r>
      <w:r>
        <w:rPr>
          <w:rFonts w:hint="eastAsia" w:ascii="仿宋_GB2312" w:hAnsi="仿宋_GB2312" w:eastAsia="仿宋_GB2312" w:cs="仿宋_GB2312"/>
          <w:b w:val="0"/>
          <w:bCs w:val="0"/>
          <w:color w:val="000000" w:themeColor="text1"/>
          <w:sz w:val="32"/>
          <w:szCs w:val="32"/>
          <w:highlight w:val="none"/>
          <w:lang w:val="en-US" w:eastAsia="zh-Hans"/>
          <w14:textFill>
            <w14:solidFill>
              <w14:schemeClr w14:val="tx1"/>
            </w14:solidFill>
          </w14:textFill>
        </w:rPr>
        <w:t>物</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流成本</w:t>
      </w:r>
      <w:r>
        <w:rPr>
          <w:rFonts w:hint="default"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形成生产</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加工</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制造</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物流</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销售一体化</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推动</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金属精加工产业</w:t>
      </w:r>
      <w:r>
        <w:rPr>
          <w:rFonts w:hint="eastAsia" w:ascii="仿宋_GB2312" w:hAnsi="仿宋_GB2312" w:eastAsia="仿宋_GB2312" w:cs="仿宋_GB2312"/>
          <w:b w:val="0"/>
          <w:bCs w:val="0"/>
          <w:color w:val="000000" w:themeColor="text1"/>
          <w:sz w:val="32"/>
          <w:szCs w:val="32"/>
          <w:highlight w:val="none"/>
          <w:lang w:val="en-US" w:eastAsia="zh-Hans"/>
          <w14:textFill>
            <w14:solidFill>
              <w14:schemeClr w14:val="tx1"/>
            </w14:solidFill>
          </w14:textFill>
        </w:rPr>
        <w:t>加快发展步伐</w:t>
      </w:r>
      <w:r>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w:t>
      </w:r>
    </w:p>
    <w:tbl>
      <w:tblPr>
        <w:tblStyle w:val="17"/>
        <w:tblW w:w="8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6"/>
      </w:tblGrid>
      <w:tr w14:paraId="41BF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6" w:type="dxa"/>
          </w:tcPr>
          <w:p w14:paraId="7AEAC12A">
            <w:pPr>
              <w:pStyle w:val="37"/>
              <w:pageBreakBefore w:val="0"/>
              <w:wordWrap/>
              <w:overflowPunct/>
              <w:topLinePunct w:val="0"/>
              <w:bidi w:val="0"/>
              <w:spacing w:line="560" w:lineRule="exact"/>
              <w:rPr>
                <w:color w:val="auto"/>
                <w:highlight w:val="none"/>
              </w:rPr>
            </w:pPr>
            <w:r>
              <w:rPr>
                <w:rFonts w:hint="eastAsia" w:ascii="黑体" w:hAnsi="黑体" w:eastAsia="黑体" w:cs="黑体"/>
                <w:b w:val="0"/>
                <w:bCs w:val="0"/>
                <w:color w:val="auto"/>
                <w:highlight w:val="none"/>
              </w:rPr>
              <w:t>专栏</w:t>
            </w:r>
            <w:r>
              <w:rPr>
                <w:rFonts w:hint="eastAsia" w:ascii="黑体" w:hAnsi="黑体" w:eastAsia="黑体" w:cs="黑体"/>
                <w:b w:val="0"/>
                <w:bCs w:val="0"/>
                <w:color w:val="auto"/>
                <w:highlight w:val="none"/>
                <w:lang w:val="en-US" w:eastAsia="zh-CN"/>
              </w:rPr>
              <w:t>2</w:t>
            </w:r>
            <w:r>
              <w:rPr>
                <w:rFonts w:hint="eastAsia" w:ascii="黑体" w:hAnsi="黑体" w:eastAsia="黑体" w:cs="黑体"/>
                <w:b w:val="0"/>
                <w:bCs w:val="0"/>
                <w:color w:val="auto"/>
                <w:highlight w:val="none"/>
              </w:rPr>
              <w:t>：</w:t>
            </w:r>
            <w:r>
              <w:rPr>
                <w:rFonts w:hint="eastAsia" w:ascii="黑体" w:hAnsi="黑体" w:eastAsia="黑体" w:cs="黑体"/>
                <w:b w:val="0"/>
                <w:bCs w:val="0"/>
                <w:color w:val="auto"/>
                <w:highlight w:val="none"/>
                <w:lang w:val="en-US" w:eastAsia="zh-CN"/>
              </w:rPr>
              <w:t>金属精加工产业</w:t>
            </w:r>
            <w:r>
              <w:rPr>
                <w:rFonts w:hint="eastAsia" w:ascii="黑体" w:hAnsi="黑体" w:eastAsia="黑体" w:cs="黑体"/>
                <w:b w:val="0"/>
                <w:bCs w:val="0"/>
                <w:color w:val="auto"/>
                <w:highlight w:val="none"/>
              </w:rPr>
              <w:t>重</w:t>
            </w:r>
            <w:r>
              <w:rPr>
                <w:rFonts w:hint="eastAsia" w:ascii="黑体" w:hAnsi="黑体" w:eastAsia="黑体" w:cs="黑体"/>
                <w:b w:val="0"/>
                <w:bCs w:val="0"/>
                <w:color w:val="auto"/>
                <w:highlight w:val="none"/>
                <w:lang w:eastAsia="zh-Hans"/>
              </w:rPr>
              <w:t>点</w:t>
            </w:r>
            <w:r>
              <w:rPr>
                <w:rFonts w:hint="eastAsia" w:ascii="黑体" w:hAnsi="黑体" w:eastAsia="黑体" w:cs="黑体"/>
                <w:b w:val="0"/>
                <w:bCs w:val="0"/>
                <w:color w:val="auto"/>
                <w:highlight w:val="none"/>
              </w:rPr>
              <w:t>项目</w:t>
            </w:r>
          </w:p>
        </w:tc>
      </w:tr>
      <w:tr w14:paraId="5082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6" w:type="dxa"/>
          </w:tcPr>
          <w:p w14:paraId="58BAF61A">
            <w:pPr>
              <w:pStyle w:val="38"/>
              <w:pageBreakBefore w:val="0"/>
              <w:wordWrap/>
              <w:overflowPunct/>
              <w:topLinePunct w:val="0"/>
              <w:bidi w:val="0"/>
              <w:spacing w:line="560" w:lineRule="exact"/>
              <w:ind w:firstLine="482"/>
              <w:rPr>
                <w:b w:val="0"/>
                <w:bCs w:val="0"/>
                <w:color w:val="auto"/>
                <w:highlight w:val="none"/>
              </w:rPr>
            </w:pPr>
            <w:r>
              <w:rPr>
                <w:rFonts w:hint="eastAsia"/>
                <w:b w:val="0"/>
                <w:bCs w:val="0"/>
                <w:color w:val="auto"/>
                <w:highlight w:val="none"/>
              </w:rPr>
              <w:t>1.钢铁新材料、高端钢材制造与深加工项目</w:t>
            </w:r>
          </w:p>
          <w:p w14:paraId="25B6FC9B">
            <w:pPr>
              <w:pStyle w:val="38"/>
              <w:pageBreakBefore w:val="0"/>
              <w:wordWrap/>
              <w:overflowPunct/>
              <w:topLinePunct w:val="0"/>
              <w:bidi w:val="0"/>
              <w:spacing w:line="560" w:lineRule="exact"/>
              <w:ind w:firstLine="482"/>
              <w:rPr>
                <w:rFonts w:hint="eastAsia" w:eastAsia="仿宋_GB2312"/>
                <w:b w:val="0"/>
                <w:bCs w:val="0"/>
                <w:color w:val="auto"/>
                <w:highlight w:val="none"/>
                <w:lang w:eastAsia="zh-CN"/>
              </w:rPr>
            </w:pPr>
            <w:r>
              <w:rPr>
                <w:rFonts w:hint="eastAsia"/>
                <w:b w:val="0"/>
                <w:bCs w:val="0"/>
                <w:color w:val="auto"/>
                <w:highlight w:val="none"/>
              </w:rPr>
              <w:t>根据金属精深加工</w:t>
            </w:r>
            <w:r>
              <w:rPr>
                <w:rFonts w:hint="eastAsia"/>
                <w:b w:val="0"/>
                <w:bCs w:val="0"/>
                <w:color w:val="auto"/>
                <w:highlight w:val="none"/>
                <w:lang w:eastAsia="zh-CN"/>
              </w:rPr>
              <w:t>产业</w:t>
            </w:r>
            <w:r>
              <w:rPr>
                <w:rFonts w:hint="eastAsia"/>
                <w:b w:val="0"/>
                <w:bCs w:val="0"/>
                <w:color w:val="auto"/>
                <w:highlight w:val="none"/>
              </w:rPr>
              <w:t>园发展定位，利用沙埔五顺地块3</w:t>
            </w:r>
            <w:r>
              <w:rPr>
                <w:rFonts w:hint="eastAsia"/>
                <w:b w:val="0"/>
                <w:bCs w:val="0"/>
                <w:color w:val="auto"/>
                <w:highlight w:val="none"/>
                <w:lang w:val="en-US" w:eastAsia="zh-CN"/>
              </w:rPr>
              <w:t>5</w:t>
            </w:r>
            <w:r>
              <w:rPr>
                <w:rFonts w:hint="eastAsia"/>
                <w:b w:val="0"/>
                <w:bCs w:val="0"/>
                <w:color w:val="auto"/>
                <w:highlight w:val="none"/>
              </w:rPr>
              <w:t>0亩闲置用地，引进特种钢产业生产项目，发展高附加值钢材产品，如汽车用钢、家电用钢、特种钢等，提升钢材的强度、耐腐蚀性和轻量化性能，满足汽车、机械、家电等行业对高端钢材的需求，提升产业链价值。建设周期3年，预计总投资10亿元，形成产值15亿元</w:t>
            </w:r>
            <w:r>
              <w:rPr>
                <w:rFonts w:hint="eastAsia"/>
                <w:b w:val="0"/>
                <w:bCs w:val="0"/>
                <w:color w:val="auto"/>
                <w:highlight w:val="none"/>
                <w:lang w:eastAsia="zh-CN"/>
              </w:rPr>
              <w:t>。</w:t>
            </w:r>
          </w:p>
          <w:p w14:paraId="196AF590">
            <w:pPr>
              <w:pStyle w:val="38"/>
              <w:pageBreakBefore w:val="0"/>
              <w:wordWrap/>
              <w:overflowPunct/>
              <w:topLinePunct w:val="0"/>
              <w:bidi w:val="0"/>
              <w:spacing w:line="560" w:lineRule="exact"/>
              <w:ind w:firstLine="482"/>
              <w:rPr>
                <w:b w:val="0"/>
                <w:bCs w:val="0"/>
                <w:color w:val="auto"/>
                <w:highlight w:val="none"/>
              </w:rPr>
            </w:pPr>
            <w:r>
              <w:rPr>
                <w:rFonts w:hint="eastAsia"/>
                <w:b w:val="0"/>
                <w:bCs w:val="0"/>
                <w:color w:val="auto"/>
                <w:highlight w:val="none"/>
              </w:rPr>
              <w:t>2.绿色钢铁及钢铁与新能源结合产业项目</w:t>
            </w:r>
          </w:p>
          <w:p w14:paraId="42192661">
            <w:pPr>
              <w:pStyle w:val="38"/>
              <w:pageBreakBefore w:val="0"/>
              <w:wordWrap/>
              <w:overflowPunct/>
              <w:topLinePunct w:val="0"/>
              <w:bidi w:val="0"/>
              <w:spacing w:line="560" w:lineRule="exact"/>
              <w:ind w:firstLine="480"/>
              <w:rPr>
                <w:color w:val="auto"/>
                <w:highlight w:val="none"/>
              </w:rPr>
            </w:pPr>
            <w:r>
              <w:rPr>
                <w:rFonts w:hint="eastAsia"/>
                <w:color w:val="auto"/>
                <w:highlight w:val="none"/>
              </w:rPr>
              <w:t>根据金属精深加工</w:t>
            </w:r>
            <w:r>
              <w:rPr>
                <w:rFonts w:hint="eastAsia"/>
                <w:color w:val="auto"/>
                <w:highlight w:val="none"/>
                <w:lang w:eastAsia="zh-CN"/>
              </w:rPr>
              <w:t>产业</w:t>
            </w:r>
            <w:r>
              <w:rPr>
                <w:rFonts w:hint="eastAsia"/>
                <w:color w:val="auto"/>
                <w:highlight w:val="none"/>
              </w:rPr>
              <w:t>园发展定位，利用沙埔五顺地块3</w:t>
            </w:r>
            <w:r>
              <w:rPr>
                <w:rFonts w:hint="eastAsia"/>
                <w:color w:val="auto"/>
                <w:highlight w:val="none"/>
                <w:lang w:val="en-US" w:eastAsia="zh-CN"/>
              </w:rPr>
              <w:t>5</w:t>
            </w:r>
            <w:r>
              <w:rPr>
                <w:rFonts w:hint="eastAsia"/>
                <w:color w:val="auto"/>
                <w:highlight w:val="none"/>
              </w:rPr>
              <w:t>0亩闲置用地，引进特种钢产业生产项目，对接柳州钢铁集团，利用钢铁废渣、废气等副产品，发展建材、化工等关联产业， 同时推动钢铁产业与新能源产业的结合发展光伏支架、风电塔筒等新能源装备用钢。利用钢铁厂区空间，建设分布式光伏发电项目，推动钢铁产业与新能源产业的协同发展。建设周期2年，预计总投资5亿元，形成产值6亿元。</w:t>
            </w:r>
          </w:p>
          <w:p w14:paraId="75E18602">
            <w:pPr>
              <w:pStyle w:val="38"/>
              <w:pageBreakBefore w:val="0"/>
              <w:wordWrap/>
              <w:overflowPunct/>
              <w:topLinePunct w:val="0"/>
              <w:bidi w:val="0"/>
              <w:spacing w:line="560" w:lineRule="exact"/>
              <w:ind w:firstLine="482"/>
              <w:rPr>
                <w:b w:val="0"/>
                <w:bCs w:val="0"/>
                <w:color w:val="auto"/>
                <w:highlight w:val="none"/>
              </w:rPr>
            </w:pPr>
            <w:r>
              <w:rPr>
                <w:rFonts w:hint="eastAsia"/>
                <w:b w:val="0"/>
                <w:bCs w:val="0"/>
                <w:color w:val="auto"/>
                <w:highlight w:val="none"/>
              </w:rPr>
              <w:t>3.汽车零部件制造项目</w:t>
            </w:r>
          </w:p>
          <w:p w14:paraId="7D129CEC">
            <w:pPr>
              <w:pStyle w:val="38"/>
              <w:pageBreakBefore w:val="0"/>
              <w:wordWrap/>
              <w:overflowPunct/>
              <w:topLinePunct w:val="0"/>
              <w:bidi w:val="0"/>
              <w:spacing w:line="560" w:lineRule="exact"/>
              <w:ind w:firstLine="480"/>
              <w:rPr>
                <w:rFonts w:hint="eastAsia"/>
                <w:color w:val="auto"/>
                <w:highlight w:val="none"/>
              </w:rPr>
            </w:pPr>
            <w:r>
              <w:rPr>
                <w:rFonts w:hint="eastAsia"/>
                <w:color w:val="auto"/>
                <w:highlight w:val="none"/>
                <w:lang w:eastAsia="zh-CN"/>
              </w:rPr>
              <w:t>利用</w:t>
            </w:r>
            <w:r>
              <w:rPr>
                <w:rFonts w:hint="eastAsia"/>
                <w:color w:val="auto"/>
                <w:highlight w:val="none"/>
              </w:rPr>
              <w:t>部分沙埔园区现有标准厂房以及可新增用地（100亩），规划建设机械制造产业小规模集群，丰富完善沙埔片区产业，形成联动。利用柳州钢铁产业优势，发展汽车零部件制造。与上汽通用五菱等本地汽车企业合作，生产车身结构件、底盘件等。打造“钢铁+汽车”产业链，形成产业集群效应。利用工业区沙埔三期标准厂房，结合辖区航宇汽配、欧亚汽配、子铭金属等现有企业，引进产业链下游镀锌钢板用于车身、底盘等部件；防腐涂层用于螺栓、螺母等紧固件；橡胶和塑料添加剂用于轮胎和密封件，丰富沙浦三期金属精加工产业园区企业，紧跟柳州汽配产业发展，延长产业链。建设周期2年，预计总投资5亿元，实现产值8亿元。</w:t>
            </w:r>
          </w:p>
          <w:p w14:paraId="12E31A2B">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4.工程机械制造项目</w:t>
            </w:r>
          </w:p>
          <w:p w14:paraId="4101691F">
            <w:pPr>
              <w:pStyle w:val="38"/>
              <w:pageBreakBefore w:val="0"/>
              <w:wordWrap/>
              <w:overflowPunct/>
              <w:topLinePunct w:val="0"/>
              <w:bidi w:val="0"/>
              <w:spacing w:line="560" w:lineRule="exact"/>
              <w:ind w:firstLine="480"/>
              <w:rPr>
                <w:rFonts w:hint="eastAsia"/>
                <w:color w:val="auto"/>
                <w:highlight w:val="none"/>
                <w:lang w:val="en-US" w:eastAsia="zh-CN"/>
              </w:rPr>
            </w:pPr>
            <w:r>
              <w:rPr>
                <w:rFonts w:hint="default"/>
                <w:color w:val="auto"/>
                <w:highlight w:val="none"/>
                <w:lang w:val="en-US" w:eastAsia="zh-CN"/>
              </w:rPr>
              <w:t>依托柳工集团等龙头企业完善的产业链，发展生产重型机械结构件等。一是轴承及紧固件制造：生产高精度轴承、螺栓、螺母等。二是液压系统制造：生产液压泵、液压缸、液压阀等，三是传动系统制造：生产变速箱、驱动桥等传动部件。建设周期2年，预计总投资4亿元，产值4.8亿元</w:t>
            </w:r>
            <w:r>
              <w:rPr>
                <w:rFonts w:hint="eastAsia"/>
                <w:color w:val="auto"/>
                <w:highlight w:val="none"/>
                <w:lang w:val="en-US" w:eastAsia="zh-CN"/>
              </w:rPr>
              <w:t>。</w:t>
            </w:r>
          </w:p>
          <w:p w14:paraId="4BC29DEB">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5.工程机械类设备生产项目</w:t>
            </w:r>
          </w:p>
          <w:p w14:paraId="7A5C75E4">
            <w:pPr>
              <w:pStyle w:val="38"/>
              <w:pageBreakBefore w:val="0"/>
              <w:wordWrap/>
              <w:overflowPunct/>
              <w:topLinePunct w:val="0"/>
              <w:bidi w:val="0"/>
              <w:spacing w:line="560" w:lineRule="exact"/>
              <w:ind w:firstLine="480"/>
              <w:rPr>
                <w:rFonts w:hint="default"/>
                <w:color w:val="auto"/>
                <w:highlight w:val="none"/>
                <w:lang w:val="en-US" w:eastAsia="zh-CN"/>
              </w:rPr>
            </w:pPr>
            <w:r>
              <w:rPr>
                <w:rFonts w:hint="default"/>
                <w:color w:val="auto"/>
                <w:highlight w:val="none"/>
                <w:lang w:val="en-US" w:eastAsia="zh-CN"/>
              </w:rPr>
              <w:t>根据金属精深加工产业现有企业及产品谋划的园区发展及招商方向项目，结合柳州市重工产业链，引进工程机械类设备生产项目。生产龙门吊，起重机，液压机、变压器等工程机械类设备相关产品。</w:t>
            </w:r>
          </w:p>
          <w:p w14:paraId="02CD7458">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6.新建金属材料加工项目</w:t>
            </w:r>
          </w:p>
          <w:p w14:paraId="737596E7">
            <w:pPr>
              <w:pStyle w:val="38"/>
              <w:pageBreakBefore w:val="0"/>
              <w:wordWrap/>
              <w:overflowPunct/>
              <w:topLinePunct w:val="0"/>
              <w:bidi w:val="0"/>
              <w:spacing w:line="560" w:lineRule="exact"/>
              <w:ind w:firstLine="480"/>
              <w:rPr>
                <w:rFonts w:hint="default"/>
                <w:color w:val="auto"/>
                <w:highlight w:val="none"/>
                <w:lang w:val="en-US" w:eastAsia="zh-CN"/>
              </w:rPr>
            </w:pPr>
            <w:r>
              <w:rPr>
                <w:rFonts w:hint="default"/>
                <w:color w:val="auto"/>
                <w:highlight w:val="none"/>
                <w:lang w:val="en-US" w:eastAsia="zh-CN"/>
              </w:rPr>
              <w:t>项目总投资30000万元，计划建设年产20万吨钢板加工产线，投产后年产值达10亿元，年上缴税收约2000万元。</w:t>
            </w:r>
          </w:p>
          <w:p w14:paraId="6363EC9D">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7.20万吨核级焊接材料项目</w:t>
            </w:r>
          </w:p>
          <w:p w14:paraId="560083C6">
            <w:pPr>
              <w:pStyle w:val="38"/>
              <w:pageBreakBefore w:val="0"/>
              <w:wordWrap/>
              <w:overflowPunct/>
              <w:topLinePunct w:val="0"/>
              <w:bidi w:val="0"/>
              <w:spacing w:line="560" w:lineRule="exact"/>
              <w:ind w:firstLine="480"/>
              <w:rPr>
                <w:rFonts w:hint="default"/>
                <w:color w:val="auto"/>
                <w:highlight w:val="none"/>
                <w:lang w:val="en-US" w:eastAsia="zh-CN"/>
              </w:rPr>
            </w:pPr>
            <w:r>
              <w:rPr>
                <w:rFonts w:hint="default"/>
                <w:color w:val="auto"/>
                <w:highlight w:val="none"/>
                <w:lang w:val="en-US" w:eastAsia="zh-CN"/>
              </w:rPr>
              <w:t>年产20万吨核级焊接材料精线，包括特种钢成型生产线、在线固熔炉、自动表面处理生产线等核心设备，配套制氧站、余热发电等绿色环保设施。建成投产后将填补华南地区高端核级焊接材料生产空白，覆盖航空航天、军工核电、新能源汽车、电子精密配件、医疗器械等高附加值领域。</w:t>
            </w:r>
          </w:p>
          <w:p w14:paraId="6050012D">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8.造船技术创新升级改造项目</w:t>
            </w:r>
          </w:p>
          <w:p w14:paraId="6F23EC6A">
            <w:pPr>
              <w:pStyle w:val="38"/>
              <w:pageBreakBefore w:val="0"/>
              <w:wordWrap/>
              <w:overflowPunct/>
              <w:topLinePunct w:val="0"/>
              <w:bidi w:val="0"/>
              <w:spacing w:line="560" w:lineRule="exact"/>
              <w:ind w:firstLine="480"/>
              <w:rPr>
                <w:rFonts w:hint="default"/>
                <w:color w:val="auto"/>
                <w:highlight w:val="none"/>
                <w:lang w:val="en-US" w:eastAsia="zh-CN"/>
              </w:rPr>
            </w:pPr>
            <w:r>
              <w:rPr>
                <w:rFonts w:hint="default"/>
                <w:color w:val="auto"/>
                <w:highlight w:val="none"/>
                <w:lang w:val="en-US" w:eastAsia="zh-CN"/>
              </w:rPr>
              <w:t>项目位于凤山镇，建设用地约60亩，建设规范标准化厂房，新增5000吨级环保节能新能源LNG天然气动力船舶船台6个，硬化造船台场地，建设分段车间、总装车间、喷涂车间及环保节能相配套的厂房，配套分段吊装设备、供电照明、给排水、消防、环保、绿化厂区等。改建及技术升级项目建成后，公司可分段、分块、数字化、智能化船舶制造，并可制造5000吨级新能源LNG天然气动力船舶，生产规模从目前的年产1万载重吨船舶增加到年产3万载重吨船舶。</w:t>
            </w:r>
          </w:p>
          <w:p w14:paraId="126568D7">
            <w:pPr>
              <w:pStyle w:val="38"/>
              <w:pageBreakBefore w:val="0"/>
              <w:wordWrap/>
              <w:overflowPunct/>
              <w:topLinePunct w:val="0"/>
              <w:bidi w:val="0"/>
              <w:spacing w:line="560" w:lineRule="exact"/>
              <w:ind w:firstLine="480"/>
              <w:rPr>
                <w:rFonts w:hint="eastAsia"/>
                <w:color w:val="auto"/>
                <w:highlight w:val="none"/>
                <w:lang w:val="en-US" w:eastAsia="zh-CN"/>
              </w:rPr>
            </w:pPr>
            <w:r>
              <w:rPr>
                <w:rFonts w:hint="eastAsia"/>
                <w:color w:val="auto"/>
                <w:highlight w:val="none"/>
                <w:lang w:val="en-US" w:eastAsia="zh-CN"/>
              </w:rPr>
              <w:t>9.林业机械智造产业园项目</w:t>
            </w:r>
          </w:p>
          <w:p w14:paraId="76297A5A">
            <w:pPr>
              <w:pStyle w:val="38"/>
              <w:pageBreakBefore w:val="0"/>
              <w:wordWrap/>
              <w:overflowPunct/>
              <w:topLinePunct w:val="0"/>
              <w:bidi w:val="0"/>
              <w:spacing w:line="560" w:lineRule="exact"/>
              <w:ind w:firstLine="480"/>
              <w:rPr>
                <w:rFonts w:hint="default"/>
                <w:color w:val="auto"/>
                <w:highlight w:val="none"/>
                <w:lang w:val="en-US" w:eastAsia="zh-CN"/>
              </w:rPr>
            </w:pPr>
            <w:r>
              <w:rPr>
                <w:rFonts w:hint="default"/>
                <w:color w:val="auto"/>
                <w:highlight w:val="none"/>
                <w:lang w:val="en-US" w:eastAsia="zh-CN"/>
              </w:rPr>
              <w:t>项目位于柳城县沙浦工业园柳州五顺工业有限公司内，占地约350亩，目前投资方已完成厂区整体收购，市场估值2.5</w:t>
            </w:r>
            <w:r>
              <w:rPr>
                <w:rFonts w:hint="eastAsia"/>
                <w:color w:val="auto"/>
                <w:highlight w:val="none"/>
                <w:lang w:val="en-US" w:eastAsia="zh-CN"/>
              </w:rPr>
              <w:t>亿元</w:t>
            </w:r>
            <w:r>
              <w:rPr>
                <w:rFonts w:hint="default"/>
                <w:color w:val="auto"/>
                <w:highlight w:val="none"/>
                <w:lang w:val="en-US" w:eastAsia="zh-CN"/>
              </w:rPr>
              <w:t>，建有高标准厂房8个，合计8.8万平方米。园区计划引进林业机械龙头企业生产木片、旋切单板、单板烘干等木材加工自动化装备，利用自动传送、机械臂、机器视觉等技术，初步实现林业机械自动化流水线生产。达产后年产值可达20亿元以上。</w:t>
            </w:r>
          </w:p>
        </w:tc>
      </w:tr>
    </w:tbl>
    <w:p w14:paraId="63242934">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食品医药（农产品加工）</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产业。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积极融入自治区构建“两核一极两区”糖产业发展格局，做优做强蔗糖产业链，发展蔗糖精深加工，推进蔗糖新产品研发和生产，促进蔗糖向功能糖、营养糖、医药用糖、绿色食品等方向转化。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整合社冲乡螺蛳粉原材料资源，建设木耳加工厂、健康种苗工厂等项目，形成</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种养加一体化</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链条。同时，加快推进食品药品产业园建设，吸引云片糕、牛腊巴等本土特色企业入驻，打造区域性食品加工基地。推动产业链向高附加值延伸，引入下游制剂企业，发展特色原料药、中药提取物等。开发壮药瑶药系列产品，建设民族制药研发平台，打造区域性生物医药产业基地。</w:t>
      </w:r>
    </w:p>
    <w:tbl>
      <w:tblPr>
        <w:tblStyle w:val="17"/>
        <w:tblW w:w="8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1"/>
      </w:tblGrid>
      <w:tr w14:paraId="555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1" w:type="dxa"/>
          </w:tcPr>
          <w:p w14:paraId="5A9713A4">
            <w:pPr>
              <w:pStyle w:val="37"/>
              <w:pageBreakBefore w:val="0"/>
              <w:wordWrap/>
              <w:overflowPunct/>
              <w:topLinePunct w:val="0"/>
              <w:bidi w:val="0"/>
              <w:spacing w:line="560" w:lineRule="exact"/>
              <w:jc w:val="center"/>
              <w:rPr>
                <w:color w:val="000000" w:themeColor="text1"/>
                <w:highlight w:val="none"/>
                <w14:textFill>
                  <w14:solidFill>
                    <w14:schemeClr w14:val="tx1"/>
                  </w14:solidFill>
                </w14:textFill>
              </w:rPr>
            </w:pPr>
            <w:r>
              <w:rPr>
                <w:rFonts w:hint="eastAsia" w:ascii="黑体" w:hAnsi="黑体" w:eastAsia="黑体" w:cs="黑体"/>
                <w:color w:val="000000" w:themeColor="text1"/>
                <w:highlight w:val="none"/>
                <w14:textFill>
                  <w14:solidFill>
                    <w14:schemeClr w14:val="tx1"/>
                  </w14:solidFill>
                </w14:textFill>
              </w:rPr>
              <w:t>专栏</w:t>
            </w:r>
            <w:r>
              <w:rPr>
                <w:rFonts w:hint="eastAsia" w:ascii="黑体" w:hAnsi="黑体" w:eastAsia="黑体" w:cs="黑体"/>
                <w:color w:val="000000" w:themeColor="text1"/>
                <w:highlight w:val="none"/>
                <w:lang w:val="en-US" w:eastAsia="zh-CN"/>
                <w14:textFill>
                  <w14:solidFill>
                    <w14:schemeClr w14:val="tx1"/>
                  </w14:solidFill>
                </w14:textFill>
              </w:rPr>
              <w:t>3</w:t>
            </w:r>
            <w:r>
              <w:rPr>
                <w:rFonts w:hint="eastAsia" w:ascii="黑体" w:hAnsi="黑体" w:eastAsia="黑体" w:cs="黑体"/>
                <w:color w:val="000000" w:themeColor="text1"/>
                <w:highlight w:val="none"/>
                <w14:textFill>
                  <w14:solidFill>
                    <w14:schemeClr w14:val="tx1"/>
                  </w14:solidFill>
                </w14:textFill>
              </w:rPr>
              <w:t>：</w:t>
            </w:r>
            <w:r>
              <w:rPr>
                <w:rFonts w:hint="default" w:ascii="黑体" w:hAnsi="黑体" w:eastAsia="黑体" w:cs="黑体"/>
                <w:color w:val="000000" w:themeColor="text1"/>
                <w:highlight w:val="none"/>
                <w:lang w:eastAsia="zh-CN"/>
                <w14:textFill>
                  <w14:solidFill>
                    <w14:schemeClr w14:val="tx1"/>
                  </w14:solidFill>
                </w14:textFill>
              </w:rPr>
              <w:t>食品医药（农产品加工）</w:t>
            </w:r>
            <w:r>
              <w:rPr>
                <w:rFonts w:hint="eastAsia" w:ascii="黑体" w:hAnsi="黑体" w:eastAsia="黑体" w:cs="黑体"/>
                <w:color w:val="000000" w:themeColor="text1"/>
                <w:highlight w:val="none"/>
                <w:lang w:eastAsia="zh-Hans"/>
                <w14:textFill>
                  <w14:solidFill>
                    <w14:schemeClr w14:val="tx1"/>
                  </w14:solidFill>
                </w14:textFill>
              </w:rPr>
              <w:t>加工产业</w:t>
            </w:r>
            <w:r>
              <w:rPr>
                <w:rFonts w:hint="eastAsia" w:ascii="黑体" w:hAnsi="黑体" w:eastAsia="黑体" w:cs="黑体"/>
                <w:color w:val="000000" w:themeColor="text1"/>
                <w:highlight w:val="none"/>
                <w:lang w:val="en-US" w:eastAsia="zh-CN"/>
                <w14:textFill>
                  <w14:solidFill>
                    <w14:schemeClr w14:val="tx1"/>
                  </w14:solidFill>
                </w14:textFill>
              </w:rPr>
              <w:t>重</w:t>
            </w:r>
            <w:r>
              <w:rPr>
                <w:rFonts w:hint="eastAsia" w:ascii="黑体" w:hAnsi="黑体" w:eastAsia="黑体" w:cs="黑体"/>
                <w:color w:val="000000" w:themeColor="text1"/>
                <w:highlight w:val="none"/>
                <w:lang w:val="en-US" w:eastAsia="zh-Hans"/>
                <w14:textFill>
                  <w14:solidFill>
                    <w14:schemeClr w14:val="tx1"/>
                  </w14:solidFill>
                </w14:textFill>
              </w:rPr>
              <w:t>点</w:t>
            </w:r>
            <w:r>
              <w:rPr>
                <w:rFonts w:hint="eastAsia" w:ascii="黑体" w:hAnsi="黑体" w:eastAsia="黑体" w:cs="黑体"/>
                <w:color w:val="000000" w:themeColor="text1"/>
                <w:highlight w:val="none"/>
                <w14:textFill>
                  <w14:solidFill>
                    <w14:schemeClr w14:val="tx1"/>
                  </w14:solidFill>
                </w14:textFill>
              </w:rPr>
              <w:t>项目</w:t>
            </w:r>
          </w:p>
        </w:tc>
      </w:tr>
      <w:tr w14:paraId="1C32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1" w:type="dxa"/>
          </w:tcPr>
          <w:p w14:paraId="23632F2C">
            <w:pPr>
              <w:pStyle w:val="38"/>
              <w:pageBreakBefore w:val="0"/>
              <w:wordWrap/>
              <w:overflowPunct/>
              <w:topLinePunct w:val="0"/>
              <w:bidi w:val="0"/>
              <w:spacing w:line="560" w:lineRule="exact"/>
              <w:ind w:firstLine="48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1.柳城县绿色食品生产加工及冷链物流设施建设项目</w:t>
            </w:r>
          </w:p>
          <w:p w14:paraId="232285A8">
            <w:pPr>
              <w:pStyle w:val="38"/>
              <w:pageBreakBefore w:val="0"/>
              <w:wordWrap/>
              <w:overflowPunct/>
              <w:topLinePunct w:val="0"/>
              <w:bidi w:val="0"/>
              <w:spacing w:line="560" w:lineRule="exact"/>
              <w:ind w:firstLine="48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总建筑面积为18万平方米，建设加工车间，物流仓库，冷库，办公综合楼及配套生产辅助用房等。</w:t>
            </w:r>
          </w:p>
          <w:p w14:paraId="18B05048">
            <w:pPr>
              <w:pStyle w:val="38"/>
              <w:pageBreakBefore w:val="0"/>
              <w:wordWrap/>
              <w:overflowPunct/>
              <w:topLinePunct w:val="0"/>
              <w:bidi w:val="0"/>
              <w:spacing w:line="560" w:lineRule="exact"/>
              <w:ind w:firstLine="48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与柳州立华公司签订合作协议建设家禽屠宰场与饲料厂。建设生猪屠宰及肉食品加工，计划年屠宰50万头生猪、4万头肉牛、年加工肉食品4000吨，总投资1.5亿元</w:t>
            </w:r>
          </w:p>
          <w:p w14:paraId="20A485CF">
            <w:pPr>
              <w:pStyle w:val="38"/>
              <w:pageBreakBefore w:val="0"/>
              <w:wordWrap/>
              <w:overflowPunct/>
              <w:topLinePunct w:val="0"/>
              <w:bidi w:val="0"/>
              <w:spacing w:line="560" w:lineRule="exact"/>
              <w:ind w:firstLine="48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2.盛塘牧业公司年产50万吨饲料厂建设项目</w:t>
            </w:r>
          </w:p>
          <w:p w14:paraId="09F97FE7">
            <w:pPr>
              <w:pStyle w:val="38"/>
              <w:pageBreakBefore w:val="0"/>
              <w:wordWrap/>
              <w:overflowPunct/>
              <w:topLinePunct w:val="0"/>
              <w:bidi w:val="0"/>
              <w:spacing w:line="560" w:lineRule="exact"/>
              <w:ind w:firstLine="48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项目位于马山集中区，建设用地约96亩</w:t>
            </w:r>
            <w:r>
              <w:rPr>
                <w:rFonts w:hint="eastAsia"/>
                <w:b w:val="0"/>
                <w:bCs w:val="0"/>
                <w:color w:val="000000" w:themeColor="text1"/>
                <w:highlight w:val="none"/>
                <w:lang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建设年产50万吨饲料生产线及其配套设施，其中主要有厂区围墙、门卫室、主车间厂房、原料仓库、成品仓库、原料区地磅房、熏蒸房、筒仓基础、办公生活楼、更衣洗澡房、化验室、锅炉房及配套、卸料棚、道路硬化等。</w:t>
            </w:r>
          </w:p>
          <w:p w14:paraId="597F0303">
            <w:pPr>
              <w:pStyle w:val="38"/>
              <w:pageBreakBefore w:val="0"/>
              <w:wordWrap/>
              <w:overflowPunct/>
              <w:topLinePunct w:val="0"/>
              <w:bidi w:val="0"/>
              <w:spacing w:line="560" w:lineRule="exact"/>
              <w:ind w:firstLine="480"/>
              <w:rPr>
                <w:rFonts w:hint="eastAsia"/>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新建畜禽定点屠宰场及产品特色加工项目</w:t>
            </w:r>
          </w:p>
          <w:p w14:paraId="4F8C3C1B">
            <w:pPr>
              <w:pStyle w:val="38"/>
              <w:pageBreakBefore w:val="0"/>
              <w:wordWrap/>
              <w:overflowPunct/>
              <w:topLinePunct w:val="0"/>
              <w:bidi w:val="0"/>
              <w:spacing w:line="560" w:lineRule="exact"/>
              <w:ind w:firstLine="480"/>
              <w:rPr>
                <w:rFonts w:hint="eastAsia"/>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项目规划用地面积约80亩，一期用地35亩，二期用地45亩，建设国内先进的现代化家畜定点屠宰中心，新建肉类分割、冷链配送中心及肉类特色食品加工基地。（沙埔鸡公山）</w:t>
            </w:r>
          </w:p>
          <w:p w14:paraId="0DBAB6AD">
            <w:pPr>
              <w:pStyle w:val="38"/>
              <w:pageBreakBefore w:val="0"/>
              <w:wordWrap/>
              <w:overflowPunct/>
              <w:topLinePunct w:val="0"/>
              <w:bidi w:val="0"/>
              <w:spacing w:line="560" w:lineRule="exact"/>
              <w:ind w:firstLine="480"/>
              <w:rPr>
                <w:rFonts w:hint="eastAsia"/>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eastAsia="zh-CN"/>
                <w14:textFill>
                  <w14:solidFill>
                    <w14:schemeClr w14:val="tx1"/>
                  </w14:solidFill>
                </w14:textFill>
              </w:rPr>
              <w:t>4</w:t>
            </w:r>
            <w:r>
              <w:rPr>
                <w:rFonts w:hint="eastAsia"/>
                <w:b w:val="0"/>
                <w:bCs w:val="0"/>
                <w:color w:val="000000" w:themeColor="text1"/>
                <w:highlight w:val="none"/>
                <w:lang w:val="en-US" w:eastAsia="zh-CN"/>
                <w14:textFill>
                  <w14:solidFill>
                    <w14:schemeClr w14:val="tx1"/>
                  </w14:solidFill>
                </w14:textFill>
              </w:rPr>
              <w:t>.年产2万吨酵母蛋白绿色制造项目</w:t>
            </w:r>
          </w:p>
          <w:p w14:paraId="2C5D130D">
            <w:pPr>
              <w:pStyle w:val="38"/>
              <w:pageBreakBefore w:val="0"/>
              <w:wordWrap/>
              <w:overflowPunct/>
              <w:topLinePunct w:val="0"/>
              <w:bidi w:val="0"/>
              <w:spacing w:line="560" w:lineRule="exact"/>
              <w:ind w:firstLine="480"/>
              <w:rPr>
                <w:rFonts w:hint="default"/>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安琪酵母三期项目</w:t>
            </w:r>
            <w:r>
              <w:rPr>
                <w:rFonts w:hint="eastAsia"/>
                <w:b w:val="0"/>
                <w:bCs w:val="0"/>
                <w:color w:val="000000" w:themeColor="text1"/>
                <w:highlight w:val="none"/>
                <w:lang w:val="en-US" w:eastAsia="zh-CN"/>
                <w14:textFill>
                  <w14:solidFill>
                    <w14:schemeClr w14:val="tx1"/>
                  </w14:solidFill>
                </w14:textFill>
              </w:rPr>
              <w:t>，</w:t>
            </w:r>
            <w:r>
              <w:rPr>
                <w:rFonts w:hint="default"/>
                <w:b w:val="0"/>
                <w:bCs w:val="0"/>
                <w:color w:val="000000" w:themeColor="text1"/>
                <w:highlight w:val="none"/>
                <w:lang w:val="en-US" w:eastAsia="zh-CN"/>
                <w14:textFill>
                  <w14:solidFill>
                    <w14:schemeClr w14:val="tx1"/>
                  </w14:solidFill>
                </w14:textFill>
              </w:rPr>
              <w:t>占地约250亩，分两个阶段建设，其中一阶段建设5000吨酵母蛋白制</w:t>
            </w:r>
            <w:r>
              <w:rPr>
                <w:rFonts w:hint="eastAsia"/>
                <w:b w:val="0"/>
                <w:bCs w:val="0"/>
                <w:color w:val="000000" w:themeColor="text1"/>
                <w:highlight w:val="none"/>
                <w:lang w:val="en-US" w:eastAsia="zh-CN"/>
                <w14:textFill>
                  <w14:solidFill>
                    <w14:schemeClr w14:val="tx1"/>
                  </w14:solidFill>
                </w14:textFill>
              </w:rPr>
              <w:t>品生</w:t>
            </w:r>
            <w:r>
              <w:rPr>
                <w:rFonts w:hint="default"/>
                <w:b w:val="0"/>
                <w:bCs w:val="0"/>
                <w:color w:val="000000" w:themeColor="text1"/>
                <w:highlight w:val="none"/>
                <w:lang w:val="en-US" w:eastAsia="zh-CN"/>
                <w14:textFill>
                  <w14:solidFill>
                    <w14:schemeClr w14:val="tx1"/>
                  </w14:solidFill>
                </w14:textFill>
              </w:rPr>
              <w:t>产线；二阶段扩建15000吨酵母蛋白制品生产线。</w:t>
            </w:r>
          </w:p>
          <w:p w14:paraId="37412331">
            <w:pPr>
              <w:pStyle w:val="38"/>
              <w:pageBreakBefore w:val="0"/>
              <w:wordWrap/>
              <w:overflowPunct/>
              <w:topLinePunct w:val="0"/>
              <w:bidi w:val="0"/>
              <w:spacing w:line="560" w:lineRule="exact"/>
              <w:ind w:firstLine="480"/>
              <w:rPr>
                <w:rFonts w:hint="eastAsia"/>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eastAsia="zh-CN"/>
                <w14:textFill>
                  <w14:solidFill>
                    <w14:schemeClr w14:val="tx1"/>
                  </w14:solidFill>
                </w14:textFill>
              </w:rPr>
              <w:t>5</w:t>
            </w:r>
            <w:r>
              <w:rPr>
                <w:rFonts w:hint="eastAsia"/>
                <w:b w:val="0"/>
                <w:bCs w:val="0"/>
                <w:color w:val="000000" w:themeColor="text1"/>
                <w:highlight w:val="none"/>
                <w:lang w:val="en-US" w:eastAsia="zh-CN"/>
                <w14:textFill>
                  <w14:solidFill>
                    <w14:schemeClr w14:val="tx1"/>
                  </w14:solidFill>
                </w14:textFill>
              </w:rPr>
              <w:t>.柳城县食品和医药产业园</w:t>
            </w:r>
          </w:p>
          <w:p w14:paraId="076C23E2">
            <w:pPr>
              <w:pStyle w:val="38"/>
              <w:pageBreakBefore w:val="0"/>
              <w:wordWrap/>
              <w:overflowPunct/>
              <w:topLinePunct w:val="0"/>
              <w:bidi w:val="0"/>
              <w:spacing w:line="560" w:lineRule="exact"/>
              <w:ind w:firstLine="480"/>
              <w:rPr>
                <w:rFonts w:hint="default"/>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本项目场地平整总面积为647257㎡，约970.89亩。</w:t>
            </w:r>
          </w:p>
          <w:p w14:paraId="1DB0153B">
            <w:pPr>
              <w:pStyle w:val="38"/>
              <w:pageBreakBefore w:val="0"/>
              <w:wordWrap/>
              <w:overflowPunct/>
              <w:topLinePunct w:val="0"/>
              <w:bidi w:val="0"/>
              <w:spacing w:line="560" w:lineRule="exact"/>
              <w:ind w:firstLine="480"/>
              <w:rPr>
                <w:rFonts w:hint="default"/>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标准厂房建设内容包含三通一平</w:t>
            </w:r>
            <w:r>
              <w:rPr>
                <w:rFonts w:hint="default"/>
                <w:b w:val="0"/>
                <w:bCs w:val="0"/>
                <w:color w:val="000000" w:themeColor="text1"/>
                <w:highlight w:val="none"/>
                <w:lang w:eastAsia="zh-CN"/>
                <w14:textFill>
                  <w14:solidFill>
                    <w14:schemeClr w14:val="tx1"/>
                  </w14:solidFill>
                </w14:textFill>
              </w:rPr>
              <w:t>、</w:t>
            </w:r>
            <w:r>
              <w:rPr>
                <w:rFonts w:hint="default"/>
                <w:b w:val="0"/>
                <w:bCs w:val="0"/>
                <w:color w:val="000000" w:themeColor="text1"/>
                <w:highlight w:val="none"/>
                <w:lang w:val="en-US" w:eastAsia="zh-CN"/>
                <w14:textFill>
                  <w14:solidFill>
                    <w14:schemeClr w14:val="tx1"/>
                  </w14:solidFill>
                </w14:textFill>
              </w:rPr>
              <w:t>四层标准厂房、单层标准</w:t>
            </w:r>
            <w:r>
              <w:rPr>
                <w:rFonts w:hint="eastAsia"/>
                <w:b w:val="0"/>
                <w:bCs w:val="0"/>
                <w:color w:val="000000" w:themeColor="text1"/>
                <w:highlight w:val="none"/>
                <w:lang w:val="en-US" w:eastAsia="zh-CN"/>
                <w14:textFill>
                  <w14:solidFill>
                    <w14:schemeClr w14:val="tx1"/>
                  </w14:solidFill>
                </w14:textFill>
              </w:rPr>
              <w:t>厂房</w:t>
            </w:r>
            <w:r>
              <w:rPr>
                <w:rFonts w:hint="default"/>
                <w:b w:val="0"/>
                <w:bCs w:val="0"/>
                <w:color w:val="000000" w:themeColor="text1"/>
                <w:highlight w:val="none"/>
                <w:lang w:val="en-US" w:eastAsia="zh-CN"/>
                <w14:textFill>
                  <w14:solidFill>
                    <w14:schemeClr w14:val="tx1"/>
                  </w14:solidFill>
                </w14:textFill>
              </w:rPr>
              <w:t>、研发办公用房、生活配套建筑设施，生产配套用房建筑设施、冷库、一站式公共服务中心、污水处理设施等</w:t>
            </w:r>
            <w:r>
              <w:rPr>
                <w:rFonts w:hint="eastAsia"/>
                <w:b w:val="0"/>
                <w:bCs w:val="0"/>
                <w:color w:val="000000" w:themeColor="text1"/>
                <w:highlight w:val="none"/>
                <w:lang w:val="en-US" w:eastAsia="zh-CN"/>
                <w14:textFill>
                  <w14:solidFill>
                    <w14:schemeClr w14:val="tx1"/>
                  </w14:solidFill>
                </w14:textFill>
              </w:rPr>
              <w:t>其他建筑</w:t>
            </w:r>
            <w:r>
              <w:rPr>
                <w:rFonts w:hint="default"/>
                <w:b w:val="0"/>
                <w:bCs w:val="0"/>
                <w:color w:val="000000" w:themeColor="text1"/>
                <w:highlight w:val="none"/>
                <w:lang w:val="en-US" w:eastAsia="zh-CN"/>
                <w14:textFill>
                  <w14:solidFill>
                    <w14:schemeClr w14:val="tx1"/>
                  </w14:solidFill>
                </w14:textFill>
              </w:rPr>
              <w:t>。</w:t>
            </w:r>
          </w:p>
          <w:p w14:paraId="1448D4B1">
            <w:pPr>
              <w:pStyle w:val="38"/>
              <w:pageBreakBefore w:val="0"/>
              <w:wordWrap/>
              <w:overflowPunct/>
              <w:topLinePunct w:val="0"/>
              <w:bidi w:val="0"/>
              <w:spacing w:line="560" w:lineRule="exact"/>
              <w:ind w:firstLine="480"/>
              <w:rPr>
                <w:rFonts w:hint="default"/>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基础配套建设本次建设配套道路共10条规划道路，总长度为6.952Km，工程内容包括道路工程、给排水工程、交通工程、电力、路灯工程、绿化工程等，以及完善园区基础设施建设。项目预计总投资19.283亿元，预计形成产值5亿元。</w:t>
            </w:r>
          </w:p>
          <w:p w14:paraId="53AEBC3C">
            <w:pPr>
              <w:pStyle w:val="38"/>
              <w:pageBreakBefore w:val="0"/>
              <w:wordWrap/>
              <w:overflowPunct/>
              <w:topLinePunct w:val="0"/>
              <w:bidi w:val="0"/>
              <w:spacing w:line="560" w:lineRule="exact"/>
              <w:ind w:firstLine="480"/>
              <w:rPr>
                <w:rFonts w:hint="eastAsia"/>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eastAsia="zh-CN"/>
                <w14:textFill>
                  <w14:solidFill>
                    <w14:schemeClr w14:val="tx1"/>
                  </w14:solidFill>
                </w14:textFill>
              </w:rPr>
              <w:t>6</w:t>
            </w:r>
            <w:r>
              <w:rPr>
                <w:rFonts w:hint="eastAsia"/>
                <w:b w:val="0"/>
                <w:bCs w:val="0"/>
                <w:color w:val="000000" w:themeColor="text1"/>
                <w:highlight w:val="none"/>
                <w:lang w:val="en-US" w:eastAsia="zh-CN"/>
                <w14:textFill>
                  <w14:solidFill>
                    <w14:schemeClr w14:val="tx1"/>
                  </w14:solidFill>
                </w14:textFill>
              </w:rPr>
              <w:t>.柳州国际生物健康科技产业园</w:t>
            </w:r>
          </w:p>
          <w:p w14:paraId="1C892657">
            <w:pPr>
              <w:pStyle w:val="38"/>
              <w:pageBreakBefore w:val="0"/>
              <w:wordWrap/>
              <w:overflowPunct/>
              <w:topLinePunct w:val="0"/>
              <w:bidi w:val="0"/>
              <w:spacing w:line="560" w:lineRule="exact"/>
              <w:ind w:firstLine="480"/>
              <w:rPr>
                <w:rFonts w:hint="default"/>
                <w:b/>
                <w:bCs/>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位于柳城县工业园区河西片区。项目一期总建筑面积为约150000㎡，</w:t>
            </w:r>
            <w:r>
              <w:rPr>
                <w:rFonts w:hint="eastAsia"/>
                <w:b w:val="0"/>
                <w:bCs w:val="0"/>
                <w:color w:val="000000" w:themeColor="text1"/>
                <w:highlight w:val="none"/>
                <w:lang w:val="en-US" w:eastAsia="zh-CN"/>
                <w14:textFill>
                  <w14:solidFill>
                    <w14:schemeClr w14:val="tx1"/>
                  </w14:solidFill>
                </w14:textFill>
              </w:rPr>
              <w:t>占地约</w:t>
            </w:r>
            <w:r>
              <w:rPr>
                <w:rFonts w:hint="default"/>
                <w:b w:val="0"/>
                <w:bCs w:val="0"/>
                <w:color w:val="000000" w:themeColor="text1"/>
                <w:highlight w:val="none"/>
                <w:lang w:val="en-US" w:eastAsia="zh-CN"/>
                <w14:textFill>
                  <w14:solidFill>
                    <w14:schemeClr w14:val="tx1"/>
                  </w14:solidFill>
                </w14:textFill>
              </w:rPr>
              <w:t>300亩。本项目通过建造规范化厂房、购进先进的生产设备，使企业不断发展壮大的同时，能更好</w:t>
            </w:r>
            <w:r>
              <w:rPr>
                <w:rFonts w:hint="eastAsia"/>
                <w:b w:val="0"/>
                <w:bCs w:val="0"/>
                <w:color w:val="000000" w:themeColor="text1"/>
                <w:highlight w:val="none"/>
                <w:lang w:val="en-US" w:eastAsia="zh-CN"/>
                <w14:textFill>
                  <w14:solidFill>
                    <w14:schemeClr w14:val="tx1"/>
                  </w14:solidFill>
                </w14:textFill>
              </w:rPr>
              <w:t>地</w:t>
            </w:r>
            <w:r>
              <w:rPr>
                <w:rFonts w:hint="default"/>
                <w:b w:val="0"/>
                <w:bCs w:val="0"/>
                <w:color w:val="000000" w:themeColor="text1"/>
                <w:highlight w:val="none"/>
                <w:lang w:val="en-US" w:eastAsia="zh-CN"/>
                <w14:textFill>
                  <w14:solidFill>
                    <w14:schemeClr w14:val="tx1"/>
                  </w14:solidFill>
                </w14:textFill>
              </w:rPr>
              <w:t>支持和服务于当地经济发展。全部工程设计均按照GMP的要求进行，工作完成后，满足国内、国外市场的质量管理体系要求。建设内容本项目为新建项目，主要生产规划的建设为：建设生活办公、质量检查、产品研发区域，原料制造区，以及配套的罐区、回收区、动力车间、仓储区（平层库和立体库、甲类仓库等）等生产装置区域、生产辅助区域以及生活辅助设施。预留二期制剂、化妆品、食品生产区。配套建设相应的消防设施、环保设施（污水处理等）。项目预计总投资16.4797亿元，预计产值4亿元</w:t>
            </w:r>
            <w:r>
              <w:rPr>
                <w:rFonts w:hint="eastAsia"/>
                <w:b w:val="0"/>
                <w:bCs w:val="0"/>
                <w:color w:val="000000" w:themeColor="text1"/>
                <w:highlight w:val="none"/>
                <w:lang w:val="en-US" w:eastAsia="zh-CN"/>
                <w14:textFill>
                  <w14:solidFill>
                    <w14:schemeClr w14:val="tx1"/>
                  </w14:solidFill>
                </w14:textFill>
              </w:rPr>
              <w:t>。</w:t>
            </w:r>
          </w:p>
        </w:tc>
      </w:tr>
    </w:tbl>
    <w:p w14:paraId="568C1AFC">
      <w:pPr>
        <w:pStyle w:val="21"/>
        <w:pageBreakBefore w:val="0"/>
        <w:wordWrap/>
        <w:overflowPunct/>
        <w:topLinePunct w:val="0"/>
        <w:bidi w:val="0"/>
        <w:spacing w:line="560" w:lineRule="exact"/>
        <w:ind w:firstLine="643" w:firstLineChars="200"/>
        <w:rPr>
          <w:rFonts w:hint="default"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木材加工产业。</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深入开展“建链、强链、补链、延链”工作，推动产业向精深加工方向转型升级。</w:t>
      </w:r>
      <w:r>
        <w:rPr>
          <w:rFonts w:hint="eastAsia" w:ascii="仿宋_GB2312" w:hAnsi="仿宋_GB2312" w:eastAsia="仿宋_GB2312" w:cs="仿宋_GB2312"/>
          <w:color w:val="000000" w:themeColor="text1"/>
          <w:sz w:val="32"/>
          <w:szCs w:val="32"/>
          <w:highlight w:val="none"/>
          <w14:textFill>
            <w14:solidFill>
              <w14:schemeClr w14:val="tx1"/>
            </w14:solidFill>
          </w14:textFill>
        </w:rPr>
        <w:t>培育企业向高端板材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定制家居、</w:t>
      </w:r>
      <w:r>
        <w:rPr>
          <w:rFonts w:hint="eastAsia" w:ascii="仿宋_GB2312" w:hAnsi="仿宋_GB2312" w:eastAsia="仿宋_GB2312" w:cs="仿宋_GB2312"/>
          <w:color w:val="000000" w:themeColor="text1"/>
          <w:sz w:val="32"/>
          <w:szCs w:val="32"/>
          <w:highlight w:val="none"/>
          <w14:textFill>
            <w14:solidFill>
              <w14:schemeClr w14:val="tx1"/>
            </w14:solidFill>
          </w14:textFill>
        </w:rPr>
        <w:t>智能家具领域扩产升级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推动马山安能地块木材园区建设。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同步绘制“产业链招商图谱”，定向吸引木工机械、环保胶黏剂、高端饰面纸</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五金配件</w:t>
      </w:r>
      <w:r>
        <w:rPr>
          <w:rFonts w:hint="eastAsia" w:ascii="仿宋_GB2312" w:hAnsi="仿宋_GB2312" w:eastAsia="仿宋_GB2312" w:cs="仿宋_GB2312"/>
          <w:color w:val="000000" w:themeColor="text1"/>
          <w:sz w:val="32"/>
          <w:szCs w:val="32"/>
          <w:highlight w:val="none"/>
          <w14:textFill>
            <w14:solidFill>
              <w14:schemeClr w14:val="tx1"/>
            </w14:solidFill>
          </w14:textFill>
        </w:rPr>
        <w:t>等配套企业入驻，构建“原料种植—板材加工—终端制造—配套服务”完整产业链。强化科技创新，搭建产学研合作平台，推广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人工</w:t>
      </w:r>
      <w:r>
        <w:rPr>
          <w:rFonts w:hint="eastAsia" w:ascii="仿宋_GB2312" w:hAnsi="仿宋_GB2312" w:eastAsia="仿宋_GB2312" w:cs="仿宋_GB2312"/>
          <w:color w:val="000000" w:themeColor="text1"/>
          <w:sz w:val="32"/>
          <w:szCs w:val="32"/>
          <w:highlight w:val="none"/>
          <w14:textFill>
            <w14:solidFill>
              <w14:schemeClr w14:val="tx1"/>
            </w14:solidFill>
          </w14:textFill>
        </w:rPr>
        <w:t>智能生产线和自动化设备，鼓励企业开发定向刨花板、高强度碳晶板等高端产品，提升附加值和市场抗风险能力。设立品牌发展专项资金，借助电商平台拓宽销售渠道</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支持企业打造区域知名品牌</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p>
    <w:tbl>
      <w:tblPr>
        <w:tblStyle w:val="17"/>
        <w:tblW w:w="8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8"/>
      </w:tblGrid>
      <w:tr w14:paraId="64A0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8" w:type="dxa"/>
          </w:tcPr>
          <w:p w14:paraId="5FE42063">
            <w:pPr>
              <w:pStyle w:val="37"/>
              <w:pageBreakBefore w:val="0"/>
              <w:wordWrap/>
              <w:overflowPunct/>
              <w:topLinePunct w:val="0"/>
              <w:bidi w:val="0"/>
              <w:spacing w:line="560" w:lineRule="exact"/>
              <w:jc w:val="center"/>
              <w:rPr>
                <w:color w:val="auto"/>
                <w:highlight w:val="none"/>
              </w:rPr>
            </w:pPr>
            <w:r>
              <w:rPr>
                <w:rFonts w:hint="eastAsia" w:ascii="黑体" w:hAnsi="黑体" w:eastAsia="黑体" w:cs="黑体"/>
                <w:color w:val="auto"/>
                <w:highlight w:val="none"/>
              </w:rPr>
              <w:t>专栏</w:t>
            </w:r>
            <w:r>
              <w:rPr>
                <w:rFonts w:hint="default" w:ascii="黑体" w:hAnsi="黑体" w:eastAsia="黑体" w:cs="黑体"/>
                <w:color w:val="auto"/>
                <w:highlight w:val="none"/>
                <w:lang w:eastAsia="zh-CN"/>
              </w:rPr>
              <w:t>4</w:t>
            </w:r>
            <w:r>
              <w:rPr>
                <w:rFonts w:hint="eastAsia" w:ascii="黑体" w:hAnsi="黑体" w:eastAsia="黑体" w:cs="黑体"/>
                <w:color w:val="auto"/>
                <w:highlight w:val="none"/>
              </w:rPr>
              <w:t>：</w:t>
            </w:r>
            <w:r>
              <w:rPr>
                <w:rFonts w:hint="eastAsia" w:ascii="黑体" w:hAnsi="黑体" w:eastAsia="黑体" w:cs="黑体"/>
                <w:color w:val="auto"/>
                <w:highlight w:val="none"/>
                <w:lang w:eastAsia="zh-Hans"/>
              </w:rPr>
              <w:t>木材加工产业</w:t>
            </w:r>
            <w:r>
              <w:rPr>
                <w:rFonts w:hint="eastAsia" w:ascii="黑体" w:hAnsi="黑体" w:eastAsia="黑体" w:cs="黑体"/>
                <w:color w:val="auto"/>
                <w:highlight w:val="none"/>
                <w:lang w:val="en-US" w:eastAsia="zh-CN"/>
              </w:rPr>
              <w:t>重</w:t>
            </w:r>
            <w:r>
              <w:rPr>
                <w:rFonts w:hint="eastAsia" w:ascii="黑体" w:hAnsi="黑体" w:eastAsia="黑体" w:cs="黑体"/>
                <w:color w:val="auto"/>
                <w:highlight w:val="none"/>
                <w:lang w:val="en-US" w:eastAsia="zh-Hans"/>
              </w:rPr>
              <w:t>点</w:t>
            </w:r>
            <w:r>
              <w:rPr>
                <w:rFonts w:hint="eastAsia" w:ascii="黑体" w:hAnsi="黑体" w:eastAsia="黑体" w:cs="黑体"/>
                <w:color w:val="auto"/>
                <w:highlight w:val="none"/>
              </w:rPr>
              <w:t>项目</w:t>
            </w:r>
          </w:p>
        </w:tc>
      </w:tr>
      <w:tr w14:paraId="751D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8" w:type="dxa"/>
          </w:tcPr>
          <w:p w14:paraId="01F687BC">
            <w:pPr>
              <w:pStyle w:val="38"/>
              <w:pageBreakBefore w:val="0"/>
              <w:wordWrap/>
              <w:overflowPunct/>
              <w:topLinePunct w:val="0"/>
              <w:bidi w:val="0"/>
              <w:spacing w:line="560" w:lineRule="exact"/>
              <w:ind w:firstLine="480"/>
              <w:rPr>
                <w:rFonts w:hint="eastAsia"/>
                <w:b w:val="0"/>
                <w:bCs w:val="0"/>
                <w:color w:val="auto"/>
                <w:highlight w:val="none"/>
                <w:lang w:val="en-US" w:eastAsia="zh-CN"/>
              </w:rPr>
            </w:pPr>
            <w:r>
              <w:rPr>
                <w:rFonts w:hint="eastAsia"/>
                <w:b w:val="0"/>
                <w:bCs w:val="0"/>
                <w:color w:val="auto"/>
                <w:highlight w:val="none"/>
              </w:rPr>
              <w:t>1.</w:t>
            </w:r>
            <w:r>
              <w:rPr>
                <w:rFonts w:hint="eastAsia"/>
                <w:b w:val="0"/>
                <w:bCs w:val="0"/>
                <w:color w:val="auto"/>
                <w:highlight w:val="none"/>
                <w:lang w:val="en-US" w:eastAsia="zh-CN"/>
              </w:rPr>
              <w:t>柳城县高端家具家装板材生产基地项目</w:t>
            </w:r>
          </w:p>
          <w:p w14:paraId="1BC782E4">
            <w:pPr>
              <w:pStyle w:val="38"/>
              <w:pageBreakBefore w:val="0"/>
              <w:wordWrap/>
              <w:overflowPunct/>
              <w:topLinePunct w:val="0"/>
              <w:bidi w:val="0"/>
              <w:spacing w:line="560" w:lineRule="exact"/>
              <w:ind w:firstLine="480"/>
              <w:rPr>
                <w:rFonts w:hint="default"/>
                <w:b w:val="0"/>
                <w:bCs w:val="0"/>
                <w:color w:val="auto"/>
                <w:highlight w:val="none"/>
                <w:lang w:val="en-US" w:eastAsia="zh-CN"/>
              </w:rPr>
            </w:pPr>
            <w:r>
              <w:rPr>
                <w:rFonts w:hint="default"/>
                <w:b w:val="0"/>
                <w:bCs w:val="0"/>
                <w:color w:val="auto"/>
                <w:highlight w:val="none"/>
                <w:lang w:val="en-US" w:eastAsia="zh-CN"/>
              </w:rPr>
              <w:t>项目计划投资10亿元，建设智能绿色高端家具家装板材生产基地，项目建成投产两年后产值达30亿元以上，年税收达7000万元以上。</w:t>
            </w:r>
          </w:p>
          <w:p w14:paraId="2E90C070">
            <w:pPr>
              <w:pStyle w:val="38"/>
              <w:pageBreakBefore w:val="0"/>
              <w:wordWrap/>
              <w:overflowPunct/>
              <w:topLinePunct w:val="0"/>
              <w:bidi w:val="0"/>
              <w:spacing w:line="560" w:lineRule="exact"/>
              <w:ind w:firstLine="480"/>
              <w:rPr>
                <w:rFonts w:hint="eastAsia"/>
                <w:b w:val="0"/>
                <w:bCs w:val="0"/>
                <w:color w:val="auto"/>
                <w:highlight w:val="none"/>
                <w:lang w:val="en-US" w:eastAsia="zh-CN"/>
              </w:rPr>
            </w:pPr>
            <w:r>
              <w:rPr>
                <w:rFonts w:hint="default"/>
                <w:b w:val="0"/>
                <w:bCs w:val="0"/>
                <w:color w:val="auto"/>
                <w:highlight w:val="none"/>
                <w:lang w:eastAsia="zh-CN"/>
              </w:rPr>
              <w:t>2</w:t>
            </w:r>
            <w:r>
              <w:rPr>
                <w:rFonts w:hint="eastAsia"/>
                <w:b w:val="0"/>
                <w:bCs w:val="0"/>
                <w:color w:val="auto"/>
                <w:highlight w:val="none"/>
                <w:lang w:val="en-US" w:eastAsia="zh-CN"/>
              </w:rPr>
              <w:t>.柳城县马山木材加工园区集中供蒸汽（60万吨/年）项目</w:t>
            </w:r>
          </w:p>
          <w:p w14:paraId="40B47617">
            <w:pPr>
              <w:pStyle w:val="38"/>
              <w:pageBreakBefore w:val="0"/>
              <w:wordWrap/>
              <w:overflowPunct/>
              <w:topLinePunct w:val="0"/>
              <w:bidi w:val="0"/>
              <w:spacing w:line="560" w:lineRule="exact"/>
              <w:ind w:firstLine="480"/>
              <w:rPr>
                <w:rFonts w:hint="default"/>
                <w:b w:val="0"/>
                <w:bCs w:val="0"/>
                <w:color w:val="auto"/>
                <w:highlight w:val="none"/>
                <w:lang w:val="en-US" w:eastAsia="zh-CN"/>
              </w:rPr>
            </w:pPr>
            <w:r>
              <w:rPr>
                <w:rFonts w:hint="default"/>
                <w:b w:val="0"/>
                <w:bCs w:val="0"/>
                <w:color w:val="auto"/>
                <w:highlight w:val="none"/>
                <w:lang w:val="en-US" w:eastAsia="zh-CN"/>
              </w:rPr>
              <w:t>项目拟建设一座集中供热站（厂），共计安装三台双燃烧炉型（SZZ30-1.6-SC系列）30吨/小时的燃生物质蒸汽锅炉；铺设园区蒸汽管网，总长度约12公里；建设配套的软水处理系统、除氧系统、控制系统等，预计年供蒸汽量：60万吨。</w:t>
            </w:r>
          </w:p>
          <w:p w14:paraId="12A3DDC4">
            <w:pPr>
              <w:pStyle w:val="38"/>
              <w:pageBreakBefore w:val="0"/>
              <w:wordWrap/>
              <w:overflowPunct/>
              <w:topLinePunct w:val="0"/>
              <w:bidi w:val="0"/>
              <w:spacing w:line="560" w:lineRule="exact"/>
              <w:ind w:firstLine="480"/>
              <w:rPr>
                <w:rFonts w:hint="eastAsia"/>
                <w:b w:val="0"/>
                <w:bCs w:val="0"/>
                <w:color w:val="auto"/>
                <w:highlight w:val="none"/>
                <w:lang w:val="en-US" w:eastAsia="zh-CN"/>
              </w:rPr>
            </w:pPr>
            <w:r>
              <w:rPr>
                <w:rFonts w:hint="default"/>
                <w:b w:val="0"/>
                <w:bCs w:val="0"/>
                <w:color w:val="auto"/>
                <w:highlight w:val="none"/>
                <w:lang w:eastAsia="zh-CN"/>
              </w:rPr>
              <w:t>3</w:t>
            </w:r>
            <w:r>
              <w:rPr>
                <w:rFonts w:hint="eastAsia"/>
                <w:b w:val="0"/>
                <w:bCs w:val="0"/>
                <w:color w:val="auto"/>
                <w:highlight w:val="none"/>
                <w:lang w:val="en-US" w:eastAsia="zh-CN"/>
              </w:rPr>
              <w:t>.全屋定制高档家具产业园项目</w:t>
            </w:r>
          </w:p>
          <w:p w14:paraId="62E61D63">
            <w:pPr>
              <w:pStyle w:val="38"/>
              <w:pageBreakBefore w:val="0"/>
              <w:wordWrap/>
              <w:overflowPunct/>
              <w:topLinePunct w:val="0"/>
              <w:bidi w:val="0"/>
              <w:spacing w:line="560" w:lineRule="exact"/>
              <w:ind w:firstLine="480"/>
              <w:rPr>
                <w:rFonts w:hint="default"/>
                <w:b w:val="0"/>
                <w:bCs w:val="0"/>
                <w:color w:val="auto"/>
                <w:highlight w:val="none"/>
                <w:lang w:val="en-US" w:eastAsia="zh-CN"/>
              </w:rPr>
            </w:pPr>
            <w:r>
              <w:rPr>
                <w:rFonts w:hint="default"/>
                <w:b w:val="0"/>
                <w:bCs w:val="0"/>
                <w:color w:val="auto"/>
                <w:highlight w:val="none"/>
                <w:lang w:val="en-US" w:eastAsia="zh-CN"/>
              </w:rPr>
              <w:t>项目落在柳城县马山木材加工园区，预计投资10亿元左右，预计形成20亿元以上的产值。</w:t>
            </w:r>
          </w:p>
          <w:p w14:paraId="78B1F158">
            <w:pPr>
              <w:pStyle w:val="38"/>
              <w:pageBreakBefore w:val="0"/>
              <w:wordWrap/>
              <w:overflowPunct/>
              <w:topLinePunct w:val="0"/>
              <w:bidi w:val="0"/>
              <w:spacing w:line="560" w:lineRule="exact"/>
              <w:ind w:firstLine="480"/>
              <w:rPr>
                <w:rFonts w:hint="eastAsia"/>
                <w:b w:val="0"/>
                <w:bCs w:val="0"/>
                <w:color w:val="auto"/>
                <w:highlight w:val="none"/>
                <w:lang w:val="en-US" w:eastAsia="zh-CN"/>
              </w:rPr>
            </w:pPr>
            <w:r>
              <w:rPr>
                <w:rFonts w:hint="default"/>
                <w:b w:val="0"/>
                <w:bCs w:val="0"/>
                <w:color w:val="auto"/>
                <w:highlight w:val="none"/>
                <w:lang w:eastAsia="zh-CN"/>
              </w:rPr>
              <w:t>4</w:t>
            </w:r>
            <w:r>
              <w:rPr>
                <w:rFonts w:hint="eastAsia"/>
                <w:b w:val="0"/>
                <w:bCs w:val="0"/>
                <w:color w:val="auto"/>
                <w:highlight w:val="none"/>
                <w:lang w:val="en-US" w:eastAsia="zh-CN"/>
              </w:rPr>
              <w:t>.高密度重组木项目</w:t>
            </w:r>
          </w:p>
          <w:p w14:paraId="075EE6E9">
            <w:pPr>
              <w:pStyle w:val="38"/>
              <w:pageBreakBefore w:val="0"/>
              <w:wordWrap/>
              <w:overflowPunct/>
              <w:topLinePunct w:val="0"/>
              <w:bidi w:val="0"/>
              <w:spacing w:line="560" w:lineRule="exact"/>
              <w:ind w:firstLine="480"/>
              <w:rPr>
                <w:rFonts w:hint="default"/>
                <w:b w:val="0"/>
                <w:bCs w:val="0"/>
                <w:color w:val="auto"/>
                <w:highlight w:val="none"/>
                <w:lang w:val="en-US" w:eastAsia="zh-CN"/>
              </w:rPr>
            </w:pPr>
            <w:r>
              <w:rPr>
                <w:rFonts w:hint="default"/>
                <w:b w:val="0"/>
                <w:bCs w:val="0"/>
                <w:color w:val="auto"/>
                <w:highlight w:val="none"/>
                <w:lang w:val="en-US" w:eastAsia="zh-CN"/>
              </w:rPr>
              <w:t>项目落在柳城县马山木材加工园区，预计投资1亿元左右，预计形成3亿元以上的产值。</w:t>
            </w:r>
          </w:p>
          <w:p w14:paraId="007C9EA2">
            <w:pPr>
              <w:pStyle w:val="38"/>
              <w:pageBreakBefore w:val="0"/>
              <w:wordWrap/>
              <w:overflowPunct/>
              <w:topLinePunct w:val="0"/>
              <w:bidi w:val="0"/>
              <w:spacing w:line="560" w:lineRule="exact"/>
              <w:ind w:firstLine="480"/>
              <w:rPr>
                <w:rFonts w:hint="eastAsia"/>
                <w:b w:val="0"/>
                <w:bCs w:val="0"/>
                <w:color w:val="auto"/>
                <w:highlight w:val="none"/>
                <w:lang w:val="en-US" w:eastAsia="zh-CN"/>
              </w:rPr>
            </w:pPr>
            <w:r>
              <w:rPr>
                <w:rFonts w:hint="eastAsia"/>
                <w:b w:val="0"/>
                <w:bCs w:val="0"/>
                <w:color w:val="auto"/>
                <w:highlight w:val="none"/>
                <w:lang w:val="en-US" w:eastAsia="zh-CN"/>
              </w:rPr>
              <w:t>5.广西瑞达新材料有限公司年产胶合板5万立方米项目</w:t>
            </w:r>
          </w:p>
          <w:p w14:paraId="13195806">
            <w:pPr>
              <w:pStyle w:val="38"/>
              <w:pageBreakBefore w:val="0"/>
              <w:wordWrap/>
              <w:overflowPunct/>
              <w:topLinePunct w:val="0"/>
              <w:bidi w:val="0"/>
              <w:spacing w:line="560" w:lineRule="exact"/>
              <w:ind w:left="0" w:leftChars="0" w:firstLine="480" w:firstLineChars="200"/>
              <w:rPr>
                <w:rFonts w:hint="default"/>
                <w:b w:val="0"/>
                <w:bCs w:val="0"/>
                <w:color w:val="auto"/>
                <w:highlight w:val="none"/>
                <w:lang w:val="en-US" w:eastAsia="zh-CN"/>
              </w:rPr>
            </w:pPr>
            <w:r>
              <w:rPr>
                <w:rFonts w:hint="default"/>
                <w:b w:val="0"/>
                <w:bCs w:val="0"/>
                <w:color w:val="auto"/>
                <w:highlight w:val="none"/>
                <w:lang w:val="en-US" w:eastAsia="zh-CN"/>
              </w:rPr>
              <w:t>项目落在柳城县</w:t>
            </w:r>
            <w:r>
              <w:rPr>
                <w:rFonts w:hint="eastAsia"/>
                <w:b w:val="0"/>
                <w:bCs w:val="0"/>
                <w:color w:val="auto"/>
                <w:highlight w:val="none"/>
                <w:lang w:val="en-US" w:eastAsia="zh-CN"/>
              </w:rPr>
              <w:t>工业区河西片区</w:t>
            </w:r>
            <w:r>
              <w:rPr>
                <w:rFonts w:hint="default"/>
                <w:b w:val="0"/>
                <w:bCs w:val="0"/>
                <w:color w:val="auto"/>
                <w:highlight w:val="none"/>
                <w:lang w:val="en-US" w:eastAsia="zh-CN"/>
              </w:rPr>
              <w:t>，预计投资1亿元左右，预计形成</w:t>
            </w:r>
            <w:r>
              <w:rPr>
                <w:rFonts w:hint="eastAsia"/>
                <w:b w:val="0"/>
                <w:bCs w:val="0"/>
                <w:color w:val="auto"/>
                <w:highlight w:val="none"/>
                <w:lang w:val="en-US" w:eastAsia="zh-CN"/>
              </w:rPr>
              <w:t>1.5</w:t>
            </w:r>
            <w:r>
              <w:rPr>
                <w:rFonts w:hint="default"/>
                <w:b w:val="0"/>
                <w:bCs w:val="0"/>
                <w:color w:val="auto"/>
                <w:highlight w:val="none"/>
                <w:lang w:val="en-US" w:eastAsia="zh-CN"/>
              </w:rPr>
              <w:t>亿元以上的产值。</w:t>
            </w:r>
          </w:p>
        </w:tc>
      </w:tr>
    </w:tbl>
    <w:p w14:paraId="2A2CFFBD">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lang w:val="en-US" w:eastAsia="zh-Hans"/>
        </w:rPr>
      </w:pPr>
      <w:bookmarkStart w:id="18" w:name="_Toc1497545409"/>
      <w:r>
        <w:rPr>
          <w:rFonts w:hint="eastAsia" w:ascii="楷体" w:hAnsi="楷体" w:eastAsia="楷体" w:cs="楷体"/>
          <w:color w:val="auto"/>
          <w:lang w:val="en-US" w:eastAsia="zh-CN"/>
        </w:rPr>
        <w:t>第二节 培育</w:t>
      </w:r>
      <w:r>
        <w:rPr>
          <w:rFonts w:hint="eastAsia" w:ascii="楷体" w:hAnsi="楷体" w:eastAsia="楷体" w:cs="楷体"/>
          <w:color w:val="auto"/>
          <w:lang w:val="en-US" w:eastAsia="zh-Hans"/>
        </w:rPr>
        <w:t>壮大</w:t>
      </w:r>
      <w:r>
        <w:rPr>
          <w:rFonts w:hint="eastAsia" w:ascii="楷体" w:hAnsi="楷体" w:eastAsia="楷体" w:cs="楷体"/>
          <w:color w:val="auto"/>
          <w:lang w:val="en-US" w:eastAsia="zh-CN"/>
        </w:rPr>
        <w:t>新兴产业</w:t>
      </w:r>
      <w:r>
        <w:rPr>
          <w:rFonts w:hint="eastAsia" w:ascii="楷体" w:hAnsi="楷体" w:eastAsia="楷体" w:cs="楷体"/>
          <w:color w:val="auto"/>
          <w:lang w:val="en-US" w:eastAsia="zh-Hans"/>
        </w:rPr>
        <w:t>和未来产业</w:t>
      </w:r>
      <w:r>
        <w:rPr>
          <w:rFonts w:hint="default" w:ascii="楷体" w:hAnsi="楷体" w:eastAsia="楷体" w:cs="楷体"/>
          <w:color w:val="auto"/>
          <w:lang w:val="en-US" w:eastAsia="zh-CN"/>
        </w:rPr>
        <w:t>，</w:t>
      </w:r>
      <w:r>
        <w:rPr>
          <w:rFonts w:hint="eastAsia" w:ascii="楷体" w:hAnsi="楷体" w:eastAsia="楷体" w:cs="楷体"/>
          <w:color w:val="auto"/>
          <w:lang w:val="en-US" w:eastAsia="zh-Hans"/>
        </w:rPr>
        <w:t>推动产业优化升级</w:t>
      </w:r>
      <w:bookmarkEnd w:id="18"/>
    </w:p>
    <w:p w14:paraId="29FE14AA">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000000" w:themeColor="text1"/>
          <w:spacing w:val="0"/>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积极布局战略性新兴产业与未来产业，塑造发展新动能新优势。重点发展新能源产业，统筹推进清洁能源项目开发。抢抓广西建设新材料产业高地机遇，构建硅铟基新材料产业链。</w:t>
      </w:r>
      <w:r>
        <w:rPr>
          <w:rFonts w:hint="eastAsia" w:ascii="Times New Roman" w:hAnsi="Times New Roman" w:eastAsia="仿宋_GB2312" w:cs="Times New Roman"/>
          <w:b w:val="0"/>
          <w:bCs w:val="0"/>
          <w:color w:val="000000" w:themeColor="text1"/>
          <w:sz w:val="32"/>
          <w:szCs w:val="32"/>
          <w:highlight w:val="none"/>
          <w:lang w:val="en-US" w:eastAsia="zh-Hans"/>
          <w14:textFill>
            <w14:solidFill>
              <w14:schemeClr w14:val="tx1"/>
            </w14:solidFill>
          </w14:textFill>
        </w:rPr>
        <w:t>前瞻</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布局低空经济，培育低空经济新业态。实施“人工智能+”行动，推动人工智能</w:t>
      </w:r>
      <w:r>
        <w:rPr>
          <w:rFonts w:hint="eastAsia" w:ascii="Times New Roman" w:hAnsi="Times New Roman" w:eastAsia="仿宋_GB2312" w:cs="Times New Roman"/>
          <w:b w:val="0"/>
          <w:bCs w:val="0"/>
          <w:color w:val="000000" w:themeColor="text1"/>
          <w:sz w:val="32"/>
          <w:szCs w:val="32"/>
          <w:highlight w:val="none"/>
          <w:lang w:val="en-US" w:eastAsia="zh-Hans"/>
          <w14:textFill>
            <w14:solidFill>
              <w14:schemeClr w14:val="tx1"/>
            </w14:solidFill>
          </w14:textFill>
        </w:rPr>
        <w:t>在不同场景的</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应用</w:t>
      </w:r>
      <w:r>
        <w:rPr>
          <w:rFonts w:hint="default" w:ascii="Times New Roman" w:hAnsi="Times New Roman" w:eastAsia="仿宋_GB2312" w:cs="Times New Roman"/>
          <w:i w:val="0"/>
          <w:caps w:val="0"/>
          <w:color w:val="000000" w:themeColor="text1"/>
          <w:spacing w:val="0"/>
          <w:sz w:val="32"/>
          <w:szCs w:val="32"/>
          <w:highlight w:val="none"/>
          <w:shd w:val="clear" w:color="auto" w:fill="FFFFFF"/>
          <w:lang w:eastAsia="zh-CN"/>
          <w14:textFill>
            <w14:solidFill>
              <w14:schemeClr w14:val="tx1"/>
            </w14:solidFill>
          </w14:textFill>
        </w:rPr>
        <w:t>。</w:t>
      </w:r>
    </w:p>
    <w:p w14:paraId="4A29C4F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新能源产业。</w:t>
      </w:r>
      <w:r>
        <w:rPr>
          <w:rFonts w:hint="eastAsia" w:ascii="仿宋_GB2312" w:hAnsi="仿宋_GB2312" w:eastAsia="仿宋_GB2312" w:cs="仿宋_GB2312"/>
          <w:b w:val="0"/>
          <w:bCs w:val="0"/>
          <w:color w:val="auto"/>
          <w:sz w:val="32"/>
          <w:szCs w:val="32"/>
          <w:highlight w:val="none"/>
          <w:lang w:val="en-US" w:eastAsia="zh-CN"/>
        </w:rPr>
        <w:t>加快大岩山风电（101MW）、古砦光伏（72MW）等已投产项目的效益释放，推动太平、沙埔、大岩山风电场（二期）、龙头风电场、京能国际分散式风电（78MW）等新项目开工建设。同步布局储能设施，推进河西储能项目建设，提升</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电网消纳能力。加快推进柳城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页岩气开发和利用，加大招商引资延伸产业链条，谋划布局柳城页岩气开发和利用产业园建设，推动页岩气全产业链发展。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推进生物质发电项目</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设现代化的畜禽粪污及农作物秸秆收运系统、预处理系统（畜禽粪污预处理系统、秸秆预处理系统）、厌氧发酵系统、沼气净化与利用系统、沼气存储系统、沼渣脱水系统、增温系统、除臭系统、有机肥生产系统等</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14:textFill>
            <w14:solidFill>
              <w14:schemeClr w14:val="tx1"/>
            </w14:solidFill>
          </w14:textFill>
        </w:rPr>
        <w:t>农林废弃物（秸秆、锯末、甘蔗渣等）、畜禽粪便、城市有机垃圾等发电，通过直燃发电（适合秸秆、木屑等固体燃料），气化发电适用于高水分原料（如畜禽粪便），通过气化炉将生物质转化为可燃气体再发电。</w:t>
      </w:r>
    </w:p>
    <w:p w14:paraId="01AC643E">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低空经济。</w:t>
      </w:r>
      <w:r>
        <w:rPr>
          <w:rFonts w:hint="eastAsia" w:ascii="仿宋_GB2312" w:hAnsi="仿宋_GB2312" w:eastAsia="仿宋_GB2312" w:cs="仿宋_GB2312"/>
          <w:color w:val="000000" w:themeColor="text1"/>
          <w:sz w:val="32"/>
          <w:szCs w:val="32"/>
          <w:highlight w:val="none"/>
          <w14:textFill>
            <w14:solidFill>
              <w14:schemeClr w14:val="tx1"/>
            </w14:solidFill>
          </w14:textFill>
        </w:rPr>
        <w:t>积极融入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广西</w:t>
      </w:r>
      <w:r>
        <w:rPr>
          <w:rFonts w:hint="eastAsia" w:ascii="仿宋_GB2312" w:hAnsi="仿宋_GB2312" w:eastAsia="仿宋_GB2312" w:cs="仿宋_GB2312"/>
          <w:color w:val="000000" w:themeColor="text1"/>
          <w:sz w:val="32"/>
          <w:szCs w:val="32"/>
          <w:highlight w:val="none"/>
          <w14:textFill>
            <w14:solidFill>
              <w14:schemeClr w14:val="tx1"/>
            </w14:solidFill>
          </w14:textFill>
        </w:rPr>
        <w:t>高质量发展低空经济布局，统筹规划发展低空经济产业，聚焦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无人机</w:t>
      </w:r>
      <w:r>
        <w:rPr>
          <w:rFonts w:hint="eastAsia" w:ascii="仿宋_GB2312" w:hAnsi="仿宋_GB2312" w:eastAsia="仿宋_GB2312" w:cs="仿宋_GB2312"/>
          <w:color w:val="000000" w:themeColor="text1"/>
          <w:sz w:val="32"/>
          <w:szCs w:val="32"/>
          <w:highlight w:val="none"/>
          <w14:textFill>
            <w14:solidFill>
              <w14:schemeClr w14:val="tx1"/>
            </w14:solidFill>
          </w14:textFill>
        </w:rPr>
        <w:t>整机制造、核心部件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发展低空经济产业制造业，推动沙埔金属精加工向无人机、电池等精密件产业协同，</w:t>
      </w:r>
      <w:r>
        <w:rPr>
          <w:rFonts w:hint="eastAsia" w:ascii="仿宋_GB2312" w:hAnsi="仿宋_GB2312" w:eastAsia="仿宋_GB2312" w:cs="仿宋_GB2312"/>
          <w:color w:val="000000" w:themeColor="text1"/>
          <w:sz w:val="32"/>
          <w:szCs w:val="32"/>
          <w:highlight w:val="none"/>
          <w14:textFill>
            <w14:solidFill>
              <w14:schemeClr w14:val="tx1"/>
            </w14:solidFill>
          </w14:textFill>
        </w:rPr>
        <w:t>嵌入飞机制造产业体系。加快低空经济应用场景开放场景，建成一批工业应用、农业植保、乡村测绘、应急救援、应急巡查、旅游观光、物流配送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示范应用项目，</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逐步形成“基础设施+应用场景+技术研发”的投资生态。</w:t>
      </w:r>
    </w:p>
    <w:p w14:paraId="0B7B185F">
      <w:pPr>
        <w:keepNext w:val="0"/>
        <w:keepLines w:val="0"/>
        <w:pageBreakBefore w:val="0"/>
        <w:widowControl w:val="0"/>
        <w:numPr>
          <w:ilvl w:val="0"/>
          <w:numId w:val="0"/>
        </w:numPr>
        <w:pBdr>
          <w:bottom w:val="single" w:color="FFFFFF" w:sz="8" w:space="15"/>
        </w:pBdr>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highlight w:val="none"/>
          <w14:textFill>
            <w14:solidFill>
              <w14:schemeClr w14:val="tx1"/>
            </w14:solidFill>
          </w14:textFill>
        </w:rPr>
        <w:t>人工智能。</w:t>
      </w:r>
      <w:r>
        <w:rPr>
          <w:rFonts w:hint="eastAsia" w:ascii="仿宋_GB2312" w:hAnsi="仿宋_GB2312" w:eastAsia="仿宋_GB2312" w:cs="仿宋_GB2312"/>
          <w:b w:val="0"/>
          <w:bCs w:val="0"/>
          <w:color w:val="000000" w:themeColor="text1"/>
          <w:sz w:val="32"/>
          <w:highlight w:val="none"/>
          <w:lang w:val="en-US" w:eastAsia="zh-CN"/>
          <w14:textFill>
            <w14:solidFill>
              <w14:schemeClr w14:val="tx1"/>
            </w14:solidFill>
          </w14:textFill>
        </w:rPr>
        <w:t>围绕</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精细化工、金属精加工、</w:t>
      </w:r>
      <w:r>
        <w:rPr>
          <w:rFonts w:hint="default"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食品医药（农产品加工）</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、木材加工四</w:t>
      </w:r>
      <w:r>
        <w:rPr>
          <w:rFonts w:hint="eastAsia" w:ascii="仿宋_GB2312" w:hAnsi="仿宋_GB2312" w:eastAsia="仿宋_GB2312" w:cs="仿宋_GB2312"/>
          <w:b w:val="0"/>
          <w:bCs w:val="0"/>
          <w:color w:val="000000" w:themeColor="text1"/>
          <w:sz w:val="32"/>
          <w:szCs w:val="32"/>
          <w:highlight w:val="none"/>
          <w:lang w:val="en-US" w:eastAsia="zh-Hans"/>
          <w14:textFill>
            <w14:solidFill>
              <w14:schemeClr w14:val="tx1"/>
            </w14:solidFill>
          </w14:textFill>
        </w:rPr>
        <w:t>大传统支柱</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产业，推动“人工智能+制造”，支持企业创建智能工厂，无人车间，提高企业智能化水平。</w:t>
      </w:r>
      <w:r>
        <w:rPr>
          <w:rFonts w:hint="eastAsia" w:ascii="仿宋_GB2312" w:hAnsi="仿宋_GB2312" w:eastAsia="仿宋_GB2312" w:cs="仿宋_GB2312"/>
          <w:color w:val="000000" w:themeColor="text1"/>
          <w:sz w:val="32"/>
          <w:highlight w:val="none"/>
          <w14:textFill>
            <w14:solidFill>
              <w14:schemeClr w14:val="tx1"/>
            </w14:solidFill>
          </w14:textFill>
        </w:rPr>
        <w:t>以北部生态新区打造智能终端及机器人产业集群</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为契机，推动沙埔工业园区发展机器人、无人机等制造业，推动金属精加工产业发展壮大</w:t>
      </w:r>
      <w:r>
        <w:rPr>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lang w:eastAsia="zh-Hans"/>
          <w14:textFill>
            <w14:solidFill>
              <w14:schemeClr w14:val="tx1"/>
            </w14:solidFill>
          </w14:textFill>
        </w:rPr>
        <w:t>实施</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“人工智能+</w:t>
      </w:r>
      <w:r>
        <w:rPr>
          <w:rFonts w:hint="eastAsia" w:ascii="仿宋_GB2312" w:hAnsi="仿宋_GB2312" w:eastAsia="仿宋_GB2312" w:cs="仿宋_GB2312"/>
          <w:b w:val="0"/>
          <w:bCs w:val="0"/>
          <w:color w:val="000000" w:themeColor="text1"/>
          <w:sz w:val="32"/>
          <w:szCs w:val="32"/>
          <w:highlight w:val="none"/>
          <w:lang w:val="en-US" w:eastAsia="zh-Hans"/>
          <w14:textFill>
            <w14:solidFill>
              <w14:schemeClr w14:val="tx1"/>
            </w14:solidFill>
          </w14:textFill>
        </w:rPr>
        <w:t>政务</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继续推进数智政务改革，深化AI等数字技术运用，升级“城e办”AI智慧政务专区建设，继续保持全市数智政务领先优势。</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推动人工智能场景应用，</w:t>
      </w:r>
      <w:r>
        <w:rPr>
          <w:rFonts w:hint="eastAsia" w:ascii="仿宋_GB2312" w:hAnsi="仿宋_GB2312" w:eastAsia="仿宋_GB2312" w:cs="仿宋_GB2312"/>
          <w:color w:val="000000" w:themeColor="text1"/>
          <w:sz w:val="32"/>
          <w:szCs w:val="32"/>
          <w:highlight w:val="none"/>
          <w14:textFill>
            <w14:solidFill>
              <w14:schemeClr w14:val="tx1"/>
            </w14:solidFill>
          </w14:textFill>
        </w:rPr>
        <w:t>逐步实现智能终端及机器人产品在工业、医疗、教育、农业、商业家用、康养、应急、安防</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、消防安全</w:t>
      </w:r>
      <w:r>
        <w:rPr>
          <w:rFonts w:hint="eastAsia" w:ascii="仿宋_GB2312" w:hAnsi="仿宋_GB2312" w:eastAsia="仿宋_GB2312" w:cs="仿宋_GB2312"/>
          <w:color w:val="000000" w:themeColor="text1"/>
          <w:sz w:val="32"/>
          <w:szCs w:val="32"/>
          <w:highlight w:val="none"/>
          <w14:textFill>
            <w14:solidFill>
              <w14:schemeClr w14:val="tx1"/>
            </w14:solidFill>
          </w14:textFill>
        </w:rPr>
        <w:t>等领域应用落地，到20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年，力争打造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个以上应用场景</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如</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农业智能精准管理（甘蔗研发种植等）、工业质检与设备巡检（适用于柳城的制糖、化工、木材等传统工业升级）、智慧物流与仓储管理、智能政务服务、医疗辅助诊断与健康管理、智慧文旅服务、环境监测与生态治理、智能教育与个性化辅导、智能安防与社会治理、智能制造与生产优化</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tbl>
      <w:tblPr>
        <w:tblStyle w:val="17"/>
        <w:tblW w:w="8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4"/>
      </w:tblGrid>
      <w:tr w14:paraId="14F3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4" w:type="dxa"/>
          </w:tcPr>
          <w:p w14:paraId="7B7C91DC">
            <w:pPr>
              <w:pStyle w:val="37"/>
              <w:pageBreakBefore w:val="0"/>
              <w:overflowPunct/>
              <w:topLinePunct w:val="0"/>
              <w:bidi w:val="0"/>
              <w:spacing w:line="288" w:lineRule="auto"/>
              <w:jc w:val="center"/>
              <w:rPr>
                <w:color w:val="auto"/>
                <w:highlight w:val="none"/>
              </w:rPr>
            </w:pPr>
            <w:r>
              <w:rPr>
                <w:rFonts w:hint="eastAsia" w:ascii="黑体" w:hAnsi="黑体" w:eastAsia="黑体" w:cs="黑体"/>
                <w:color w:val="auto"/>
                <w:highlight w:val="none"/>
              </w:rPr>
              <w:t>专栏</w:t>
            </w:r>
            <w:r>
              <w:rPr>
                <w:rFonts w:hint="default" w:ascii="黑体" w:hAnsi="黑体" w:eastAsia="黑体" w:cs="黑体"/>
                <w:color w:val="auto"/>
                <w:highlight w:val="none"/>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新兴产业</w:t>
            </w:r>
            <w:r>
              <w:rPr>
                <w:rFonts w:hint="eastAsia" w:ascii="黑体" w:hAnsi="黑体" w:eastAsia="黑体" w:cs="黑体"/>
                <w:color w:val="auto"/>
                <w:highlight w:val="none"/>
                <w:lang w:val="en-US" w:eastAsia="zh-Hans"/>
              </w:rPr>
              <w:t>和未来产业</w:t>
            </w:r>
            <w:r>
              <w:rPr>
                <w:rFonts w:hint="eastAsia" w:ascii="黑体" w:hAnsi="黑体" w:eastAsia="黑体" w:cs="黑体"/>
                <w:color w:val="auto"/>
                <w:highlight w:val="none"/>
                <w:lang w:val="en-US" w:eastAsia="zh-CN"/>
              </w:rPr>
              <w:t>重</w:t>
            </w:r>
            <w:r>
              <w:rPr>
                <w:rFonts w:hint="eastAsia" w:ascii="黑体" w:hAnsi="黑体" w:eastAsia="黑体" w:cs="黑体"/>
                <w:color w:val="auto"/>
                <w:highlight w:val="none"/>
                <w:lang w:val="en-US" w:eastAsia="zh-Hans"/>
              </w:rPr>
              <w:t>点</w:t>
            </w:r>
            <w:r>
              <w:rPr>
                <w:rFonts w:hint="eastAsia" w:ascii="黑体" w:hAnsi="黑体" w:eastAsia="黑体" w:cs="黑体"/>
                <w:color w:val="auto"/>
                <w:highlight w:val="none"/>
              </w:rPr>
              <w:t>项目</w:t>
            </w:r>
          </w:p>
        </w:tc>
      </w:tr>
      <w:tr w14:paraId="4CA3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4" w:type="dxa"/>
          </w:tcPr>
          <w:p w14:paraId="6DC7756A">
            <w:pPr>
              <w:pStyle w:val="38"/>
              <w:pageBreakBefore w:val="0"/>
              <w:numPr>
                <w:ilvl w:val="0"/>
                <w:numId w:val="0"/>
              </w:numPr>
              <w:overflowPunct/>
              <w:topLinePunct w:val="0"/>
              <w:bidi w:val="0"/>
              <w:spacing w:line="288" w:lineRule="auto"/>
              <w:ind w:leftChars="200"/>
              <w:rPr>
                <w:rFonts w:hint="eastAsia"/>
                <w:b w:val="0"/>
                <w:bCs w:val="0"/>
                <w:color w:val="auto"/>
                <w:highlight w:val="none"/>
                <w:lang w:val="en-US" w:eastAsia="zh-CN"/>
              </w:rPr>
            </w:pPr>
            <w:r>
              <w:rPr>
                <w:rFonts w:hint="eastAsia"/>
                <w:b w:val="0"/>
                <w:bCs w:val="0"/>
                <w:color w:val="auto"/>
                <w:highlight w:val="none"/>
                <w:lang w:val="en-US" w:eastAsia="zh-CN"/>
              </w:rPr>
              <w:t>1</w:t>
            </w:r>
            <w:r>
              <w:rPr>
                <w:rFonts w:hint="default"/>
                <w:b w:val="0"/>
                <w:bCs w:val="0"/>
                <w:color w:val="auto"/>
                <w:highlight w:val="none"/>
                <w:lang w:eastAsia="zh-CN"/>
              </w:rPr>
              <w:t>.</w:t>
            </w:r>
            <w:r>
              <w:rPr>
                <w:rFonts w:hint="eastAsia"/>
                <w:b w:val="0"/>
                <w:bCs w:val="0"/>
                <w:color w:val="auto"/>
                <w:highlight w:val="none"/>
                <w:lang w:val="en-US" w:eastAsia="zh-CN"/>
              </w:rPr>
              <w:t>柳城南页岩气项目</w:t>
            </w:r>
            <w:r>
              <w:rPr>
                <w:rFonts w:hint="eastAsia"/>
                <w:b w:val="0"/>
                <w:bCs w:val="0"/>
                <w:color w:val="auto"/>
                <w:highlight w:val="none"/>
                <w:lang w:val="en-US" w:eastAsia="zh-CN"/>
              </w:rPr>
              <w:br w:type="textWrapping"/>
            </w:r>
            <w:r>
              <w:rPr>
                <w:rFonts w:hint="eastAsia"/>
                <w:b w:val="0"/>
                <w:bCs w:val="0"/>
                <w:color w:val="auto"/>
                <w:highlight w:val="none"/>
                <w:lang w:val="en-US" w:eastAsia="zh-CN"/>
              </w:rPr>
              <w:t xml:space="preserve">  依据桂中－南盘江坳陷油气勘探前期综合研究，“十五五”期间将以页</w:t>
            </w:r>
          </w:p>
          <w:p w14:paraId="2ADF0739">
            <w:pPr>
              <w:pStyle w:val="38"/>
              <w:pageBreakBefore w:val="0"/>
              <w:numPr>
                <w:ilvl w:val="0"/>
                <w:numId w:val="0"/>
              </w:numPr>
              <w:overflowPunct/>
              <w:topLinePunct w:val="0"/>
              <w:bidi w:val="0"/>
              <w:spacing w:line="288" w:lineRule="auto"/>
              <w:rPr>
                <w:rFonts w:hint="eastAsia" w:eastAsia="仿宋_GB2312"/>
                <w:b w:val="0"/>
                <w:bCs w:val="0"/>
                <w:color w:val="auto"/>
                <w:highlight w:val="none"/>
                <w:lang w:val="en-US" w:eastAsia="zh-CN"/>
              </w:rPr>
            </w:pPr>
            <w:r>
              <w:rPr>
                <w:rFonts w:hint="eastAsia"/>
                <w:b w:val="0"/>
                <w:bCs w:val="0"/>
                <w:color w:val="auto"/>
                <w:highlight w:val="none"/>
                <w:lang w:val="en-US" w:eastAsia="zh-CN"/>
              </w:rPr>
              <w:t>岩气突破和发现为重点、拓展勘探与重点评价相结合，计划部署钻井井场3个（凤页1井场～凤页3井场），共计设置勘探井12口。</w:t>
            </w:r>
          </w:p>
          <w:p w14:paraId="3802A6B8">
            <w:pPr>
              <w:pStyle w:val="38"/>
              <w:pageBreakBefore w:val="0"/>
              <w:numPr>
                <w:ilvl w:val="0"/>
                <w:numId w:val="0"/>
              </w:numPr>
              <w:overflowPunct/>
              <w:topLinePunct w:val="0"/>
              <w:bidi w:val="0"/>
              <w:spacing w:line="288" w:lineRule="auto"/>
              <w:ind w:leftChars="200"/>
              <w:rPr>
                <w:rFonts w:hint="eastAsia"/>
                <w:b w:val="0"/>
                <w:bCs w:val="0"/>
                <w:color w:val="auto"/>
                <w:highlight w:val="none"/>
              </w:rPr>
            </w:pPr>
            <w:r>
              <w:rPr>
                <w:rFonts w:hint="eastAsia"/>
                <w:b w:val="0"/>
                <w:bCs w:val="0"/>
                <w:color w:val="auto"/>
                <w:highlight w:val="none"/>
                <w:lang w:val="en-US" w:eastAsia="zh-CN"/>
              </w:rPr>
              <w:t>2</w:t>
            </w:r>
            <w:r>
              <w:rPr>
                <w:rFonts w:hint="default"/>
                <w:b w:val="0"/>
                <w:bCs w:val="0"/>
                <w:color w:val="auto"/>
                <w:highlight w:val="none"/>
              </w:rPr>
              <w:t>.</w:t>
            </w:r>
            <w:r>
              <w:rPr>
                <w:rFonts w:hint="eastAsia"/>
                <w:b w:val="0"/>
                <w:bCs w:val="0"/>
                <w:color w:val="auto"/>
                <w:highlight w:val="none"/>
              </w:rPr>
              <w:t>柳城县200MW/400MWh集中式储能项目</w:t>
            </w:r>
          </w:p>
          <w:p w14:paraId="50EA6829">
            <w:pPr>
              <w:pStyle w:val="38"/>
              <w:pageBreakBefore w:val="0"/>
              <w:overflowPunct/>
              <w:topLinePunct w:val="0"/>
              <w:bidi w:val="0"/>
              <w:spacing w:line="288" w:lineRule="auto"/>
              <w:ind w:firstLine="480"/>
              <w:rPr>
                <w:rFonts w:hint="eastAsia"/>
                <w:b w:val="0"/>
                <w:bCs w:val="0"/>
                <w:color w:val="auto"/>
                <w:highlight w:val="none"/>
              </w:rPr>
            </w:pPr>
            <w:r>
              <w:rPr>
                <w:rFonts w:hint="eastAsia"/>
                <w:b w:val="0"/>
                <w:bCs w:val="0"/>
                <w:color w:val="auto"/>
                <w:highlight w:val="none"/>
              </w:rPr>
              <w:t>占地面积26640平方米，建筑面积1500平方米。本项目新建200MW/400MWh储能电站，拟选用磷酸铁锂电池，配套建设1座220kv升压站。其中包括储能电池室、集控室、配电室、升压站、值班室、办公楼以及</w:t>
            </w:r>
            <w:r>
              <w:rPr>
                <w:rFonts w:hint="eastAsia"/>
                <w:b w:val="0"/>
                <w:bCs w:val="0"/>
                <w:color w:val="auto"/>
                <w:highlight w:val="none"/>
                <w:lang w:eastAsia="zh-CN"/>
              </w:rPr>
              <w:t>其他</w:t>
            </w:r>
            <w:r>
              <w:rPr>
                <w:rFonts w:hint="eastAsia"/>
                <w:b w:val="0"/>
                <w:bCs w:val="0"/>
                <w:color w:val="auto"/>
                <w:highlight w:val="none"/>
              </w:rPr>
              <w:t>附属运营设施等。</w:t>
            </w:r>
          </w:p>
          <w:p w14:paraId="6EDFD48C">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3.柳城县沙埔风电场项目</w:t>
            </w:r>
          </w:p>
          <w:p w14:paraId="4D540CB6">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总装机容量为100MW，配备20MW/40MWh储能。</w:t>
            </w:r>
          </w:p>
          <w:p w14:paraId="7DEFB85B">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4.柳城县龙头风电场项目</w:t>
            </w:r>
          </w:p>
          <w:p w14:paraId="076CA589">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总装机容量为100MW，配备20MW/40MWh储能。</w:t>
            </w:r>
          </w:p>
          <w:p w14:paraId="4AE375CC">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5.柳城县太平风电场项目</w:t>
            </w:r>
          </w:p>
          <w:p w14:paraId="55F2B24D">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总装机容量为100MW，配备20MW/40MWh储能。</w:t>
            </w:r>
          </w:p>
          <w:p w14:paraId="181B2038">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6.柳城县大岩山风电场二期工程项目</w:t>
            </w:r>
          </w:p>
          <w:p w14:paraId="2CE88ED2">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总装机容量为100MW，配备20MW/40MWh储能。</w:t>
            </w:r>
          </w:p>
          <w:p w14:paraId="5509DEB7">
            <w:pPr>
              <w:pStyle w:val="38"/>
              <w:pageBreakBefore w:val="0"/>
              <w:overflowPunct/>
              <w:topLinePunct w:val="0"/>
              <w:bidi w:val="0"/>
              <w:spacing w:line="288" w:lineRule="auto"/>
              <w:ind w:left="0" w:leftChars="0" w:firstLine="480" w:firstLineChars="200"/>
              <w:rPr>
                <w:rFonts w:hint="eastAsia"/>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7</w:t>
            </w:r>
            <w:r>
              <w:rPr>
                <w:rFonts w:hint="eastAsia" w:ascii="仿宋_GB2312" w:hAnsi="仿宋_GB2312" w:cs="仿宋_GB2312"/>
                <w:b w:val="0"/>
                <w:bCs w:val="0"/>
                <w:color w:val="auto"/>
                <w:sz w:val="24"/>
                <w:szCs w:val="24"/>
                <w:highlight w:val="none"/>
                <w:lang w:val="en-US" w:eastAsia="zh-CN"/>
              </w:rPr>
              <w:t>.</w:t>
            </w:r>
            <w:r>
              <w:rPr>
                <w:rFonts w:hint="eastAsia" w:ascii="仿宋_GB2312" w:hAnsi="仿宋_GB2312" w:eastAsia="仿宋_GB2312" w:cs="仿宋_GB2312"/>
                <w:b w:val="0"/>
                <w:bCs w:val="0"/>
                <w:color w:val="auto"/>
                <w:sz w:val="24"/>
                <w:szCs w:val="24"/>
                <w:highlight w:val="none"/>
                <w:lang w:val="en-US" w:eastAsia="zh-CN"/>
              </w:rPr>
              <w:t>京能国际分散式风电</w:t>
            </w:r>
          </w:p>
          <w:p w14:paraId="41E09CB5">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default"/>
                <w:b w:val="0"/>
                <w:bCs w:val="0"/>
                <w:color w:val="auto"/>
                <w:highlight w:val="none"/>
                <w:lang w:val="en-US" w:eastAsia="zh-CN"/>
              </w:rPr>
              <w:t>项目</w:t>
            </w:r>
            <w:r>
              <w:rPr>
                <w:rFonts w:hint="eastAsia"/>
                <w:b w:val="0"/>
                <w:bCs w:val="0"/>
                <w:color w:val="auto"/>
                <w:highlight w:val="none"/>
                <w:lang w:val="en-US" w:eastAsia="zh-CN"/>
              </w:rPr>
              <w:t>总</w:t>
            </w:r>
            <w:r>
              <w:rPr>
                <w:rFonts w:hint="default"/>
                <w:b w:val="0"/>
                <w:bCs w:val="0"/>
                <w:color w:val="auto"/>
                <w:highlight w:val="none"/>
                <w:lang w:val="en-US" w:eastAsia="zh-CN"/>
              </w:rPr>
              <w:t>装机容量</w:t>
            </w:r>
            <w:r>
              <w:rPr>
                <w:rFonts w:hint="eastAsia"/>
                <w:b w:val="0"/>
                <w:bCs w:val="0"/>
                <w:color w:val="auto"/>
                <w:highlight w:val="none"/>
                <w:lang w:val="en-US" w:eastAsia="zh-CN"/>
              </w:rPr>
              <w:t>78</w:t>
            </w:r>
            <w:r>
              <w:rPr>
                <w:rFonts w:hint="default"/>
                <w:b w:val="0"/>
                <w:bCs w:val="0"/>
                <w:color w:val="auto"/>
                <w:highlight w:val="none"/>
                <w:lang w:val="en-US" w:eastAsia="zh-CN"/>
              </w:rPr>
              <w:t>MW。</w:t>
            </w:r>
          </w:p>
          <w:p w14:paraId="1B247491">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8.低空经济项目</w:t>
            </w:r>
          </w:p>
          <w:p w14:paraId="4490FD24">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建设低空数字化管理服务平台。包括低空智能融合平台和低空智慧枢纽、低空测试场、低空产业集聚区。预计总投资25亿元，达产后年产值</w:t>
            </w:r>
            <w:r>
              <w:rPr>
                <w:rFonts w:hint="eastAsia"/>
                <w:b w:val="0"/>
                <w:bCs w:val="0"/>
                <w:color w:val="auto"/>
                <w:highlight w:val="none"/>
                <w:lang w:val="en-US" w:eastAsia="zh-CN"/>
              </w:rPr>
              <w:t>5亿—10亿</w:t>
            </w:r>
            <w:r>
              <w:rPr>
                <w:rFonts w:hint="default"/>
                <w:b w:val="0"/>
                <w:bCs w:val="0"/>
                <w:color w:val="auto"/>
                <w:highlight w:val="none"/>
                <w:lang w:val="en-US" w:eastAsia="zh-CN"/>
              </w:rPr>
              <w:t>元。</w:t>
            </w:r>
          </w:p>
          <w:p w14:paraId="440D38F9">
            <w:pPr>
              <w:pStyle w:val="38"/>
              <w:pageBreakBefore w:val="0"/>
              <w:overflowPunct/>
              <w:topLinePunct w:val="0"/>
              <w:bidi w:val="0"/>
              <w:spacing w:line="288" w:lineRule="auto"/>
              <w:ind w:firstLine="480"/>
              <w:rPr>
                <w:rFonts w:hint="eastAsia"/>
                <w:b w:val="0"/>
                <w:bCs w:val="0"/>
                <w:color w:val="auto"/>
                <w:highlight w:val="none"/>
                <w:lang w:val="en-US" w:eastAsia="zh-CN"/>
              </w:rPr>
            </w:pPr>
            <w:r>
              <w:rPr>
                <w:rFonts w:hint="eastAsia"/>
                <w:b w:val="0"/>
                <w:bCs w:val="0"/>
                <w:color w:val="auto"/>
                <w:highlight w:val="none"/>
                <w:lang w:val="en-US" w:eastAsia="zh-CN"/>
              </w:rPr>
              <w:t>9.智慧农业机器人项目</w:t>
            </w:r>
          </w:p>
          <w:p w14:paraId="18D12320">
            <w:pPr>
              <w:pStyle w:val="38"/>
              <w:pageBreakBefore w:val="0"/>
              <w:overflowPunct/>
              <w:topLinePunct w:val="0"/>
              <w:bidi w:val="0"/>
              <w:spacing w:line="288" w:lineRule="auto"/>
              <w:ind w:firstLine="480"/>
              <w:rPr>
                <w:rFonts w:hint="default"/>
                <w:b w:val="0"/>
                <w:bCs w:val="0"/>
                <w:color w:val="auto"/>
                <w:highlight w:val="none"/>
                <w:lang w:val="en-US" w:eastAsia="zh-CN"/>
              </w:rPr>
            </w:pPr>
            <w:r>
              <w:rPr>
                <w:rFonts w:hint="default"/>
                <w:b w:val="0"/>
                <w:bCs w:val="0"/>
                <w:color w:val="auto"/>
                <w:highlight w:val="none"/>
                <w:lang w:val="en-US" w:eastAsia="zh-CN"/>
              </w:rPr>
              <w:t>柳城是农业大县、生猪调出大县，可发展农业机器人，推动</w:t>
            </w:r>
            <w:r>
              <w:rPr>
                <w:rFonts w:hint="eastAsia"/>
                <w:b w:val="0"/>
                <w:bCs w:val="0"/>
                <w:color w:val="auto"/>
                <w:highlight w:val="none"/>
                <w:lang w:val="en-US" w:eastAsia="zh-Hans"/>
              </w:rPr>
              <w:t>实现</w:t>
            </w:r>
            <w:r>
              <w:rPr>
                <w:rFonts w:hint="default"/>
                <w:b w:val="0"/>
                <w:bCs w:val="0"/>
                <w:color w:val="auto"/>
                <w:highlight w:val="none"/>
                <w:lang w:val="en-US" w:eastAsia="zh-CN"/>
              </w:rPr>
              <w:t>农业现代化。研发农业采摘、播种、喷洒等智能机器人。在柳城县农业示范区推广智慧农业解决方案。零部件包含标准件（如电机</w:t>
            </w:r>
            <w:r>
              <w:rPr>
                <w:rFonts w:hint="eastAsia"/>
                <w:b w:val="0"/>
                <w:bCs w:val="0"/>
                <w:color w:val="auto"/>
                <w:highlight w:val="none"/>
                <w:lang w:val="en-US" w:eastAsia="zh-CN"/>
              </w:rPr>
              <w:t>）</w:t>
            </w:r>
            <w:r>
              <w:rPr>
                <w:rFonts w:hint="default"/>
                <w:b w:val="0"/>
                <w:bCs w:val="0"/>
                <w:color w:val="auto"/>
                <w:highlight w:val="none"/>
                <w:lang w:val="en-US" w:eastAsia="zh-CN"/>
              </w:rPr>
              <w:t>、控制电路板（PCB）、排种器、开沟器、覆土器、摄像头等。建设周期2年，预计总投资4亿元，产值可达5亿元。</w:t>
            </w:r>
          </w:p>
        </w:tc>
      </w:tr>
    </w:tbl>
    <w:p w14:paraId="4C03E446">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color w:val="auto"/>
          <w:lang w:val="en-US" w:eastAsia="zh-Hans"/>
        </w:rPr>
      </w:pPr>
      <w:bookmarkStart w:id="19" w:name="_Toc737346223"/>
      <w:r>
        <w:rPr>
          <w:rFonts w:hint="eastAsia" w:ascii="楷体" w:hAnsi="楷体" w:eastAsia="楷体" w:cs="楷体"/>
          <w:color w:val="auto"/>
          <w:lang w:val="en-US" w:eastAsia="zh-Hans"/>
        </w:rPr>
        <w:t>第三节</w:t>
      </w:r>
      <w:r>
        <w:rPr>
          <w:rFonts w:hint="default" w:ascii="楷体" w:hAnsi="楷体" w:eastAsia="楷体" w:cs="楷体"/>
          <w:color w:val="auto"/>
          <w:lang w:val="en-US" w:eastAsia="zh-Hans"/>
        </w:rPr>
        <w:t xml:space="preserve">  </w:t>
      </w:r>
      <w:r>
        <w:rPr>
          <w:rFonts w:hint="eastAsia" w:ascii="楷体" w:hAnsi="楷体" w:eastAsia="楷体" w:cs="楷体"/>
          <w:color w:val="auto"/>
          <w:lang w:val="en-US" w:eastAsia="zh-CN"/>
        </w:rPr>
        <w:t>优化</w:t>
      </w:r>
      <w:r>
        <w:rPr>
          <w:rFonts w:hint="eastAsia" w:ascii="楷体" w:hAnsi="楷体" w:eastAsia="楷体" w:cs="楷体"/>
          <w:color w:val="auto"/>
          <w:lang w:val="en-US" w:eastAsia="zh-Hans"/>
        </w:rPr>
        <w:t>空间</w:t>
      </w:r>
      <w:r>
        <w:rPr>
          <w:rFonts w:hint="eastAsia" w:ascii="楷体" w:hAnsi="楷体" w:eastAsia="楷体" w:cs="楷体"/>
          <w:color w:val="auto"/>
          <w:lang w:val="en-US" w:eastAsia="zh-CN"/>
        </w:rPr>
        <w:t>布局</w:t>
      </w:r>
      <w:r>
        <w:rPr>
          <w:rFonts w:hint="default" w:ascii="楷体" w:hAnsi="楷体" w:eastAsia="楷体" w:cs="楷体"/>
          <w:color w:val="auto"/>
          <w:lang w:val="en-US" w:eastAsia="zh-CN"/>
        </w:rPr>
        <w:t>，</w:t>
      </w:r>
      <w:r>
        <w:rPr>
          <w:rFonts w:hint="eastAsia" w:ascii="楷体" w:hAnsi="楷体" w:eastAsia="楷体" w:cs="楷体"/>
          <w:color w:val="auto"/>
          <w:lang w:val="en-US" w:eastAsia="zh-CN"/>
        </w:rPr>
        <w:t>园区提档升级</w:t>
      </w:r>
      <w:r>
        <w:rPr>
          <w:rFonts w:hint="default" w:ascii="楷体" w:hAnsi="楷体" w:eastAsia="楷体" w:cs="楷体"/>
          <w:color w:val="auto"/>
          <w:lang w:val="en-US" w:eastAsia="zh-CN"/>
        </w:rPr>
        <w:t>，</w:t>
      </w:r>
      <w:r>
        <w:rPr>
          <w:rFonts w:hint="eastAsia" w:ascii="楷体" w:hAnsi="楷体" w:eastAsia="楷体" w:cs="楷体"/>
          <w:color w:val="auto"/>
          <w:lang w:val="en-US" w:eastAsia="zh-Hans"/>
        </w:rPr>
        <w:t>推动高质量发展</w:t>
      </w:r>
      <w:bookmarkEnd w:id="19"/>
    </w:p>
    <w:p w14:paraId="1ABC144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立足柳州市工业高质量发展主要拓展区</w:t>
      </w:r>
      <w:r>
        <w:rPr>
          <w:rFonts w:hint="eastAsia" w:ascii="仿宋_GB2312" w:hAnsi="仿宋_GB2312" w:eastAsia="仿宋_GB2312" w:cs="仿宋_GB2312"/>
          <w:color w:val="auto"/>
          <w:sz w:val="32"/>
          <w:szCs w:val="32"/>
          <w:highlight w:val="none"/>
          <w:lang w:val="en-US" w:eastAsia="zh-Hans"/>
        </w:rPr>
        <w:t>的</w:t>
      </w:r>
      <w:r>
        <w:rPr>
          <w:rFonts w:hint="eastAsia" w:ascii="仿宋_GB2312" w:hAnsi="仿宋_GB2312" w:eastAsia="仿宋_GB2312" w:cs="仿宋_GB2312"/>
          <w:color w:val="auto"/>
          <w:sz w:val="32"/>
          <w:szCs w:val="32"/>
          <w:highlight w:val="none"/>
          <w:lang w:val="en-US" w:eastAsia="zh-CN"/>
        </w:rPr>
        <w:t>定位，紧扣柳州主城产业外溢与产业链延伸需求，以“空间集聚、产业协同、绿色集约”为原则，构建“一廊引领、一轴集聚、多园支撑、组团互补”的工业空间格局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推动产业园区提档升级。</w:t>
      </w:r>
    </w:p>
    <w:p w14:paraId="5C61716C">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创建双沙大道工业经济走廊。</w:t>
      </w:r>
      <w:r>
        <w:rPr>
          <w:rFonts w:hint="eastAsia" w:ascii="仿宋_GB2312" w:hAnsi="仿宋_GB2312" w:eastAsia="仿宋_GB2312" w:cs="仿宋_GB2312"/>
          <w:color w:val="auto"/>
          <w:sz w:val="32"/>
          <w:szCs w:val="32"/>
          <w:highlight w:val="none"/>
          <w:lang w:val="en-US" w:eastAsia="zh-CN"/>
        </w:rPr>
        <w:t>依托双沙大道便捷交通、沙埔工业园区开发空间优势，聚焦柳州主城钢材、汽车、机械三大主导产业的外溢需求，重点承接钢材、汽车零部件、机械加工等产业环节，弥补柳州主城工业发展空间不足、柳城产业增量较少的短板。</w:t>
      </w:r>
      <w:r>
        <w:rPr>
          <w:rFonts w:hint="eastAsia" w:ascii="仿宋_GB2312" w:hAnsi="仿宋_GB2312" w:eastAsia="仿宋_GB2312" w:cs="仿宋_GB2312"/>
          <w:color w:val="auto"/>
          <w:sz w:val="32"/>
          <w:szCs w:val="32"/>
          <w:highlight w:val="none"/>
          <w:lang w:eastAsia="zh-CN"/>
        </w:rPr>
        <w:t>依托柳钢基地、柳工国际智能产业园、</w:t>
      </w:r>
      <w:r>
        <w:rPr>
          <w:rFonts w:hint="eastAsia" w:ascii="仿宋_GB2312" w:hAnsi="仿宋_GB2312" w:eastAsia="仿宋_GB2312" w:cs="仿宋_GB2312"/>
          <w:color w:val="auto"/>
          <w:sz w:val="32"/>
          <w:szCs w:val="32"/>
          <w:highlight w:val="none"/>
          <w:lang w:val="en-US" w:eastAsia="zh-CN"/>
        </w:rPr>
        <w:t>新能源汽车城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围绕沙埔金属精加工产业园区，</w:t>
      </w:r>
      <w:r>
        <w:rPr>
          <w:rFonts w:hint="eastAsia" w:ascii="仿宋_GB2312" w:hAnsi="仿宋_GB2312" w:eastAsia="仿宋_GB2312" w:cs="仿宋_GB2312"/>
          <w:color w:val="auto"/>
          <w:sz w:val="32"/>
          <w:szCs w:val="32"/>
          <w:highlight w:val="none"/>
          <w:lang w:eastAsia="zh-CN"/>
        </w:rPr>
        <w:t>打造</w:t>
      </w:r>
      <w:r>
        <w:rPr>
          <w:rFonts w:hint="eastAsia" w:ascii="仿宋_GB2312" w:hAnsi="仿宋_GB2312" w:eastAsia="仿宋_GB2312" w:cs="仿宋_GB2312"/>
          <w:color w:val="auto"/>
          <w:sz w:val="32"/>
          <w:szCs w:val="32"/>
          <w:highlight w:val="none"/>
          <w:lang w:val="en-US" w:eastAsia="zh-CN"/>
        </w:rPr>
        <w:t>金属再生循环利用集散中心，金属加工精密配件中心，</w:t>
      </w:r>
      <w:r>
        <w:rPr>
          <w:rFonts w:hint="eastAsia" w:ascii="仿宋_GB2312" w:hAnsi="仿宋_GB2312" w:eastAsia="仿宋_GB2312" w:cs="仿宋_GB2312"/>
          <w:color w:val="auto"/>
          <w:sz w:val="32"/>
          <w:szCs w:val="32"/>
          <w:highlight w:val="none"/>
          <w:lang w:eastAsia="zh-CN"/>
        </w:rPr>
        <w:t>加快钢铁、工程机械、</w:t>
      </w:r>
      <w:r>
        <w:rPr>
          <w:rFonts w:hint="eastAsia" w:ascii="仿宋_GB2312" w:hAnsi="仿宋_GB2312" w:eastAsia="仿宋_GB2312" w:cs="仿宋_GB2312"/>
          <w:color w:val="auto"/>
          <w:sz w:val="32"/>
          <w:szCs w:val="32"/>
          <w:highlight w:val="none"/>
          <w:lang w:val="en-US" w:eastAsia="zh-CN"/>
        </w:rPr>
        <w:t>新能源汽车紧固件</w:t>
      </w:r>
      <w:r>
        <w:rPr>
          <w:rFonts w:hint="eastAsia" w:ascii="仿宋_GB2312" w:hAnsi="仿宋_GB2312" w:eastAsia="仿宋_GB2312" w:cs="仿宋_GB2312"/>
          <w:color w:val="auto"/>
          <w:sz w:val="32"/>
          <w:szCs w:val="32"/>
          <w:highlight w:val="none"/>
          <w:lang w:eastAsia="zh-CN"/>
        </w:rPr>
        <w:t>等产业链构建，</w:t>
      </w:r>
      <w:r>
        <w:rPr>
          <w:rFonts w:hint="eastAsia" w:ascii="仿宋_GB2312" w:hAnsi="仿宋_GB2312" w:eastAsia="仿宋_GB2312" w:cs="仿宋_GB2312"/>
          <w:color w:val="auto"/>
          <w:sz w:val="32"/>
          <w:szCs w:val="32"/>
          <w:highlight w:val="none"/>
          <w:lang w:val="en-US" w:eastAsia="zh-CN"/>
        </w:rPr>
        <w:t>形成产业集群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到2030年预期产值100亿元以上</w:t>
      </w:r>
      <w:r>
        <w:rPr>
          <w:rFonts w:hint="eastAsia" w:ascii="仿宋_GB2312" w:hAnsi="仿宋_GB2312" w:eastAsia="仿宋_GB2312" w:cs="仿宋_GB2312"/>
          <w:color w:val="auto"/>
          <w:sz w:val="32"/>
          <w:szCs w:val="32"/>
          <w:highlight w:val="none"/>
          <w:lang w:eastAsia="zh-CN"/>
        </w:rPr>
        <w:t>。</w:t>
      </w:r>
    </w:p>
    <w:p w14:paraId="52B1073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auto"/>
          <w:sz w:val="32"/>
          <w:szCs w:val="32"/>
          <w:highlight w:val="none"/>
          <w:lang w:val="en-US" w:eastAsia="zh-CN"/>
        </w:rPr>
        <w:t>打造“沙埔－六塘”工业经济主轴。</w:t>
      </w:r>
      <w:r>
        <w:rPr>
          <w:rFonts w:hint="eastAsia" w:ascii="仿宋_GB2312" w:hAnsi="仿宋_GB2312" w:eastAsia="仿宋_GB2312" w:cs="仿宋_GB2312"/>
          <w:color w:val="auto"/>
          <w:sz w:val="32"/>
          <w:szCs w:val="32"/>
          <w:highlight w:val="none"/>
          <w:lang w:val="en-US" w:eastAsia="zh-CN"/>
        </w:rPr>
        <w:t>依托 G323、G209、S210等交通干线，推动六塘镇—马山镇 —大埔镇—沙埔镇工业园区产业集聚，</w:t>
      </w:r>
      <w:r>
        <w:rPr>
          <w:rFonts w:hint="eastAsia" w:ascii="仿宋_GB2312" w:hAnsi="仿宋_GB2312" w:eastAsia="仿宋_GB2312" w:cs="仿宋_GB2312"/>
          <w:color w:val="auto"/>
          <w:sz w:val="32"/>
          <w:szCs w:val="32"/>
          <w:highlight w:val="none"/>
          <w:lang w:val="en-US" w:eastAsia="zh-Hans"/>
        </w:rPr>
        <w:t>主要有精细化工、金属精加工、食品医药（农产品加工）和木材加工四大主导产业</w:t>
      </w:r>
      <w:r>
        <w:rPr>
          <w:rFonts w:hint="default"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eastAsia="zh-Hans"/>
        </w:rPr>
        <w:t>以及</w:t>
      </w:r>
      <w:r>
        <w:rPr>
          <w:rFonts w:hint="eastAsia" w:ascii="仿宋_GB2312" w:hAnsi="仿宋_GB2312" w:eastAsia="仿宋_GB2312" w:cs="仿宋_GB2312"/>
          <w:color w:val="auto"/>
          <w:sz w:val="32"/>
          <w:szCs w:val="32"/>
          <w:highlight w:val="none"/>
          <w:lang w:val="en-US" w:eastAsia="zh-Hans"/>
        </w:rPr>
        <w:t>新兴产业、未来产业。</w:t>
      </w:r>
      <w:r>
        <w:rPr>
          <w:rFonts w:hint="eastAsia" w:ascii="仿宋_GB2312" w:hAnsi="仿宋_GB2312" w:eastAsia="仿宋_GB2312" w:cs="仿宋_GB2312"/>
          <w:color w:val="auto"/>
          <w:sz w:val="32"/>
          <w:szCs w:val="32"/>
          <w:highlight w:val="none"/>
          <w:lang w:val="en-US" w:eastAsia="zh-CN"/>
        </w:rPr>
        <w:t>打造40公里工业经济轴，成为柳城工业高质量发展的“主引擎”。</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建设一园三区多组团。</w:t>
      </w:r>
      <w:r>
        <w:rPr>
          <w:rFonts w:hint="eastAsia" w:ascii="仿宋_GB2312" w:hAnsi="仿宋_GB2312" w:eastAsia="仿宋_GB2312" w:cs="仿宋_GB2312"/>
          <w:b w:val="0"/>
          <w:bCs w:val="0"/>
          <w:color w:val="auto"/>
          <w:sz w:val="32"/>
          <w:szCs w:val="32"/>
          <w:highlight w:val="none"/>
          <w:lang w:val="en-US" w:eastAsia="zh-CN"/>
        </w:rPr>
        <w:t>围绕主轴布局，强化园区 “主导产业鲜明、配套功能完善、绿色低碳发展”特性，构建“一园三区，多组团发展”产业园区体系，“一园”：即柳城工业园区。“三区”：即六塘精细化工产业片区、沙埔金属精加工产业片区、河西农产品及食品加工产业片区。“多组团”：即河西－马山食品医药产业组团、河西－马山木材加工产业组团</w:t>
      </w:r>
      <w:r>
        <w:rPr>
          <w:rFonts w:hint="default"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沙埔－糯米滩金属精加工组团、社冲乡现代农业生态特色食品加工产业组团，打造各具特色、支撑有力、</w:t>
      </w:r>
      <w:r>
        <w:rPr>
          <w:rFonts w:hint="eastAsia" w:ascii="仿宋" w:hAnsi="仿宋" w:eastAsia="仿宋" w:cs="仿宋"/>
          <w:color w:val="auto"/>
          <w:sz w:val="32"/>
          <w:szCs w:val="32"/>
          <w:highlight w:val="none"/>
        </w:rPr>
        <w:t>高效利用</w:t>
      </w:r>
      <w:r>
        <w:rPr>
          <w:rFonts w:hint="eastAsia" w:ascii="仿宋_GB2312" w:hAnsi="仿宋_GB2312" w:eastAsia="仿宋_GB2312" w:cs="仿宋_GB2312"/>
          <w:b w:val="0"/>
          <w:bCs w:val="0"/>
          <w:color w:val="auto"/>
          <w:sz w:val="32"/>
          <w:szCs w:val="32"/>
          <w:highlight w:val="none"/>
          <w:lang w:val="en-US" w:eastAsia="zh-CN"/>
        </w:rPr>
        <w:t>的专业化产业园区集群载体。</w:t>
      </w:r>
      <w:r>
        <w:rPr>
          <w:rFonts w:hint="eastAsia" w:ascii="仿宋_GB2312" w:hAnsi="仿宋_GB2312" w:eastAsia="仿宋_GB2312" w:cs="仿宋_GB2312"/>
          <w:b w:val="0"/>
          <w:bCs w:val="0"/>
          <w:color w:val="auto"/>
          <w:sz w:val="32"/>
          <w:szCs w:val="32"/>
          <w:highlight w:val="none"/>
          <w:lang w:val="en-US" w:eastAsia="zh-CN"/>
        </w:rPr>
        <w:br w:type="textWrapping"/>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六塘精细化工产业园。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聚焦“绿色化、精细化、高端化”，重点发展电子级磷酸、医学、农药中间体、高性能涂料等高端化工产品，延伸“磷化工—电子化学品—新能源材料”产业链，打造广西地区绿色精细化工产业基地。2030年园区产值突破100亿元。</w:t>
      </w:r>
    </w:p>
    <w:p w14:paraId="56A70CF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沙埔金属加工产业园。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利用双沙工业经济走廊，紧扣柳州汽车、机械、钢铁三大主导产业，发展新能源汽车紧固件、精密铸造件、钢材深加工等配套产品。建设金属再生循环利用集散回收利用中心、推动金属加工废料循环利用，推动金属精加工产业集聚，打造柳州主城工业配套核心基地、广西金属精加工聚集区。2030年园区产值突破100亿元。</w:t>
      </w:r>
    </w:p>
    <w:p w14:paraId="29C9A6EC">
      <w:pPr>
        <w:keepNext w:val="0"/>
        <w:keepLines w:val="0"/>
        <w:pageBreakBefore w:val="0"/>
        <w:widowControl w:val="0"/>
        <w:kinsoku/>
        <w:wordWrap/>
        <w:overflowPunct/>
        <w:topLinePunct w:val="0"/>
        <w:autoSpaceDE/>
        <w:autoSpaceDN/>
        <w:bidi w:val="0"/>
        <w:adjustRightInd/>
        <w:snapToGrid/>
        <w:spacing w:line="560" w:lineRule="exact"/>
        <w:ind w:firstLine="561"/>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河西农产品及食品加工产业园。</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以河西片区农副产品加工创业基地为载体</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，充分利用柳城县及其周边丰富的农副产品资源优势，依托</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凤糖集团</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安琪酵母</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等龙头企业辐射带动</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，集群发展制糖</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食品</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加工</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、缫丝、农</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副</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产品深加工、生物及制药等产业，</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加快构建</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农产品</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及</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食品加工</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全产业链。</w:t>
      </w:r>
      <w:r>
        <w:rPr>
          <w:rFonts w:hint="eastAsia" w:ascii="仿宋" w:hAnsi="仿宋" w:eastAsia="仿宋" w:cs="仿宋"/>
          <w:color w:val="000000" w:themeColor="text1"/>
          <w:sz w:val="32"/>
          <w:szCs w:val="32"/>
          <w:highlight w:val="none"/>
          <w:lang w:val="en-US" w:eastAsia="zh-CN"/>
          <w14:textFill>
            <w14:solidFill>
              <w14:schemeClr w14:val="tx1"/>
            </w14:solidFill>
          </w14:textFill>
        </w:rPr>
        <w:t>以“园中园”模式加快建设柳城县特色食品加工产业园，鼓励云片糕、牛腊巴、食用菌、米粉等本地特色食品加工企业入驻园区创业，做大做强本地特色食品加工业，丰富园区企业。加大园区征地力度，不断完成基础设施配套，提升园区功能，大力推进产城融合发展。</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2030年园区产值突破100亿元。</w:t>
      </w:r>
    </w:p>
    <w:p w14:paraId="0F679697">
      <w:pPr>
        <w:pStyle w:val="24"/>
        <w:rPr>
          <w:rFonts w:hint="eastAsia"/>
          <w:color w:val="000000" w:themeColor="text1"/>
          <w:highlight w:val="none"/>
          <w14:textFill>
            <w14:solidFill>
              <w14:schemeClr w14:val="tx1"/>
            </w14:solidFill>
          </w14:textFill>
        </w:rPr>
      </w:pPr>
      <w:r>
        <w:rPr>
          <w:rFonts w:hint="default" w:ascii="仿宋" w:hAnsi="仿宋" w:eastAsia="仿宋" w:cs="仿宋"/>
          <w:color w:val="000000" w:themeColor="text1"/>
          <w:sz w:val="32"/>
          <w:szCs w:val="32"/>
          <w:highlight w:val="none"/>
          <w:lang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drawing>
          <wp:inline distT="0" distB="0" distL="114300" distR="114300">
            <wp:extent cx="5118100" cy="3556635"/>
            <wp:effectExtent l="0" t="0" r="12700" b="24765"/>
            <wp:docPr id="10" name="图片 10" descr="1231768271858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231768271858_.pic"/>
                    <pic:cNvPicPr>
                      <a:picLocks noChangeAspect="1"/>
                    </pic:cNvPicPr>
                  </pic:nvPicPr>
                  <pic:blipFill>
                    <a:blip r:embed="rId9"/>
                    <a:stretch>
                      <a:fillRect/>
                    </a:stretch>
                  </pic:blipFill>
                  <pic:spPr>
                    <a:xfrm>
                      <a:off x="0" y="0"/>
                      <a:ext cx="5118100" cy="3556635"/>
                    </a:xfrm>
                    <a:prstGeom prst="rect">
                      <a:avLst/>
                    </a:prstGeom>
                  </pic:spPr>
                </pic:pic>
              </a:graphicData>
            </a:graphic>
          </wp:inline>
        </w:drawing>
      </w:r>
    </w:p>
    <w:p w14:paraId="6B63442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河西－马山食品医药产业组团。</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以“农产品精深加工为基础、民族医药为突破”，重点发展酵母抽提物、生物医学、壮瑶药提取、益生菌制品等，推动“农业资源—工业产品—健康服务”产业链延伸，打造广西特色食品与民族医药聚集区。 2030年园区产值突破100亿元。</w:t>
      </w:r>
    </w:p>
    <w:p w14:paraId="6B70255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河西－马山木材加工产业组团。</w:t>
      </w:r>
      <w:r>
        <w:rPr>
          <w:rFonts w:hint="eastAsia" w:ascii="仿宋_GB2312" w:hAnsi="仿宋_GB2312" w:eastAsia="仿宋_GB2312" w:cs="仿宋_GB2312"/>
          <w:b w:val="0"/>
          <w:bCs w:val="0"/>
          <w:color w:val="auto"/>
          <w:sz w:val="32"/>
          <w:szCs w:val="32"/>
          <w:highlight w:val="none"/>
          <w:lang w:val="en-US" w:eastAsia="zh-CN"/>
        </w:rPr>
        <w:t>推动木材加工从“单板初加工”向“家具制造、木质新能源、定制家居”升级，重点发展生态板材、智能家居配件、生物质燃料等，构建“林木资源—精深加工—循环利用”产业链，打造西南地区中高端板材与家居配套供应基地。2030年园区产值突破 100亿元。</w:t>
      </w:r>
      <w:r>
        <w:rPr>
          <w:rFonts w:hint="default" w:ascii="仿宋_GB2312" w:hAnsi="仿宋_GB2312" w:eastAsia="仿宋_GB2312" w:cs="仿宋_GB2312"/>
          <w:b w:val="0"/>
          <w:bCs w:val="0"/>
          <w:color w:val="auto"/>
          <w:sz w:val="32"/>
          <w:szCs w:val="32"/>
          <w:highlight w:val="none"/>
          <w:lang w:eastAsia="zh-CN"/>
        </w:rPr>
        <w:t xml:space="preserve">  </w:t>
      </w:r>
    </w:p>
    <w:p w14:paraId="1988997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沙埔－糯米</w:t>
      </w:r>
      <w:r>
        <w:rPr>
          <w:rFonts w:hint="eastAsia" w:ascii="仿宋_GB2312" w:hAnsi="仿宋_GB2312" w:eastAsia="仿宋_GB2312" w:cs="仿宋_GB2312"/>
          <w:b/>
          <w:bCs/>
          <w:color w:val="auto"/>
          <w:sz w:val="32"/>
          <w:szCs w:val="32"/>
          <w:highlight w:val="none"/>
          <w:lang w:val="en-US" w:eastAsia="zh-CN"/>
        </w:rPr>
        <w:t>滩</w:t>
      </w:r>
      <w:r>
        <w:rPr>
          <w:rFonts w:hint="default" w:ascii="仿宋_GB2312" w:hAnsi="仿宋_GB2312" w:eastAsia="仿宋_GB2312" w:cs="仿宋_GB2312"/>
          <w:b/>
          <w:bCs/>
          <w:color w:val="auto"/>
          <w:sz w:val="32"/>
          <w:szCs w:val="32"/>
          <w:highlight w:val="none"/>
          <w:lang w:val="en-US" w:eastAsia="zh-CN"/>
        </w:rPr>
        <w:t>金属精深加工组团。</w:t>
      </w:r>
      <w:r>
        <w:rPr>
          <w:rFonts w:hint="default" w:ascii="仿宋_GB2312" w:hAnsi="仿宋_GB2312" w:eastAsia="仿宋_GB2312" w:cs="仿宋_GB2312"/>
          <w:b w:val="0"/>
          <w:bCs w:val="0"/>
          <w:color w:val="auto"/>
          <w:sz w:val="32"/>
          <w:szCs w:val="32"/>
          <w:highlight w:val="none"/>
          <w:lang w:eastAsia="zh-CN"/>
        </w:rPr>
        <w:t>以东部产业转移为依托，推动打造柳城县金属精加工组团区，承接引进一批新型特种钢、多品种精深加工、新材料生产企业，构建从轧制－初加工－精深加工的金属精加工全产业链，培育新材料产业。</w:t>
      </w:r>
      <w:r>
        <w:rPr>
          <w:rFonts w:hint="eastAsia" w:ascii="仿宋_GB2312" w:hAnsi="仿宋_GB2312" w:eastAsia="仿宋_GB2312" w:cs="仿宋_GB2312"/>
          <w:b w:val="0"/>
          <w:bCs w:val="0"/>
          <w:color w:val="auto"/>
          <w:sz w:val="32"/>
          <w:szCs w:val="32"/>
          <w:highlight w:val="none"/>
          <w:lang w:val="en-US" w:eastAsia="zh-CN"/>
        </w:rPr>
        <w:t>2030年园区产值突破 100亿元。</w:t>
      </w:r>
    </w:p>
    <w:p w14:paraId="5C73DD9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社冲乡现代农业生态特色食品加工产业组团。</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围绕现代特色农业产业链大力引进食品加工企业，以螺蛳粉原材料全产业链突破发展“12610”工程为引擎，打造以特色生态食品初深加工为主导的柳州乃至广西最大的食用菌、粉业、薯类淀粉、酸笋、酸豆角、腐竹、鹌鹑蛋、鲜食木薯、开袋即食小食品、酒业、龟蛇产品等生产加工基地，并配套发展相关上下游产业。大力发展现代设施农业、数字农业、智慧农业，大力发展食用菌、红薯、马铃薯、蔬菜、甘蔗、水果等一批种苗（脱毒种苗）加工基地。以工业化理念和全产业链思维推动二产规模化发展，打造“企业和村庄嵌在园中、农民在家门口就业”相得益彰的宜居宜业宜游现代农业生态特色食品加工产业园。</w:t>
      </w:r>
    </w:p>
    <w:p w14:paraId="32BB99FA">
      <w:pPr>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谋划布局新兴产业片区。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围绕柳州“新质生产力”发展方向，在双沙工业经济走廊周边布局新能源、低空经济、人工智能新兴产业片区，培育工业“第二增长曲线”，实现“传统产业升级+新兴产业突破”双轮驱动。</w:t>
      </w:r>
    </w:p>
    <w:p w14:paraId="2D2C2432">
      <w:pPr>
        <w:pageBreakBefore w:val="0"/>
        <w:numPr>
          <w:ilvl w:val="0"/>
          <w:numId w:val="0"/>
        </w:numPr>
        <w:kinsoku/>
        <w:wordWrap/>
        <w:overflowPunct/>
        <w:topLinePunct w:val="0"/>
        <w:autoSpaceDE/>
        <w:autoSpaceDN/>
        <w:bidi w:val="0"/>
        <w:spacing w:line="560" w:lineRule="exact"/>
        <w:ind w:firstLine="643" w:firstLineChars="200"/>
        <w:rPr>
          <w:rFonts w:hint="eastAsia" w:ascii="楷体" w:hAnsi="楷体" w:eastAsia="楷体" w:cs="楷体"/>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提档升级产业园区</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推动</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产业集群</w:t>
      </w:r>
      <w:r>
        <w:rPr>
          <w:rFonts w:hint="eastAsia" w:ascii="仿宋_GB2312" w:hAnsi="仿宋_GB2312" w:eastAsia="仿宋_GB2312" w:cs="仿宋_GB2312"/>
          <w:b/>
          <w:bCs/>
          <w:color w:val="000000" w:themeColor="text1"/>
          <w:sz w:val="32"/>
          <w:szCs w:val="32"/>
          <w:highlight w:val="none"/>
          <w:lang w:val="en-US" w:eastAsia="zh-Hans"/>
          <w14:textFill>
            <w14:solidFill>
              <w14:schemeClr w14:val="tx1"/>
            </w14:solidFill>
          </w14:textFill>
        </w:rPr>
        <w:t>发展</w:t>
      </w:r>
      <w:r>
        <w:rPr>
          <w:rFonts w:hint="default" w:ascii="仿宋_GB2312" w:hAnsi="仿宋_GB2312" w:eastAsia="仿宋_GB2312" w:cs="仿宋_GB2312"/>
          <w:b/>
          <w:bCs/>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聚焦六塘精细化工产业园、沙埔金属精加工产业园、马山食品医药产业园、河西－马山木材加工产业园四大产业园区，创新管理体制机制，提升市场化、专业化运营水平。加快推进交通、供水、供电、供热、供气等基础设施现代化改造，强化污水处理、固废处置等环保设施配套，高效利用园区闲置厂房与建设用地，提升园区综合承载能力，全力推动柳城工业园区创建自治区一级工业园区，积极打造六塘化工零碳园区。围绕“4+2”产业体系开展精准招商，重点引进强链补链延链项目和龙头企业，推动产业链向价值链高端攀升。积极培育和引进“专精特新”中小企业，促进大中小企业融通发展，加快形成主业突出、关联紧密、协同高效的产业集群格局。</w:t>
      </w:r>
    </w:p>
    <w:p w14:paraId="5E7A7D22">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color w:val="auto"/>
          <w:lang w:val="en-US" w:eastAsia="zh-Hans"/>
        </w:rPr>
      </w:pPr>
      <w:bookmarkStart w:id="20" w:name="_Toc1597326771"/>
      <w:bookmarkStart w:id="21" w:name="_Toc1383511757"/>
      <w:r>
        <w:rPr>
          <w:rFonts w:hint="eastAsia" w:ascii="楷体" w:hAnsi="楷体" w:eastAsia="楷体" w:cs="楷体"/>
          <w:color w:val="auto"/>
          <w:lang w:val="en-US" w:eastAsia="zh-CN"/>
        </w:rPr>
        <w:t>第</w:t>
      </w:r>
      <w:r>
        <w:rPr>
          <w:rFonts w:hint="eastAsia" w:ascii="楷体" w:hAnsi="楷体" w:eastAsia="楷体" w:cs="楷体"/>
          <w:color w:val="auto"/>
          <w:lang w:val="en-US" w:eastAsia="zh-Hans"/>
        </w:rPr>
        <w:t>四节</w:t>
      </w:r>
      <w:r>
        <w:rPr>
          <w:rFonts w:hint="eastAsia" w:ascii="楷体" w:hAnsi="楷体" w:eastAsia="楷体" w:cs="楷体"/>
          <w:color w:val="auto"/>
          <w:lang w:val="en-US" w:eastAsia="zh-CN"/>
        </w:rPr>
        <w:t xml:space="preserve"> </w:t>
      </w:r>
      <w:r>
        <w:rPr>
          <w:rFonts w:hint="default" w:ascii="楷体" w:hAnsi="楷体" w:eastAsia="楷体" w:cs="楷体"/>
          <w:color w:val="auto"/>
          <w:lang w:val="en-US" w:eastAsia="zh-CN"/>
        </w:rPr>
        <w:t xml:space="preserve"> </w:t>
      </w:r>
      <w:r>
        <w:rPr>
          <w:rFonts w:hint="eastAsia" w:ascii="楷体" w:hAnsi="楷体" w:eastAsia="楷体" w:cs="楷体"/>
          <w:color w:val="auto"/>
          <w:lang w:val="en-US" w:eastAsia="zh-Hans"/>
        </w:rPr>
        <w:t>推动现代</w:t>
      </w:r>
      <w:r>
        <w:rPr>
          <w:rFonts w:hint="eastAsia" w:ascii="楷体" w:hAnsi="楷体" w:eastAsia="楷体" w:cs="楷体"/>
          <w:color w:val="auto"/>
          <w:lang w:val="en-US" w:eastAsia="zh-CN"/>
        </w:rPr>
        <w:t>服务业</w:t>
      </w:r>
      <w:r>
        <w:rPr>
          <w:rFonts w:hint="eastAsia" w:ascii="楷体" w:hAnsi="楷体" w:eastAsia="楷体" w:cs="楷体"/>
          <w:color w:val="auto"/>
          <w:lang w:val="en-US" w:eastAsia="zh-Hans"/>
        </w:rPr>
        <w:t>提</w:t>
      </w:r>
      <w:r>
        <w:rPr>
          <w:rFonts w:hint="eastAsia" w:ascii="楷体" w:hAnsi="楷体" w:eastAsia="楷体" w:cs="楷体"/>
          <w:color w:val="auto"/>
          <w:lang w:val="en-US" w:eastAsia="zh-CN"/>
        </w:rPr>
        <w:t>质</w:t>
      </w:r>
      <w:r>
        <w:rPr>
          <w:rFonts w:hint="eastAsia" w:ascii="楷体" w:hAnsi="楷体" w:eastAsia="楷体" w:cs="楷体"/>
          <w:color w:val="auto"/>
          <w:lang w:val="en-US" w:eastAsia="zh-Hans"/>
        </w:rPr>
        <w:t>升级</w:t>
      </w:r>
      <w:r>
        <w:rPr>
          <w:rFonts w:hint="default" w:ascii="楷体" w:hAnsi="楷体" w:eastAsia="楷体" w:cs="楷体"/>
          <w:color w:val="auto"/>
          <w:lang w:val="en-US" w:eastAsia="zh-Hans"/>
        </w:rPr>
        <w:t>，</w:t>
      </w:r>
      <w:r>
        <w:rPr>
          <w:rFonts w:hint="eastAsia" w:ascii="楷体" w:hAnsi="楷体" w:eastAsia="楷体" w:cs="楷体"/>
          <w:color w:val="auto"/>
          <w:lang w:val="en-US" w:eastAsia="zh-Hans"/>
        </w:rPr>
        <w:t>实现</w:t>
      </w:r>
      <w:r>
        <w:rPr>
          <w:rFonts w:hint="eastAsia" w:ascii="楷体" w:hAnsi="楷体" w:eastAsia="楷体" w:cs="楷体"/>
          <w:color w:val="auto"/>
          <w:lang w:val="en-US" w:eastAsia="zh-CN"/>
        </w:rPr>
        <w:t>跨越式发展</w:t>
      </w:r>
      <w:bookmarkEnd w:id="20"/>
      <w:bookmarkEnd w:id="21"/>
    </w:p>
    <w:p w14:paraId="651C8AA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着眼于经济发展方式转变、产业结构升级、人民生活品质提升，坚持扩大内需战略基点，</w:t>
      </w:r>
      <w:r>
        <w:rPr>
          <w:rFonts w:hint="default" w:ascii="Times New Roman" w:hAnsi="Times New Roman" w:eastAsia="仿宋_GB2312" w:cs="Times New Roman"/>
          <w:color w:val="auto"/>
          <w:sz w:val="32"/>
          <w:szCs w:val="32"/>
          <w:highlight w:val="none"/>
          <w:lang w:val="en-US" w:eastAsia="zh-CN"/>
        </w:rPr>
        <w:t>统筹惠民与促消费</w:t>
      </w:r>
      <w:r>
        <w:rPr>
          <w:rFonts w:hint="eastAsia" w:ascii="Times New Roman" w:hAnsi="Times New Roman" w:eastAsia="仿宋_GB2312" w:cs="Times New Roman"/>
          <w:color w:val="auto"/>
          <w:sz w:val="32"/>
          <w:szCs w:val="32"/>
          <w:highlight w:val="none"/>
          <w:lang w:val="en-US" w:eastAsia="zh-CN"/>
        </w:rPr>
        <w:t>，投资于物和投资于人紧密结合</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实施服务业提质</w:t>
      </w:r>
      <w:r>
        <w:rPr>
          <w:rFonts w:hint="eastAsia" w:ascii="Times New Roman" w:hAnsi="Times New Roman" w:eastAsia="仿宋_GB2312" w:cs="Times New Roman"/>
          <w:color w:val="auto"/>
          <w:sz w:val="32"/>
          <w:szCs w:val="32"/>
          <w:highlight w:val="none"/>
          <w:lang w:val="en-US" w:eastAsia="zh-Hans"/>
        </w:rPr>
        <w:t>升级</w:t>
      </w:r>
      <w:r>
        <w:rPr>
          <w:rFonts w:hint="eastAsia" w:ascii="Times New Roman" w:hAnsi="Times New Roman" w:eastAsia="仿宋_GB2312" w:cs="Times New Roman"/>
          <w:color w:val="auto"/>
          <w:sz w:val="32"/>
          <w:szCs w:val="32"/>
          <w:highlight w:val="none"/>
          <w:lang w:val="en-US" w:eastAsia="zh-CN"/>
        </w:rPr>
        <w:t>行动，推动服务业与先进制造业、现代农业融合发展</w:t>
      </w:r>
      <w:r>
        <w:rPr>
          <w:rFonts w:hint="default" w:ascii="Times New Roman" w:hAnsi="Times New Roman" w:eastAsia="仿宋_GB2312" w:cs="Times New Roman"/>
          <w:color w:val="auto"/>
          <w:sz w:val="32"/>
          <w:szCs w:val="32"/>
          <w:highlight w:val="none"/>
          <w:lang w:val="en-US" w:eastAsia="zh-CN"/>
        </w:rPr>
        <w:t>，加快构建优质高效、结构合理的现代服务业。</w:t>
      </w:r>
    </w:p>
    <w:p w14:paraId="3566EC40">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 w:eastAsia="仿宋_GB2312" w:cs="宋体"/>
          <w:color w:val="auto"/>
          <w:spacing w:val="-6"/>
          <w:kern w:val="0"/>
          <w:sz w:val="32"/>
          <w:szCs w:val="32"/>
          <w:highlight w:val="none"/>
          <w:lang w:eastAsia="zh-Hans"/>
        </w:rPr>
      </w:pPr>
      <w:r>
        <w:rPr>
          <w:rFonts w:hint="eastAsia" w:ascii="仿宋_GB2312" w:hAnsi="仿宋_GB2312" w:eastAsia="仿宋_GB2312" w:cs="仿宋_GB2312"/>
          <w:b/>
          <w:bCs/>
          <w:color w:val="auto"/>
          <w:sz w:val="32"/>
          <w:szCs w:val="32"/>
          <w:highlight w:val="none"/>
        </w:rPr>
        <w:t>发展文旅产业</w:t>
      </w:r>
      <w:r>
        <w:rPr>
          <w:rFonts w:hint="default"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依托宜居</w:t>
      </w:r>
      <w:r>
        <w:rPr>
          <w:rFonts w:hint="eastAsia" w:ascii="仿宋_GB2312" w:hAnsi="仿宋_GB2312" w:eastAsia="仿宋_GB2312" w:cs="仿宋_GB2312"/>
          <w:color w:val="auto"/>
          <w:sz w:val="32"/>
          <w:szCs w:val="32"/>
          <w:highlight w:val="none"/>
          <w:lang w:eastAsia="zh-Hans"/>
        </w:rPr>
        <w:t>的</w:t>
      </w:r>
      <w:r>
        <w:rPr>
          <w:rFonts w:hint="eastAsia" w:ascii="仿宋_GB2312" w:hAnsi="仿宋_GB2312" w:eastAsia="仿宋_GB2312" w:cs="仿宋_GB2312"/>
          <w:color w:val="auto"/>
          <w:sz w:val="32"/>
          <w:szCs w:val="32"/>
          <w:highlight w:val="none"/>
        </w:rPr>
        <w:t>气候</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Hans"/>
        </w:rPr>
        <w:t>优美</w:t>
      </w:r>
      <w:r>
        <w:rPr>
          <w:rFonts w:hint="eastAsia" w:ascii="仿宋_GB2312" w:hAnsi="仿宋_GB2312" w:eastAsia="仿宋_GB2312" w:cs="仿宋_GB2312"/>
          <w:color w:val="auto"/>
          <w:sz w:val="32"/>
          <w:szCs w:val="32"/>
          <w:highlight w:val="none"/>
        </w:rPr>
        <w:t>的生态</w:t>
      </w:r>
      <w:r>
        <w:rPr>
          <w:rFonts w:hint="eastAsia" w:ascii="仿宋_GB2312" w:hAnsi="仿宋_GB2312" w:eastAsia="仿宋_GB2312" w:cs="仿宋_GB2312"/>
          <w:color w:val="auto"/>
          <w:sz w:val="32"/>
          <w:szCs w:val="32"/>
          <w:highlight w:val="none"/>
          <w:lang w:eastAsia="zh-Hans"/>
        </w:rPr>
        <w:t>环境</w:t>
      </w:r>
      <w:r>
        <w:rPr>
          <w:rFonts w:hint="eastAsia" w:ascii="仿宋_GB2312" w:hAnsi="仿宋_GB2312" w:eastAsia="仿宋_GB2312" w:cs="仿宋_GB2312"/>
          <w:color w:val="auto"/>
          <w:sz w:val="32"/>
          <w:szCs w:val="32"/>
          <w:highlight w:val="none"/>
        </w:rPr>
        <w:t>、丰富的文化资源，打造</w:t>
      </w:r>
      <w:r>
        <w:rPr>
          <w:rFonts w:hint="eastAsia" w:ascii="仿宋_GB2312" w:hAnsi="仿宋" w:eastAsia="仿宋_GB2312" w:cs="宋体"/>
          <w:color w:val="auto"/>
          <w:spacing w:val="-6"/>
          <w:kern w:val="0"/>
          <w:sz w:val="32"/>
          <w:szCs w:val="32"/>
          <w:highlight w:val="none"/>
        </w:rPr>
        <w:t>历史文化旅游、民俗风情旅游、生态休闲旅游、旅游节庆四大精品旅游品牌</w:t>
      </w:r>
      <w:r>
        <w:rPr>
          <w:rFonts w:hint="default" w:ascii="仿宋_GB2312" w:hAnsi="仿宋" w:eastAsia="仿宋_GB2312" w:cs="宋体"/>
          <w:color w:val="auto"/>
          <w:spacing w:val="-6"/>
          <w:kern w:val="0"/>
          <w:sz w:val="32"/>
          <w:szCs w:val="32"/>
          <w:highlight w:val="none"/>
        </w:rPr>
        <w:t>，</w:t>
      </w:r>
      <w:r>
        <w:rPr>
          <w:rFonts w:hint="eastAsia" w:ascii="仿宋_GB2312" w:hAnsi="仿宋" w:eastAsia="仿宋_GB2312" w:cs="宋体"/>
          <w:color w:val="auto"/>
          <w:spacing w:val="-6"/>
          <w:kern w:val="0"/>
          <w:sz w:val="32"/>
          <w:szCs w:val="32"/>
          <w:highlight w:val="none"/>
          <w:lang w:val="en-US" w:eastAsia="zh-CN"/>
        </w:rPr>
        <w:t>推进融江文化带、生态带、旅游带建设，</w:t>
      </w:r>
      <w:r>
        <w:rPr>
          <w:rFonts w:hint="default" w:ascii="仿宋_GB2312" w:hAnsi="仿宋" w:eastAsia="仿宋_GB2312" w:cs="宋体"/>
          <w:color w:val="auto"/>
          <w:spacing w:val="-6"/>
          <w:kern w:val="0"/>
          <w:sz w:val="32"/>
          <w:szCs w:val="32"/>
          <w:highlight w:val="none"/>
        </w:rPr>
        <w:t>推进“一心两带三区”建设。</w:t>
      </w:r>
    </w:p>
    <w:p w14:paraId="38283BE7">
      <w:pPr>
        <w:keepNext w:val="0"/>
        <w:keepLines w:val="0"/>
        <w:pageBreakBefore w:val="0"/>
        <w:widowControl w:val="0"/>
        <w:kinsoku/>
        <w:wordWrap/>
        <w:overflowPunct/>
        <w:topLinePunct w:val="0"/>
        <w:autoSpaceDE/>
        <w:autoSpaceDN/>
        <w:bidi w:val="0"/>
        <w:spacing w:line="560" w:lineRule="exact"/>
        <w:ind w:firstLine="616" w:firstLineChars="200"/>
        <w:textAlignment w:val="auto"/>
        <w:rPr>
          <w:rFonts w:hint="default" w:ascii="仿宋_GB2312" w:hAnsi="仿宋" w:eastAsia="仿宋_GB2312" w:cs="宋体"/>
          <w:color w:val="000000" w:themeColor="text1"/>
          <w:spacing w:val="-6"/>
          <w:kern w:val="0"/>
          <w:sz w:val="32"/>
          <w:szCs w:val="32"/>
          <w:highlight w:val="none"/>
          <w:lang w:eastAsia="zh-CN"/>
          <w14:textFill>
            <w14:solidFill>
              <w14:schemeClr w14:val="tx1"/>
            </w14:solidFill>
          </w14:textFill>
        </w:rPr>
      </w:pPr>
      <w:r>
        <w:rPr>
          <w:rFonts w:hint="eastAsia" w:ascii="仿宋_GB2312" w:hAnsi="仿宋" w:eastAsia="仿宋_GB2312" w:cs="宋体"/>
          <w:color w:val="auto"/>
          <w:spacing w:val="-6"/>
          <w:kern w:val="0"/>
          <w:sz w:val="32"/>
          <w:szCs w:val="32"/>
          <w:highlight w:val="none"/>
          <w:lang w:eastAsia="zh-Hans"/>
        </w:rPr>
        <w:t>在</w:t>
      </w:r>
      <w:r>
        <w:rPr>
          <w:rFonts w:hint="eastAsia" w:ascii="仿宋_GB2312" w:hAnsi="仿宋" w:eastAsia="仿宋_GB2312" w:cs="宋体"/>
          <w:color w:val="auto"/>
          <w:spacing w:val="-6"/>
          <w:kern w:val="0"/>
          <w:sz w:val="32"/>
          <w:szCs w:val="32"/>
          <w:highlight w:val="none"/>
        </w:rPr>
        <w:t>历史文化旅游</w:t>
      </w:r>
      <w:r>
        <w:rPr>
          <w:rFonts w:hint="eastAsia" w:ascii="仿宋_GB2312" w:hAnsi="仿宋" w:eastAsia="仿宋_GB2312" w:cs="宋体"/>
          <w:color w:val="auto"/>
          <w:spacing w:val="-6"/>
          <w:kern w:val="0"/>
          <w:sz w:val="32"/>
          <w:szCs w:val="32"/>
          <w:highlight w:val="none"/>
          <w:lang w:eastAsia="zh-Hans"/>
        </w:rPr>
        <w:t>方面</w:t>
      </w:r>
      <w:r>
        <w:rPr>
          <w:rFonts w:hint="default" w:ascii="仿宋_GB2312" w:hAnsi="仿宋" w:eastAsia="仿宋_GB2312" w:cs="宋体"/>
          <w:color w:val="auto"/>
          <w:spacing w:val="-6"/>
          <w:kern w:val="0"/>
          <w:sz w:val="32"/>
          <w:szCs w:val="32"/>
          <w:highlight w:val="none"/>
          <w:lang w:eastAsia="zh-Hans"/>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抓好宋窑遗址文化旅游产业园、巨猿洞遗址考古公园、古廨古建筑群保护利用等一批项目开发，推动“旅游+”产业融合</w:t>
      </w:r>
      <w:r>
        <w:rPr>
          <w:rFonts w:hint="eastAsia" w:ascii="Times New Roman" w:hAnsi="Times New Roman" w:eastAsia="仿宋_GB2312" w:cs="Times New Roman"/>
          <w:b w:val="0"/>
          <w:bCs w:val="0"/>
          <w:color w:val="auto"/>
          <w:spacing w:val="0"/>
          <w:kern w:val="2"/>
          <w:sz w:val="32"/>
          <w:szCs w:val="32"/>
          <w:highlight w:val="none"/>
          <w:lang w:val="en-US" w:eastAsia="zh-Hans" w:bidi="ar-SA"/>
        </w:rPr>
        <w:t>发展</w:t>
      </w:r>
      <w:r>
        <w:rPr>
          <w:rFonts w:hint="default" w:ascii="Times New Roman" w:hAnsi="Times New Roman" w:eastAsia="仿宋_GB2312" w:cs="Times New Roman"/>
          <w:b w:val="0"/>
          <w:bCs w:val="0"/>
          <w:color w:val="auto"/>
          <w:spacing w:val="0"/>
          <w:kern w:val="2"/>
          <w:sz w:val="32"/>
          <w:szCs w:val="32"/>
          <w:highlight w:val="none"/>
          <w:lang w:eastAsia="zh-Hans" w:bidi="ar-SA"/>
        </w:rPr>
        <w:t>；</w:t>
      </w:r>
      <w:r>
        <w:rPr>
          <w:rFonts w:hint="eastAsia" w:ascii="仿宋_GB2312" w:hAnsi="仿宋_GB2312" w:eastAsia="仿宋_GB2312" w:cs="仿宋_GB2312"/>
          <w:color w:val="auto"/>
          <w:sz w:val="32"/>
          <w:szCs w:val="32"/>
          <w:highlight w:val="none"/>
        </w:rPr>
        <w:t>紧扣“千年古县·甜美柳城”核心品牌，</w:t>
      </w:r>
      <w:r>
        <w:rPr>
          <w:rFonts w:hint="eastAsia" w:ascii="仿宋_GB2312" w:hAnsi="仿宋" w:eastAsia="仿宋_GB2312" w:cs="宋体"/>
          <w:color w:val="auto"/>
          <w:kern w:val="0"/>
          <w:sz w:val="32"/>
          <w:szCs w:val="32"/>
          <w:highlight w:val="none"/>
        </w:rPr>
        <w:t>主动迎合旅游消费模式由观光型逐步向休闲度假型旅游转变</w:t>
      </w:r>
      <w:r>
        <w:rPr>
          <w:rFonts w:hint="default" w:ascii="仿宋_GB2312" w:hAnsi="仿宋" w:eastAsia="仿宋_GB2312" w:cs="宋体"/>
          <w:color w:val="auto"/>
          <w:kern w:val="0"/>
          <w:sz w:val="32"/>
          <w:szCs w:val="32"/>
          <w:highlight w:val="none"/>
        </w:rPr>
        <w:t>；</w:t>
      </w:r>
      <w:r>
        <w:rPr>
          <w:rFonts w:hint="eastAsia" w:ascii="仿宋_GB2312" w:hAnsi="仿宋" w:eastAsia="仿宋_GB2312" w:cs="宋体"/>
          <w:color w:val="auto"/>
          <w:spacing w:val="-6"/>
          <w:kern w:val="0"/>
          <w:sz w:val="32"/>
          <w:szCs w:val="32"/>
          <w:highlight w:val="none"/>
          <w:lang w:val="en-US" w:eastAsia="zh-CN"/>
        </w:rPr>
        <w:t>将《柳州日报》柳城分社旧址与伏华“伏虎茗园”打造成</w:t>
      </w:r>
      <w:r>
        <w:rPr>
          <w:rFonts w:hint="eastAsia" w:ascii="仿宋_GB2312" w:hAnsi="仿宋" w:eastAsia="仿宋_GB2312" w:cs="宋体"/>
          <w:color w:val="auto"/>
          <w:spacing w:val="-6"/>
          <w:kern w:val="0"/>
          <w:sz w:val="32"/>
          <w:szCs w:val="32"/>
          <w:highlight w:val="none"/>
          <w:lang w:val="en-US" w:eastAsia="zh-Hans"/>
        </w:rPr>
        <w:t>“</w:t>
      </w:r>
      <w:r>
        <w:rPr>
          <w:rFonts w:hint="eastAsia" w:ascii="仿宋_GB2312" w:hAnsi="仿宋" w:eastAsia="仿宋_GB2312" w:cs="宋体"/>
          <w:color w:val="auto"/>
          <w:spacing w:val="-6"/>
          <w:kern w:val="0"/>
          <w:sz w:val="32"/>
          <w:szCs w:val="32"/>
          <w:highlight w:val="none"/>
          <w:lang w:val="en-US" w:eastAsia="zh-CN"/>
        </w:rPr>
        <w:t>红色文化+茶侨文化</w:t>
      </w:r>
      <w:r>
        <w:rPr>
          <w:rFonts w:hint="eastAsia" w:ascii="仿宋_GB2312" w:hAnsi="仿宋" w:eastAsia="仿宋_GB2312" w:cs="宋体"/>
          <w:color w:val="auto"/>
          <w:spacing w:val="-6"/>
          <w:kern w:val="0"/>
          <w:sz w:val="32"/>
          <w:szCs w:val="32"/>
          <w:highlight w:val="none"/>
          <w:lang w:val="en-US" w:eastAsia="zh-Hans"/>
        </w:rPr>
        <w:t>”</w:t>
      </w:r>
      <w:r>
        <w:rPr>
          <w:rFonts w:hint="eastAsia" w:ascii="仿宋_GB2312" w:hAnsi="仿宋" w:eastAsia="仿宋_GB2312" w:cs="宋体"/>
          <w:color w:val="auto"/>
          <w:spacing w:val="-6"/>
          <w:kern w:val="0"/>
          <w:sz w:val="32"/>
          <w:szCs w:val="32"/>
          <w:highlight w:val="none"/>
          <w:lang w:val="en-US" w:eastAsia="zh-CN"/>
        </w:rPr>
        <w:t>休闲、研学旅游精品路线</w:t>
      </w:r>
      <w:r>
        <w:rPr>
          <w:rFonts w:hint="default" w:ascii="仿宋_GB2312" w:hAnsi="仿宋_GB2312" w:eastAsia="仿宋_GB2312" w:cs="仿宋_GB2312"/>
          <w:color w:val="auto"/>
          <w:sz w:val="32"/>
          <w:szCs w:val="32"/>
          <w:highlight w:val="none"/>
          <w:lang w:eastAsia="zh-CN"/>
        </w:rPr>
        <w:t>。</w:t>
      </w:r>
      <w:r>
        <w:rPr>
          <w:rFonts w:hint="eastAsia" w:ascii="仿宋_GB2312" w:hAnsi="仿宋" w:eastAsia="仿宋_GB2312" w:cs="宋体"/>
          <w:color w:val="auto"/>
          <w:spacing w:val="-6"/>
          <w:kern w:val="0"/>
          <w:sz w:val="32"/>
          <w:szCs w:val="32"/>
          <w:highlight w:val="none"/>
          <w:lang w:val="en-US" w:eastAsia="zh-Hans"/>
        </w:rPr>
        <w:t>在</w:t>
      </w:r>
      <w:r>
        <w:rPr>
          <w:rFonts w:hint="eastAsia" w:ascii="仿宋_GB2312" w:hAnsi="仿宋" w:eastAsia="仿宋_GB2312" w:cs="宋体"/>
          <w:color w:val="auto"/>
          <w:spacing w:val="-6"/>
          <w:kern w:val="0"/>
          <w:sz w:val="32"/>
          <w:szCs w:val="32"/>
          <w:highlight w:val="none"/>
        </w:rPr>
        <w:t>民俗风</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情旅游</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方面</w:t>
      </w:r>
      <w:r>
        <w:rPr>
          <w:rFonts w:hint="default" w:ascii="仿宋_GB2312" w:hAnsi="仿宋" w:eastAsia="仿宋_GB2312" w:cs="宋体"/>
          <w:color w:val="000000" w:themeColor="text1"/>
          <w:spacing w:val="-6"/>
          <w:kern w:val="0"/>
          <w:sz w:val="32"/>
          <w:szCs w:val="32"/>
          <w:highlight w:val="none"/>
          <w:lang w:eastAsia="zh-Hans"/>
          <w14:textFill>
            <w14:solidFill>
              <w14:schemeClr w14:val="tx1"/>
            </w14:solidFill>
          </w14:textFill>
        </w:rPr>
        <w:t>，</w:t>
      </w:r>
      <w:r>
        <w:rPr>
          <w:rFonts w:hint="eastAsia" w:ascii="仿宋_GB2312" w:hAnsi="仿宋" w:eastAsia="仿宋_GB2312" w:cs="宋体"/>
          <w:color w:val="000000" w:themeColor="text1"/>
          <w:kern w:val="0"/>
          <w:sz w:val="32"/>
          <w:szCs w:val="32"/>
          <w:highlight w:val="none"/>
          <w14:textFill>
            <w14:solidFill>
              <w14:schemeClr w14:val="tx1"/>
            </w14:solidFill>
          </w14:textFill>
        </w:rPr>
        <w:t>提升知青城景区、红马山景区及沙埔河</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漂流精品体育</w:t>
      </w:r>
      <w:r>
        <w:rPr>
          <w:rFonts w:hint="eastAsia" w:ascii="仿宋_GB2312" w:hAnsi="仿宋" w:eastAsia="仿宋_GB2312" w:cs="宋体"/>
          <w:color w:val="000000" w:themeColor="text1"/>
          <w:kern w:val="0"/>
          <w:sz w:val="32"/>
          <w:szCs w:val="32"/>
          <w:highlight w:val="none"/>
          <w14:textFill>
            <w14:solidFill>
              <w14:schemeClr w14:val="tx1"/>
            </w14:solidFill>
          </w14:textFill>
        </w:rPr>
        <w:t>旅</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游带景区（点）、古砦民俗风情旅游区的基础设施建设，推动景区（点）提档升级</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将</w:t>
      </w:r>
      <w:r>
        <w:rPr>
          <w:rFonts w:hint="eastAsia" w:ascii="仿宋_GB2312" w:hAnsi="仿宋" w:eastAsia="仿宋_GB2312" w:cs="宋体"/>
          <w:color w:val="000000" w:themeColor="text1"/>
          <w:spacing w:val="-6"/>
          <w:kern w:val="0"/>
          <w:sz w:val="32"/>
          <w:szCs w:val="32"/>
          <w:highlight w:val="none"/>
          <w:lang w:val="en-US" w:eastAsia="zh-CN"/>
          <w14:textFill>
            <w14:solidFill>
              <w14:schemeClr w14:val="tx1"/>
            </w14:solidFill>
          </w14:textFill>
        </w:rPr>
        <w:t>古砦农文旅</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项目打造成特色农业与休闲旅游相结合的农业观光休闲旅游区</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提升柳城华侨管理区基础设施建设</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并</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打造华侨美食节品牌</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在</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生态休闲旅游</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方面</w:t>
      </w:r>
      <w:r>
        <w:rPr>
          <w:rFonts w:hint="default" w:ascii="仿宋_GB2312" w:hAnsi="仿宋" w:eastAsia="仿宋_GB2312" w:cs="宋体"/>
          <w:color w:val="000000" w:themeColor="text1"/>
          <w:spacing w:val="-6"/>
          <w:kern w:val="0"/>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以打造</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环都市山水田园度假区</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为目标，</w:t>
      </w:r>
      <w:r>
        <w:rPr>
          <w:rFonts w:hint="eastAsia" w:ascii="仿宋_GB2312" w:hAnsi="仿宋" w:eastAsia="仿宋_GB2312" w:cs="宋体"/>
          <w:color w:val="000000" w:themeColor="text1"/>
          <w:kern w:val="0"/>
          <w:sz w:val="32"/>
          <w:szCs w:val="32"/>
          <w:highlight w:val="none"/>
          <w14:textFill>
            <w14:solidFill>
              <w14:schemeClr w14:val="tx1"/>
            </w14:solidFill>
          </w14:textFill>
        </w:rPr>
        <w:t>立足大柳州市场，主动融入柳州环都市乡村休闲度假旅游圈、柳州—柳城—融水—融安—三江桂北风情旅游线，加强区域旅游联动，构建“一心两带三区”的休闲旅游业发展</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的空间布</w:t>
      </w:r>
      <w:r>
        <w:rPr>
          <w:rFonts w:hint="eastAsia" w:ascii="仿宋_GB2312" w:hAnsi="仿宋" w:eastAsia="仿宋_GB2312" w:cs="宋体"/>
          <w:color w:val="000000" w:themeColor="text1"/>
          <w:kern w:val="0"/>
          <w:sz w:val="32"/>
          <w:szCs w:val="32"/>
          <w:highlight w:val="none"/>
          <w14:textFill>
            <w14:solidFill>
              <w14:schemeClr w14:val="tx1"/>
            </w14:solidFill>
          </w14:textFill>
        </w:rPr>
        <w:t>局</w:t>
      </w:r>
      <w:r>
        <w:rPr>
          <w:rFonts w:hint="default" w:ascii="仿宋_GB2312" w:hAnsi="仿宋" w:eastAsia="仿宋_GB2312" w:cs="宋体"/>
          <w:color w:val="000000" w:themeColor="text1"/>
          <w:kern w:val="0"/>
          <w:sz w:val="32"/>
          <w:szCs w:val="32"/>
          <w:highlight w:val="none"/>
          <w14:textFill>
            <w14:solidFill>
              <w14:schemeClr w14:val="tx1"/>
            </w14:solidFill>
          </w14:textFill>
        </w:rPr>
        <w:t>；</w:t>
      </w:r>
      <w:r>
        <w:rPr>
          <w:rFonts w:hint="eastAsia" w:ascii="仿宋_GB2312" w:hAnsi="仿宋" w:eastAsia="仿宋_GB2312" w:cs="宋体"/>
          <w:color w:val="000000" w:themeColor="text1"/>
          <w:kern w:val="0"/>
          <w:sz w:val="32"/>
          <w:szCs w:val="32"/>
          <w:highlight w:val="none"/>
          <w14:textFill>
            <w14:solidFill>
              <w14:schemeClr w14:val="tx1"/>
            </w14:solidFill>
          </w14:textFill>
        </w:rPr>
        <w:t>打造乡村休闲生态旅游“慢”文化，持续做好“三条”沿河（江）旅游经济带发展</w:t>
      </w: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kern w:val="0"/>
          <w:sz w:val="32"/>
          <w:szCs w:val="32"/>
          <w:highlight w:val="none"/>
          <w14:textFill>
            <w14:solidFill>
              <w14:schemeClr w14:val="tx1"/>
            </w14:solidFill>
          </w14:textFill>
        </w:rPr>
        <w:t>以“水”为脉，以“绿”为底，以“文”为魂，以“体”为形，实现“水岸联动、片区协同、错位发展”</w:t>
      </w:r>
      <w:r>
        <w:rPr>
          <w:rFonts w:hint="eastAsia" w:ascii="仿宋_GB2312" w:hAnsi="仿宋" w:eastAsia="仿宋_GB2312" w:cs="宋体"/>
          <w:color w:val="000000" w:themeColor="text1"/>
          <w:kern w:val="0"/>
          <w:sz w:val="32"/>
          <w:szCs w:val="32"/>
          <w:highlight w:val="none"/>
          <w:lang w:eastAsia="zh-Hans"/>
          <w14:textFill>
            <w14:solidFill>
              <w14:schemeClr w14:val="tx1"/>
            </w14:solidFill>
          </w14:textFill>
        </w:rPr>
        <w:t>的新格局</w:t>
      </w: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kern w:val="0"/>
          <w:sz w:val="32"/>
          <w:szCs w:val="32"/>
          <w:highlight w:val="none"/>
          <w14:textFill>
            <w14:solidFill>
              <w14:schemeClr w14:val="tx1"/>
            </w14:solidFill>
          </w14:textFill>
        </w:rPr>
        <w:t>推动全县旅游</w:t>
      </w:r>
      <w:r>
        <w:rPr>
          <w:rFonts w:hint="eastAsia" w:ascii="仿宋_GB2312" w:hAnsi="仿宋" w:eastAsia="仿宋_GB2312" w:cs="宋体"/>
          <w:color w:val="000000" w:themeColor="text1"/>
          <w:kern w:val="0"/>
          <w:sz w:val="32"/>
          <w:szCs w:val="32"/>
          <w:highlight w:val="none"/>
          <w:lang w:eastAsia="zh-Hans"/>
          <w14:textFill>
            <w14:solidFill>
              <w14:schemeClr w14:val="tx1"/>
            </w14:solidFill>
          </w14:textFill>
        </w:rPr>
        <w:t>高质量</w:t>
      </w:r>
      <w:r>
        <w:rPr>
          <w:rFonts w:hint="eastAsia" w:ascii="仿宋_GB2312" w:hAnsi="仿宋" w:eastAsia="仿宋_GB2312" w:cs="宋体"/>
          <w:color w:val="000000" w:themeColor="text1"/>
          <w:kern w:val="0"/>
          <w:sz w:val="32"/>
          <w:szCs w:val="32"/>
          <w:highlight w:val="none"/>
          <w14:textFill>
            <w14:solidFill>
              <w14:schemeClr w14:val="tx1"/>
            </w14:solidFill>
          </w14:textFill>
        </w:rPr>
        <w:t>发展</w:t>
      </w:r>
      <w:r>
        <w:rPr>
          <w:rFonts w:hint="default" w:ascii="仿宋_GB2312" w:hAnsi="仿宋" w:eastAsia="仿宋_GB2312" w:cs="宋体"/>
          <w:color w:val="000000" w:themeColor="text1"/>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lang w:val="en-US" w:eastAsia="zh-CN"/>
          <w14:textFill>
            <w14:solidFill>
              <w14:schemeClr w14:val="tx1"/>
            </w14:solidFill>
          </w14:textFill>
        </w:rPr>
        <w:t>打造</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汇集大岩山风力发电场星空露营基地、三江（融江、柳江、龙江）沿河露营基地、开山寺禅修文化等为一体的凤山综合旅游项目</w:t>
      </w:r>
      <w:r>
        <w:rPr>
          <w:rFonts w:hint="eastAsia" w:ascii="仿宋_GB2312" w:hAnsi="仿宋" w:eastAsia="仿宋_GB2312" w:cs="宋体"/>
          <w:color w:val="000000" w:themeColor="text1"/>
          <w:spacing w:val="-6"/>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14:textFill>
            <w14:solidFill>
              <w14:schemeClr w14:val="tx1"/>
            </w14:solidFill>
          </w14:textFill>
        </w:rPr>
        <w:t>将安乐湖打造成休闲汽车露营地</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在</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节庆旅游</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方面</w:t>
      </w:r>
      <w:r>
        <w:rPr>
          <w:rFonts w:hint="default" w:ascii="仿宋_GB2312" w:hAnsi="仿宋" w:eastAsia="仿宋_GB2312" w:cs="宋体"/>
          <w:color w:val="000000" w:themeColor="text1"/>
          <w:spacing w:val="-6"/>
          <w:kern w:val="0"/>
          <w:sz w:val="32"/>
          <w:szCs w:val="32"/>
          <w:highlight w:val="none"/>
          <w:lang w:eastAsia="zh-Hans"/>
          <w14:textFill>
            <w14:solidFill>
              <w14:schemeClr w14:val="tx1"/>
            </w14:solidFill>
          </w14:textFill>
        </w:rPr>
        <w:t>，</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主要</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分为三类：</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以</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主打古砦仫佬族文化旅游节（包含“稻美古砦·甜野乡村”生态文化旅游节），以及牛诞节、依饭节、开塘节等独特民族节庆；</w:t>
      </w:r>
      <w:r>
        <w:rPr>
          <w:rFonts w:hint="eastAsia" w:ascii="仿宋_GB2312" w:hAnsi="仿宋" w:eastAsia="仿宋_GB2312" w:cs="宋体"/>
          <w:color w:val="000000" w:themeColor="text1"/>
          <w:spacing w:val="-6"/>
          <w:kern w:val="0"/>
          <w:sz w:val="32"/>
          <w:szCs w:val="32"/>
          <w:highlight w:val="none"/>
          <w:lang w:eastAsia="zh-Hans"/>
          <w14:textFill>
            <w14:solidFill>
              <w14:schemeClr w14:val="tx1"/>
            </w14:solidFill>
          </w14:textFill>
        </w:rPr>
        <w:t>以</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贯穿全年的乡镇文旅品牌活动</w:t>
      </w:r>
      <w:r>
        <w:rPr>
          <w:rFonts w:hint="eastAsia" w:ascii="仿宋_GB2312" w:hAnsi="仿宋" w:eastAsia="仿宋_GB2312" w:cs="宋体"/>
          <w:color w:val="000000" w:themeColor="text1"/>
          <w:spacing w:val="-6"/>
          <w:kern w:val="0"/>
          <w:sz w:val="32"/>
          <w:szCs w:val="32"/>
          <w:highlight w:val="none"/>
          <w:lang w:eastAsia="zh-CN"/>
          <w14:textFill>
            <w14:solidFill>
              <w14:schemeClr w14:val="tx1"/>
            </w14:solidFill>
          </w14:textFill>
        </w:rPr>
        <w:t>－</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“四季柳城”系列活动，例如在冲脉镇举办的“三月三”民族团结进步宣传月活动等</w:t>
      </w:r>
      <w:r>
        <w:rPr>
          <w:rFonts w:hint="eastAsia" w:ascii="仿宋_GB2312" w:hAnsi="仿宋" w:eastAsia="仿宋_GB2312" w:cs="宋体"/>
          <w:color w:val="000000" w:themeColor="text1"/>
          <w:spacing w:val="-6"/>
          <w:kern w:val="0"/>
          <w:sz w:val="32"/>
          <w:szCs w:val="32"/>
          <w:highlight w:val="none"/>
          <w:lang w:eastAsia="zh-CN"/>
          <w14:textFill>
            <w14:solidFill>
              <w14:schemeClr w14:val="tx1"/>
            </w14:solidFill>
          </w14:textFill>
        </w:rPr>
        <w:t>；</w:t>
      </w:r>
      <w:r>
        <w:rPr>
          <w:rFonts w:hint="default" w:ascii="仿宋_GB2312" w:hAnsi="仿宋" w:eastAsia="仿宋_GB2312" w:cs="宋体"/>
          <w:color w:val="000000" w:themeColor="text1"/>
          <w:spacing w:val="-6"/>
          <w:kern w:val="0"/>
          <w:sz w:val="32"/>
          <w:szCs w:val="32"/>
          <w:highlight w:val="none"/>
          <w14:textFill>
            <w14:solidFill>
              <w14:schemeClr w14:val="tx1"/>
            </w14:solidFill>
          </w14:textFill>
        </w:rPr>
        <w:t>在春节、元宵、端午、重阳等传统节日，会广泛开展山歌擂台赛、包粽子、民族歌舞表演等群众文化活动。这些节庆与“凤山古镇—知青城—稻花飘香—古砦古民居”等精品旅游线路相结合，有效促进了旅游发展。</w:t>
      </w:r>
    </w:p>
    <w:p w14:paraId="60E6BB3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加强旅游基础设施建设，完善旅游交通网络、游客服务中</w:t>
      </w:r>
      <w:r>
        <w:rPr>
          <w:rFonts w:hint="eastAsia" w:ascii="仿宋_GB2312" w:hAnsi="仿宋_GB2312" w:eastAsia="仿宋_GB2312" w:cs="仿宋_GB2312"/>
          <w:color w:val="auto"/>
          <w:sz w:val="32"/>
          <w:szCs w:val="32"/>
          <w:highlight w:val="none"/>
        </w:rPr>
        <w:t>心、旅游厕所等配套设施。提升旅游景区品质，重点打造一批</w:t>
      </w:r>
      <w:r>
        <w:rPr>
          <w:rFonts w:hint="eastAsia" w:ascii="仿宋_GB2312" w:hAnsi="仿宋_GB2312" w:eastAsia="仿宋_GB2312" w:cs="仿宋_GB2312"/>
          <w:color w:val="auto"/>
          <w:sz w:val="32"/>
          <w:szCs w:val="32"/>
          <w:highlight w:val="none"/>
          <w:lang w:eastAsia="zh-Hans"/>
        </w:rPr>
        <w:t>高</w:t>
      </w:r>
      <w:r>
        <w:rPr>
          <w:rFonts w:hint="eastAsia" w:ascii="仿宋_GB2312" w:hAnsi="仿宋_GB2312" w:eastAsia="仿宋_GB2312" w:cs="仿宋_GB2312"/>
          <w:color w:val="auto"/>
          <w:sz w:val="32"/>
          <w:szCs w:val="32"/>
          <w:highlight w:val="none"/>
        </w:rPr>
        <w:t>A级旅游景区、乡村旅游重点村、休闲农业与乡村旅游示范点。</w:t>
      </w:r>
      <w:r>
        <w:rPr>
          <w:rFonts w:hint="eastAsia" w:ascii="仿宋_GB2312" w:hAnsi="仿宋_GB2312" w:eastAsia="仿宋_GB2312" w:cs="仿宋_GB2312"/>
          <w:color w:val="auto"/>
          <w:sz w:val="32"/>
          <w:szCs w:val="32"/>
          <w:highlight w:val="none"/>
          <w:lang w:eastAsia="zh-Hans"/>
        </w:rPr>
        <w:t>通过抖音</w:t>
      </w:r>
      <w:r>
        <w:rPr>
          <w:rFonts w:hint="default"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eastAsia="zh-Hans"/>
        </w:rPr>
        <w:t>公众号</w:t>
      </w:r>
      <w:r>
        <w:rPr>
          <w:rFonts w:hint="default"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eastAsia="zh-Hans"/>
        </w:rPr>
        <w:t>融媒体等多平台</w:t>
      </w:r>
      <w:r>
        <w:rPr>
          <w:rFonts w:hint="eastAsia" w:ascii="仿宋_GB2312" w:hAnsi="仿宋_GB2312" w:eastAsia="仿宋_GB2312" w:cs="仿宋_GB2312"/>
          <w:color w:val="auto"/>
          <w:sz w:val="32"/>
          <w:szCs w:val="32"/>
          <w:highlight w:val="none"/>
        </w:rPr>
        <w:t>加强旅游宣传推广，拓展客源市场，打造区域知名旅游目的地。推动文旅融合发展，深入挖掘多民族文化内涵，将彩调、戏曲等非物质文化遗产融入旅游产品和服务，打造具有</w:t>
      </w:r>
      <w:r>
        <w:rPr>
          <w:rFonts w:hint="eastAsia" w:ascii="仿宋_GB2312" w:hAnsi="仿宋_GB2312" w:eastAsia="仿宋_GB2312" w:cs="仿宋_GB2312"/>
          <w:color w:val="auto"/>
          <w:sz w:val="32"/>
          <w:szCs w:val="32"/>
          <w:highlight w:val="none"/>
          <w:lang w:eastAsia="zh-Hans"/>
        </w:rPr>
        <w:t>柳城</w:t>
      </w:r>
      <w:r>
        <w:rPr>
          <w:rFonts w:hint="eastAsia" w:ascii="仿宋_GB2312" w:hAnsi="仿宋_GB2312" w:eastAsia="仿宋_GB2312" w:cs="仿宋_GB2312"/>
          <w:color w:val="auto"/>
          <w:sz w:val="32"/>
          <w:szCs w:val="32"/>
          <w:highlight w:val="none"/>
        </w:rPr>
        <w:t>县特色的文化旅游品牌。</w:t>
      </w:r>
      <w:r>
        <w:rPr>
          <w:rFonts w:hint="eastAsia" w:ascii="仿宋_GB2312" w:hAnsi="仿宋" w:eastAsia="仿宋_GB2312" w:cs="宋体"/>
          <w:color w:val="auto"/>
          <w:spacing w:val="-6"/>
          <w:kern w:val="0"/>
          <w:sz w:val="32"/>
          <w:szCs w:val="32"/>
          <w:highlight w:val="none"/>
        </w:rPr>
        <w:t>推进星级酒店、农家旅馆、特色餐饮企业等旅游接待设施建设和培育。推进独具地域文化特色的旅游商品开发，</w:t>
      </w:r>
      <w:r>
        <w:rPr>
          <w:rFonts w:hint="eastAsia" w:ascii="仿宋_GB2312" w:hAnsi="仿宋" w:eastAsia="仿宋_GB2312" w:cs="宋体"/>
          <w:color w:val="auto"/>
          <w:spacing w:val="-6"/>
          <w:kern w:val="0"/>
          <w:sz w:val="32"/>
          <w:szCs w:val="32"/>
          <w:highlight w:val="none"/>
          <w:lang w:eastAsia="zh-Hans"/>
        </w:rPr>
        <w:t>开展</w:t>
      </w:r>
      <w:r>
        <w:rPr>
          <w:rFonts w:hint="eastAsia" w:ascii="仿宋_GB2312" w:hAnsi="仿宋" w:eastAsia="仿宋_GB2312" w:cs="宋体"/>
          <w:color w:val="auto"/>
          <w:spacing w:val="-6"/>
          <w:kern w:val="0"/>
          <w:sz w:val="32"/>
          <w:szCs w:val="32"/>
          <w:highlight w:val="none"/>
        </w:rPr>
        <w:t>旅游队伍素质提升工程，全面推动柳城县旅游</w:t>
      </w:r>
      <w:r>
        <w:rPr>
          <w:rFonts w:hint="eastAsia" w:ascii="仿宋_GB2312" w:hAnsi="仿宋" w:eastAsia="仿宋_GB2312" w:cs="宋体"/>
          <w:color w:val="auto"/>
          <w:spacing w:val="-6"/>
          <w:kern w:val="0"/>
          <w:sz w:val="32"/>
          <w:szCs w:val="32"/>
          <w:highlight w:val="none"/>
          <w:lang w:eastAsia="zh-Hans"/>
        </w:rPr>
        <w:t>提质升级</w:t>
      </w:r>
      <w:r>
        <w:rPr>
          <w:rFonts w:hint="eastAsia" w:ascii="仿宋_GB2312" w:hAnsi="仿宋" w:eastAsia="仿宋_GB2312" w:cs="宋体"/>
          <w:color w:val="auto"/>
          <w:spacing w:val="-6"/>
          <w:kern w:val="0"/>
          <w:sz w:val="32"/>
          <w:szCs w:val="32"/>
          <w:highlight w:val="none"/>
        </w:rPr>
        <w:t>。</w:t>
      </w:r>
    </w:p>
    <w:p w14:paraId="2F40069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 w:eastAsia="仿宋_GB2312"/>
          <w:color w:val="auto"/>
          <w:sz w:val="32"/>
          <w:szCs w:val="32"/>
          <w:highlight w:val="none"/>
        </w:rPr>
      </w:pPr>
      <w:r>
        <w:rPr>
          <w:rFonts w:hint="eastAsia" w:ascii="仿宋_GB2312" w:hAnsi="仿宋" w:eastAsia="仿宋_GB2312"/>
          <w:b/>
          <w:color w:val="auto"/>
          <w:sz w:val="32"/>
          <w:szCs w:val="32"/>
          <w:highlight w:val="none"/>
        </w:rPr>
        <w:t>发展现代物流业。</w:t>
      </w:r>
      <w:r>
        <w:rPr>
          <w:rFonts w:hint="eastAsia" w:ascii="仿宋_GB2312" w:hAnsi="仿宋" w:eastAsia="仿宋_GB2312"/>
          <w:color w:val="auto"/>
          <w:sz w:val="32"/>
          <w:szCs w:val="32"/>
          <w:highlight w:val="none"/>
        </w:rPr>
        <w:t>适应产业发展需要，依托综合交通网络，在沙埔镇规划建设综合物流园区，构建物流中心，利用互联网、移动互联网、建立物流电子商务平台，逐步实现物流电商化、一体化、社会化。构建以县城为中心布局合理的现代物流配送网络，并向制造商、网商、快递物流和第三方物流开放，与产业链中的各个环节共同发展。鼓励制造企业流程再造剥离物流业务，实现从原材料供给到商品销售整个供应链全程服务，为物流及第三方物流企业、电子商务企业、仓储企业、配送企业、供应链各类企业提供优质服务，带动县域经济转型增效，促进</w:t>
      </w:r>
      <w:r>
        <w:rPr>
          <w:rFonts w:hint="eastAsia" w:ascii="仿宋_GB2312" w:hAnsi="仿宋" w:eastAsia="仿宋_GB2312"/>
          <w:color w:val="auto"/>
          <w:sz w:val="32"/>
          <w:szCs w:val="32"/>
          <w:highlight w:val="none"/>
          <w:lang w:eastAsia="zh-Hans"/>
        </w:rPr>
        <w:t>服务</w:t>
      </w:r>
      <w:r>
        <w:rPr>
          <w:rFonts w:hint="eastAsia" w:ascii="仿宋_GB2312" w:hAnsi="仿宋" w:eastAsia="仿宋_GB2312"/>
          <w:color w:val="auto"/>
          <w:sz w:val="32"/>
          <w:szCs w:val="32"/>
          <w:highlight w:val="none"/>
        </w:rPr>
        <w:t>业</w:t>
      </w:r>
      <w:r>
        <w:rPr>
          <w:rFonts w:hint="eastAsia" w:ascii="仿宋_GB2312" w:hAnsi="仿宋" w:eastAsia="仿宋_GB2312"/>
          <w:color w:val="auto"/>
          <w:sz w:val="32"/>
          <w:szCs w:val="32"/>
          <w:highlight w:val="none"/>
          <w:lang w:eastAsia="zh-Hans"/>
        </w:rPr>
        <w:t>转型发展</w:t>
      </w:r>
      <w:r>
        <w:rPr>
          <w:rFonts w:hint="eastAsia" w:ascii="仿宋_GB2312" w:hAnsi="仿宋" w:eastAsia="仿宋_GB2312"/>
          <w:color w:val="auto"/>
          <w:sz w:val="32"/>
          <w:szCs w:val="32"/>
          <w:highlight w:val="none"/>
        </w:rPr>
        <w:t>。</w:t>
      </w:r>
    </w:p>
    <w:p w14:paraId="3208B5F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auto"/>
          <w:sz w:val="32"/>
          <w:szCs w:val="32"/>
          <w:highlight w:val="none"/>
          <w:lang w:eastAsia="zh-Hans"/>
        </w:rPr>
        <w:t>培育</w:t>
      </w:r>
      <w:r>
        <w:rPr>
          <w:rFonts w:hint="eastAsia" w:ascii="仿宋_GB2312" w:hAnsi="仿宋" w:eastAsia="仿宋_GB2312"/>
          <w:b/>
          <w:color w:val="auto"/>
          <w:sz w:val="32"/>
          <w:szCs w:val="32"/>
          <w:highlight w:val="none"/>
        </w:rPr>
        <w:t>壮大商贸服务业。</w:t>
      </w:r>
      <w:r>
        <w:rPr>
          <w:rFonts w:hint="eastAsia" w:ascii="仿宋_GB2312" w:hAnsi="仿宋" w:eastAsia="仿宋_GB2312"/>
          <w:b w:val="0"/>
          <w:bCs/>
          <w:color w:val="auto"/>
          <w:sz w:val="32"/>
          <w:szCs w:val="32"/>
          <w:highlight w:val="none"/>
          <w:lang w:val="en-US" w:eastAsia="zh-CN"/>
        </w:rPr>
        <w:t>培育和</w:t>
      </w:r>
      <w:r>
        <w:rPr>
          <w:rFonts w:hint="eastAsia" w:ascii="仿宋_GB2312" w:hAnsi="仿宋" w:eastAsia="仿宋_GB2312"/>
          <w:b w:val="0"/>
          <w:bCs/>
          <w:color w:val="auto"/>
          <w:sz w:val="32"/>
          <w:szCs w:val="32"/>
          <w:highlight w:val="none"/>
        </w:rPr>
        <w:t>引进商贸服务业</w:t>
      </w:r>
      <w:r>
        <w:rPr>
          <w:rFonts w:hint="eastAsia" w:ascii="仿宋_GB2312" w:hAnsi="仿宋" w:eastAsia="仿宋_GB2312"/>
          <w:b w:val="0"/>
          <w:bCs/>
          <w:color w:val="auto"/>
          <w:sz w:val="32"/>
          <w:szCs w:val="32"/>
          <w:highlight w:val="none"/>
          <w:lang w:val="en-US" w:eastAsia="zh-CN"/>
        </w:rPr>
        <w:t>优质</w:t>
      </w:r>
      <w:r>
        <w:rPr>
          <w:rFonts w:hint="eastAsia" w:ascii="仿宋_GB2312" w:hAnsi="仿宋" w:eastAsia="仿宋_GB2312"/>
          <w:b w:val="0"/>
          <w:bCs/>
          <w:color w:val="auto"/>
          <w:sz w:val="32"/>
          <w:szCs w:val="32"/>
          <w:highlight w:val="none"/>
        </w:rPr>
        <w:t>企业，</w:t>
      </w:r>
      <w:r>
        <w:rPr>
          <w:rFonts w:hint="eastAsia" w:ascii="仿宋_GB2312" w:hAnsi="仿宋" w:eastAsia="仿宋_GB2312"/>
          <w:color w:val="auto"/>
          <w:sz w:val="32"/>
          <w:szCs w:val="32"/>
          <w:highlight w:val="none"/>
        </w:rPr>
        <w:t>推动传统商贸服务业创新，鼓励商贸企业利用各种移动互联网平台（电子商务、微博等）为消费者提供个性化定制服务和体验。推动与柳州市区商贸一体化进程，推动商贸业集聚式发展，吸引柳州及周边地区来</w:t>
      </w:r>
      <w:r>
        <w:rPr>
          <w:rFonts w:hint="default" w:ascii="仿宋_GB2312" w:hAnsi="仿宋" w:eastAsia="仿宋_GB2312"/>
          <w:color w:val="auto"/>
          <w:sz w:val="32"/>
          <w:szCs w:val="32"/>
          <w:highlight w:val="none"/>
        </w:rPr>
        <w:t>柳城县</w:t>
      </w:r>
      <w:r>
        <w:rPr>
          <w:rFonts w:hint="eastAsia" w:ascii="仿宋_GB2312" w:hAnsi="仿宋" w:eastAsia="仿宋_GB2312"/>
          <w:color w:val="auto"/>
          <w:sz w:val="32"/>
          <w:szCs w:val="32"/>
          <w:highlight w:val="none"/>
        </w:rPr>
        <w:t>消费。加快建设专业市场，农产</w:t>
      </w:r>
      <w:r>
        <w:rPr>
          <w:rFonts w:hint="eastAsia" w:ascii="仿宋_GB2312" w:hAnsi="仿宋" w:eastAsia="仿宋_GB2312"/>
          <w:color w:val="000000" w:themeColor="text1"/>
          <w:sz w:val="32"/>
          <w:szCs w:val="32"/>
          <w:highlight w:val="none"/>
          <w14:textFill>
            <w14:solidFill>
              <w14:schemeClr w14:val="tx1"/>
            </w14:solidFill>
          </w14:textFill>
        </w:rPr>
        <w:t>品批发市场，提升市场集聚度，增强辐射能力。推动商贸业与其它产业融合发展</w:t>
      </w:r>
      <w:r>
        <w:rPr>
          <w:rFonts w:hint="default"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完善农村商品流通体系，大力推进骨干流通企业向农村发展，进一步健全日用消费品和农业生产资料网络，继续实施万村千乡市场工程，进一步完善农村现代商贸服务业网络。</w:t>
      </w:r>
    </w:p>
    <w:p w14:paraId="7036370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 w:eastAsia="仿宋_GB2312" w:cs="Times New Roman"/>
          <w:color w:val="000000" w:themeColor="text1"/>
          <w:sz w:val="32"/>
          <w:szCs w:val="32"/>
          <w:highlight w:val="none"/>
          <w14:textFill>
            <w14:solidFill>
              <w14:schemeClr w14:val="tx1"/>
            </w14:solidFill>
          </w14:textFill>
        </w:rPr>
      </w:pPr>
      <w:r>
        <w:rPr>
          <w:rFonts w:hint="eastAsia" w:ascii="仿宋_GB2312" w:hAnsi="仿宋" w:eastAsia="仿宋_GB2312" w:cs="Times New Roman"/>
          <w:b/>
          <w:bCs/>
          <w:color w:val="000000" w:themeColor="text1"/>
          <w:sz w:val="32"/>
          <w:szCs w:val="32"/>
          <w:highlight w:val="none"/>
          <w:lang w:eastAsia="zh-Hans"/>
          <w14:textFill>
            <w14:solidFill>
              <w14:schemeClr w14:val="tx1"/>
            </w14:solidFill>
          </w14:textFill>
        </w:rPr>
        <w:t>促进</w:t>
      </w:r>
      <w:r>
        <w:rPr>
          <w:rFonts w:hint="eastAsia" w:ascii="仿宋_GB2312" w:hAnsi="仿宋" w:eastAsia="仿宋_GB2312" w:cs="Times New Roman"/>
          <w:b/>
          <w:bCs/>
          <w:color w:val="000000" w:themeColor="text1"/>
          <w:sz w:val="32"/>
          <w:szCs w:val="32"/>
          <w:highlight w:val="none"/>
          <w14:textFill>
            <w14:solidFill>
              <w14:schemeClr w14:val="tx1"/>
            </w14:solidFill>
          </w14:textFill>
        </w:rPr>
        <w:t>电子商务发展。</w:t>
      </w:r>
      <w:r>
        <w:rPr>
          <w:rFonts w:hint="eastAsia" w:ascii="仿宋_GB2312" w:hAnsi="仿宋" w:eastAsia="仿宋_GB2312" w:cs="Times New Roman"/>
          <w:color w:val="000000" w:themeColor="text1"/>
          <w:sz w:val="32"/>
          <w:szCs w:val="32"/>
          <w:highlight w:val="none"/>
          <w14:textFill>
            <w14:solidFill>
              <w14:schemeClr w14:val="tx1"/>
            </w14:solidFill>
          </w14:textFill>
        </w:rPr>
        <w:t>加快电子商务基础设施建设，完善农村电商服务体系，实现县乡村三级电商服务全覆盖。</w:t>
      </w:r>
      <w:r>
        <w:rPr>
          <w:rFonts w:hint="eastAsia" w:ascii="仿宋_GB2312" w:hAnsi="仿宋" w:eastAsia="仿宋_GB2312"/>
          <w:color w:val="000000" w:themeColor="text1"/>
          <w:sz w:val="32"/>
          <w:szCs w:val="32"/>
          <w:highlight w:val="none"/>
          <w14:textFill>
            <w14:solidFill>
              <w14:schemeClr w14:val="tx1"/>
            </w14:solidFill>
          </w14:textFill>
        </w:rPr>
        <w:t>推动商贸信息化，以建设电子商务示范县为契机，加快培育一批电子商务示范企业和推动电子商务进农村，推动以互联网为载体，线上线下互动的新兴消费。</w:t>
      </w:r>
      <w:r>
        <w:rPr>
          <w:rFonts w:hint="eastAsia" w:ascii="仿宋_GB2312" w:hAnsi="仿宋" w:eastAsia="仿宋_GB2312" w:cs="Times New Roman"/>
          <w:color w:val="000000" w:themeColor="text1"/>
          <w:sz w:val="32"/>
          <w:szCs w:val="32"/>
          <w:highlight w:val="none"/>
          <w14:textFill>
            <w14:solidFill>
              <w14:schemeClr w14:val="tx1"/>
            </w14:solidFill>
          </w14:textFill>
        </w:rPr>
        <w:t>加强电商品牌建设，推广</w:t>
      </w:r>
      <w:r>
        <w:rPr>
          <w:rFonts w:hint="eastAsia" w:ascii="仿宋_GB2312" w:hAnsi="仿宋" w:eastAsia="仿宋_GB2312" w:cs="Times New Roman"/>
          <w:color w:val="000000" w:themeColor="text1"/>
          <w:sz w:val="32"/>
          <w:szCs w:val="32"/>
          <w:highlight w:val="none"/>
          <w:lang w:eastAsia="zh-Hans"/>
          <w14:textFill>
            <w14:solidFill>
              <w14:schemeClr w14:val="tx1"/>
            </w14:solidFill>
          </w14:textFill>
        </w:rPr>
        <w:t>柳城</w:t>
      </w:r>
      <w:r>
        <w:rPr>
          <w:rFonts w:hint="eastAsia" w:ascii="仿宋_GB2312" w:hAnsi="仿宋" w:eastAsia="仿宋_GB2312" w:cs="Times New Roman"/>
          <w:color w:val="000000" w:themeColor="text1"/>
          <w:sz w:val="32"/>
          <w:szCs w:val="32"/>
          <w:highlight w:val="none"/>
          <w14:textFill>
            <w14:solidFill>
              <w14:schemeClr w14:val="tx1"/>
            </w14:solidFill>
          </w14:textFill>
        </w:rPr>
        <w:t>县特色农产品、手工艺品等，拓宽销售渠道。加强电商人才培养，开展电商培训，提高电商从业人员素质。</w:t>
      </w:r>
    </w:p>
    <w:p w14:paraId="7F7642B6">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创新发展</w:t>
      </w:r>
      <w:r>
        <w:rPr>
          <w:rFonts w:hint="eastAsia" w:ascii="仿宋_GB2312" w:hAnsi="仿宋" w:eastAsia="仿宋_GB2312"/>
          <w:b/>
          <w:color w:val="000000" w:themeColor="text1"/>
          <w:sz w:val="32"/>
          <w:szCs w:val="32"/>
          <w:highlight w:val="none"/>
          <w:lang w:eastAsia="zh-Hans"/>
          <w14:textFill>
            <w14:solidFill>
              <w14:schemeClr w14:val="tx1"/>
            </w14:solidFill>
          </w14:textFill>
        </w:rPr>
        <w:t>现代</w:t>
      </w:r>
      <w:r>
        <w:rPr>
          <w:rFonts w:hint="eastAsia" w:ascii="仿宋_GB2312" w:hAnsi="仿宋" w:eastAsia="仿宋_GB2312"/>
          <w:b/>
          <w:color w:val="000000" w:themeColor="text1"/>
          <w:sz w:val="32"/>
          <w:szCs w:val="32"/>
          <w:highlight w:val="none"/>
          <w14:textFill>
            <w14:solidFill>
              <w14:schemeClr w14:val="tx1"/>
            </w14:solidFill>
          </w14:textFill>
        </w:rPr>
        <w:t>金融业。</w:t>
      </w:r>
      <w:r>
        <w:rPr>
          <w:rFonts w:hint="eastAsia" w:ascii="仿宋_GB2312" w:hAnsi="仿宋" w:eastAsia="仿宋_GB2312" w:cs="Times New Roman"/>
          <w:color w:val="000000" w:themeColor="text1"/>
          <w:sz w:val="32"/>
          <w:szCs w:val="32"/>
          <w:highlight w:val="none"/>
          <w14:textFill>
            <w14:solidFill>
              <w14:schemeClr w14:val="tx1"/>
            </w14:solidFill>
          </w14:textFill>
        </w:rPr>
        <w:t>加强金融服务创新，引导金融机构加大对实体经济的支持力度，发展普惠金融、绿色金融、供应链金融等</w:t>
      </w:r>
      <w:r>
        <w:rPr>
          <w:rFonts w:hint="default" w:ascii="仿宋_GB2312" w:hAnsi="仿宋" w:eastAsia="仿宋_GB2312" w:cs="Times New Roman"/>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创新和优化金融业发展环境和投融资环境，推进与市区金融要素对接，推动与市区金融发展一体化，创造条件吸引金融机构在</w:t>
      </w:r>
      <w:r>
        <w:rPr>
          <w:rFonts w:hint="default" w:ascii="仿宋_GB2312" w:hAnsi="仿宋" w:eastAsia="仿宋_GB2312"/>
          <w:color w:val="000000" w:themeColor="text1"/>
          <w:sz w:val="32"/>
          <w:szCs w:val="32"/>
          <w:highlight w:val="none"/>
          <w14:textFill>
            <w14:solidFill>
              <w14:schemeClr w14:val="tx1"/>
            </w14:solidFill>
          </w14:textFill>
        </w:rPr>
        <w:t>柳城县</w:t>
      </w:r>
      <w:r>
        <w:rPr>
          <w:rFonts w:hint="eastAsia" w:ascii="仿宋_GB2312" w:hAnsi="仿宋" w:eastAsia="仿宋_GB2312"/>
          <w:color w:val="000000" w:themeColor="text1"/>
          <w:sz w:val="32"/>
          <w:szCs w:val="32"/>
          <w:highlight w:val="none"/>
          <w14:textFill>
            <w14:solidFill>
              <w14:schemeClr w14:val="tx1"/>
            </w14:solidFill>
          </w14:textFill>
        </w:rPr>
        <w:t>建立分支机构，在产业集中区设立金融配套服务机构。</w:t>
      </w:r>
      <w:r>
        <w:rPr>
          <w:rFonts w:hint="eastAsia" w:ascii="仿宋_GB2312" w:hAnsi="仿宋" w:eastAsia="仿宋_GB2312" w:cs="仿宋_GB2312"/>
          <w:color w:val="000000" w:themeColor="text1"/>
          <w:sz w:val="32"/>
          <w:szCs w:val="32"/>
          <w:highlight w:val="none"/>
          <w14:textFill>
            <w14:solidFill>
              <w14:schemeClr w14:val="tx1"/>
            </w14:solidFill>
          </w14:textFill>
        </w:rPr>
        <w:t>鼓励金融机构优化对企业的金融服务，增加对企业贷款的投放，鼓励保险公司为新兴产业、优势产业、科技创新等提供相应的风险保障。加快农村金融改革，推进农业财政贴息贷款和政策性农业保险。</w:t>
      </w:r>
      <w:r>
        <w:rPr>
          <w:rFonts w:hint="eastAsia" w:ascii="仿宋_GB2312" w:hAnsi="仿宋" w:eastAsia="仿宋_GB2312"/>
          <w:color w:val="000000" w:themeColor="text1"/>
          <w:sz w:val="32"/>
          <w:szCs w:val="32"/>
          <w:highlight w:val="none"/>
          <w14:textFill>
            <w14:solidFill>
              <w14:schemeClr w14:val="tx1"/>
            </w14:solidFill>
          </w14:textFill>
        </w:rPr>
        <w:t>拓展投融资渠道，采取</w:t>
      </w:r>
      <w:r>
        <w:rPr>
          <w:rFonts w:hint="eastAsia" w:ascii="仿宋_GB2312" w:hAnsi="仿宋" w:eastAsia="仿宋_GB2312" w:cs="仿宋_GB2312"/>
          <w:color w:val="000000" w:themeColor="text1"/>
          <w:sz w:val="32"/>
          <w:szCs w:val="32"/>
          <w:highlight w:val="none"/>
          <w14:textFill>
            <w14:solidFill>
              <w14:schemeClr w14:val="tx1"/>
            </w14:solidFill>
          </w14:textFill>
        </w:rPr>
        <w:t>投资补助、贷款贴息、重大项目投资扶持、重点信贷支持等加大对企业投融资的支持力度，</w:t>
      </w:r>
      <w:r>
        <w:rPr>
          <w:rFonts w:hint="eastAsia" w:ascii="仿宋_GB2312" w:hAnsi="仿宋" w:eastAsia="仿宋_GB2312"/>
          <w:color w:val="000000" w:themeColor="text1"/>
          <w:sz w:val="32"/>
          <w:szCs w:val="32"/>
          <w:highlight w:val="none"/>
          <w14:textFill>
            <w14:solidFill>
              <w14:schemeClr w14:val="tx1"/>
            </w14:solidFill>
          </w14:textFill>
        </w:rPr>
        <w:t>创新金融业发展模式，全力支持发展资本市场，强化金融机构融资功能。鼓励发展产业风险投资基金、创业投资基金，引导规范私募基金等新业务和新产品。设立企业周转基金，加快建立企业信用评价系统，鼓励担保公司扩大业务领域，丰富担保品种，优化企业融资环境。</w:t>
      </w:r>
    </w:p>
    <w:p w14:paraId="10030BB8">
      <w:pPr>
        <w:pStyle w:val="21"/>
        <w:keepNext w:val="0"/>
        <w:keepLines w:val="0"/>
        <w:pageBreakBefore w:val="0"/>
        <w:widowControl w:val="0"/>
        <w:kinsoku/>
        <w:wordWrap/>
        <w:overflowPunct/>
        <w:topLinePunct w:val="0"/>
        <w:autoSpaceDE/>
        <w:autoSpaceDN/>
        <w:bidi w:val="0"/>
        <w:spacing w:line="560" w:lineRule="exact"/>
        <w:ind w:left="0" w:leftChars="0" w:firstLine="643" w:firstLineChars="200"/>
        <w:rPr>
          <w:rFonts w:hint="eastAsia" w:ascii="仿宋_GB2312" w:hAnsi="仿宋"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适度发展房地产业。</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合理保障住宅用地供应，优化预售资金监管，延长土地出让金缴纳时限，减轻企业资金压力</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稳定市场供给。加大金融支持</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满足房企合理融资需求，协调存量贷款展期，并推动金融机构按政策下限执行贷款首付比例。实施购房补贴，优化公积金贷款政策（如提高额度、支持异地互认），支持合理住房需求。推行二手房“带押过户”以活跃市场。推动多元供给。</w:t>
      </w:r>
      <w:r>
        <w:rPr>
          <w:rFonts w:hint="eastAsia" w:ascii="仿宋_GB2312" w:hAnsi="仿宋" w:eastAsia="仿宋_GB2312" w:cs="仿宋_GB2312"/>
          <w:color w:val="000000" w:themeColor="text1"/>
          <w:sz w:val="32"/>
          <w:szCs w:val="32"/>
          <w:highlight w:val="none"/>
          <w14:textFill>
            <w14:solidFill>
              <w14:schemeClr w14:val="tx1"/>
            </w14:solidFill>
          </w14:textFill>
        </w:rPr>
        <w:t>加大房</w:t>
      </w:r>
      <w:r>
        <w:rPr>
          <w:rFonts w:hint="eastAsia" w:ascii="仿宋_GB2312" w:hAnsi="仿宋" w:eastAsia="仿宋_GB2312" w:cs="仿宋_GB2312"/>
          <w:color w:val="000000" w:themeColor="text1"/>
          <w:spacing w:val="-6"/>
          <w:sz w:val="32"/>
          <w:szCs w:val="32"/>
          <w:highlight w:val="none"/>
          <w14:textFill>
            <w14:solidFill>
              <w14:schemeClr w14:val="tx1"/>
            </w14:solidFill>
          </w14:textFill>
        </w:rPr>
        <w:t>地产土地供应力度，积极发展廉租房、限价房，规范商品房开发，</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探索收购存量商品房转化为保障房。</w:t>
      </w:r>
      <w:r>
        <w:rPr>
          <w:rFonts w:hint="eastAsia" w:ascii="仿宋_GB2312" w:hAnsi="仿宋" w:eastAsia="仿宋_GB2312" w:cs="仿宋_GB2312"/>
          <w:color w:val="000000" w:themeColor="text1"/>
          <w:spacing w:val="-6"/>
          <w:sz w:val="32"/>
          <w:szCs w:val="32"/>
          <w:highlight w:val="none"/>
          <w14:textFill>
            <w14:solidFill>
              <w14:schemeClr w14:val="tx1"/>
            </w14:solidFill>
          </w14:textFill>
        </w:rPr>
        <w:t>加快农村危房改造，建立完善的住房供应体系，扩大房地产有效供给。加大山水休闲度假旅游房地产开发力度，满足旅游消费市场的新需求。积极发展休闲旅游、度假疗养、归乡养老相关的度假公寓、疗养中心、养老中心等房地产开发。发挥房地产的产业带动作用，推动装修和装饰业、家具业、房地产中介业、房地产租赁业和物业管理服务业的发展。</w:t>
      </w:r>
    </w:p>
    <w:p w14:paraId="37B116FF">
      <w:pPr>
        <w:pStyle w:val="22"/>
        <w:rPr>
          <w:rFonts w:hint="eastAsia" w:ascii="仿宋_GB2312" w:hAnsi="仿宋" w:eastAsia="仿宋_GB2312" w:cs="仿宋_GB2312"/>
          <w:color w:val="000000" w:themeColor="text1"/>
          <w:spacing w:val="-6"/>
          <w:sz w:val="32"/>
          <w:szCs w:val="32"/>
          <w:highlight w:val="none"/>
          <w14:textFill>
            <w14:solidFill>
              <w14:schemeClr w14:val="tx1"/>
            </w14:solidFill>
          </w14:textFill>
        </w:rPr>
      </w:pPr>
    </w:p>
    <w:p w14:paraId="6D54BBF1">
      <w:pPr>
        <w:pStyle w:val="22"/>
        <w:tabs>
          <w:tab w:val="left" w:pos="999"/>
        </w:tabs>
        <w:ind w:left="0" w:leftChars="0" w:firstLine="0" w:firstLineChars="0"/>
        <w:jc w:val="left"/>
        <w:rPr>
          <w:rFonts w:hint="eastAsia"/>
          <w:lang w:val="en-US" w:eastAsia="zh-CN"/>
        </w:rPr>
      </w:pPr>
    </w:p>
    <w:p w14:paraId="750A4A3A">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default" w:ascii="黑体" w:hAnsi="黑体" w:eastAsia="黑体" w:cs="黑体"/>
          <w:sz w:val="32"/>
          <w:szCs w:val="40"/>
          <w:lang w:val="en-US" w:eastAsia="zh-CN"/>
        </w:rPr>
      </w:pPr>
      <w:bookmarkStart w:id="22" w:name="_Toc577969050"/>
      <w:r>
        <w:rPr>
          <w:rFonts w:hint="eastAsia" w:ascii="黑体" w:hAnsi="黑体" w:eastAsia="黑体" w:cs="黑体"/>
          <w:sz w:val="32"/>
          <w:szCs w:val="40"/>
          <w:lang w:val="en-US" w:eastAsia="zh-Hans"/>
        </w:rPr>
        <w:t>持续推进</w:t>
      </w:r>
      <w:r>
        <w:rPr>
          <w:rFonts w:hint="eastAsia" w:ascii="黑体" w:hAnsi="黑体" w:eastAsia="黑体" w:cs="黑体"/>
          <w:sz w:val="32"/>
          <w:szCs w:val="40"/>
          <w:lang w:val="en-US" w:eastAsia="zh-CN"/>
        </w:rPr>
        <w:t>现代农业</w:t>
      </w:r>
      <w:r>
        <w:rPr>
          <w:rFonts w:hint="eastAsia" w:ascii="黑体" w:hAnsi="黑体" w:eastAsia="黑体" w:cs="黑体"/>
          <w:sz w:val="32"/>
          <w:szCs w:val="40"/>
          <w:lang w:val="en-US" w:eastAsia="zh-Hans"/>
        </w:rPr>
        <w:t>农村建设</w:t>
      </w:r>
      <w:r>
        <w:rPr>
          <w:rFonts w:hint="eastAsia" w:ascii="黑体" w:hAnsi="黑体" w:eastAsia="黑体" w:cs="黑体"/>
          <w:sz w:val="32"/>
          <w:szCs w:val="40"/>
          <w:lang w:val="en-US" w:eastAsia="zh-CN"/>
        </w:rPr>
        <w:t>，绘就</w:t>
      </w:r>
      <w:r>
        <w:rPr>
          <w:rFonts w:hint="default" w:ascii="黑体" w:hAnsi="黑体" w:eastAsia="黑体" w:cs="黑体"/>
          <w:sz w:val="32"/>
          <w:szCs w:val="40"/>
          <w:lang w:val="en-US" w:eastAsia="zh-CN"/>
        </w:rPr>
        <w:t>和美</w:t>
      </w:r>
      <w:r>
        <w:rPr>
          <w:rFonts w:hint="eastAsia" w:ascii="黑体" w:hAnsi="黑体" w:eastAsia="黑体" w:cs="黑体"/>
          <w:sz w:val="32"/>
          <w:szCs w:val="40"/>
          <w:lang w:val="en-US" w:eastAsia="zh-CN"/>
        </w:rPr>
        <w:t>乡村</w:t>
      </w:r>
      <w:r>
        <w:rPr>
          <w:rFonts w:hint="eastAsia" w:ascii="黑体" w:hAnsi="黑体" w:eastAsia="黑体" w:cs="黑体"/>
          <w:sz w:val="32"/>
          <w:szCs w:val="40"/>
          <w:lang w:val="en-US" w:eastAsia="zh-Hans"/>
        </w:rPr>
        <w:t>新</w:t>
      </w:r>
      <w:r>
        <w:rPr>
          <w:rFonts w:hint="eastAsia" w:ascii="黑体" w:hAnsi="黑体" w:eastAsia="黑体" w:cs="黑体"/>
          <w:sz w:val="32"/>
          <w:szCs w:val="40"/>
          <w:lang w:val="en-US" w:eastAsia="zh-CN"/>
        </w:rPr>
        <w:t>画卷</w:t>
      </w:r>
      <w:bookmarkEnd w:id="22"/>
    </w:p>
    <w:p w14:paraId="7804777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锚定农业农村现代化，扎实推进乡村全面振兴，推动城乡融合发展</w:t>
      </w:r>
      <w:r>
        <w:rPr>
          <w:rFonts w:hint="default"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努力把农业建成现代化大产业、使农村基本具备现代生活条件、让农民的生活更加富裕美好</w:t>
      </w:r>
      <w:r>
        <w:rPr>
          <w:rFonts w:hint="default"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坚持农业农村优先发展，协同推进产业发展、乡村建设与农民增收，</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常态化帮扶</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，分类有序、片区化推进乡村振兴，加快建设农业强区。</w:t>
      </w:r>
    </w:p>
    <w:p w14:paraId="4DF3670E">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lang w:val="en-US" w:eastAsia="zh-Hans"/>
        </w:rPr>
      </w:pPr>
      <w:bookmarkStart w:id="23" w:name="_Toc857287969"/>
      <w:r>
        <w:rPr>
          <w:rFonts w:hint="eastAsia" w:ascii="楷体" w:hAnsi="楷体" w:eastAsia="楷体" w:cs="楷体"/>
          <w:lang w:val="en-US" w:eastAsia="zh-CN"/>
        </w:rPr>
        <w:t>第一节 优化</w:t>
      </w:r>
      <w:r>
        <w:rPr>
          <w:rFonts w:hint="eastAsia" w:ascii="楷体" w:hAnsi="楷体" w:eastAsia="楷体" w:cs="楷体"/>
          <w:lang w:val="en-US" w:eastAsia="zh-Hans"/>
        </w:rPr>
        <w:t>农业</w:t>
      </w:r>
      <w:r>
        <w:rPr>
          <w:rFonts w:hint="eastAsia" w:ascii="楷体" w:hAnsi="楷体" w:eastAsia="楷体" w:cs="楷体"/>
          <w:lang w:val="en-US" w:eastAsia="zh-CN"/>
        </w:rPr>
        <w:t>生产力布局，</w:t>
      </w:r>
      <w:r>
        <w:rPr>
          <w:rFonts w:hint="eastAsia" w:ascii="楷体" w:hAnsi="楷体" w:eastAsia="楷体" w:cs="楷体"/>
          <w:lang w:val="en-US" w:eastAsia="zh-Hans"/>
        </w:rPr>
        <w:t>拓展农业发展空间</w:t>
      </w:r>
      <w:bookmarkEnd w:id="23"/>
    </w:p>
    <w:p w14:paraId="7838592A">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color w:val="000000" w:themeColor="text1"/>
          <w:highlight w:val="none"/>
          <w14:textFill>
            <w14:solidFill>
              <w14:schemeClr w14:val="tx1"/>
            </w14:solidFill>
          </w14:textFill>
        </w:rPr>
      </w:pPr>
      <w:bookmarkStart w:id="24" w:name="_Toc439590607"/>
      <w:bookmarkStart w:id="25" w:name="_Toc439604508"/>
      <w:bookmarkStart w:id="26" w:name="_Toc440804770"/>
      <w:bookmarkStart w:id="27" w:name="_Toc440805564"/>
      <w:bookmarkStart w:id="28" w:name="_Toc439590479"/>
      <w:bookmarkStart w:id="29" w:name="_Toc440989613"/>
      <w:bookmarkStart w:id="30" w:name="_Toc440989262"/>
      <w:r>
        <w:rPr>
          <w:rFonts w:hint="eastAsia" w:ascii="仿宋_GB2312" w:hAnsi="仿宋" w:eastAsia="仿宋_GB2312"/>
          <w:b/>
          <w:color w:val="000000" w:themeColor="text1"/>
          <w:sz w:val="32"/>
          <w:szCs w:val="32"/>
          <w:highlight w:val="none"/>
          <w14:textFill>
            <w14:solidFill>
              <w14:schemeClr w14:val="tx1"/>
            </w14:solidFill>
          </w14:textFill>
        </w:rPr>
        <w:t>农业功能</w:t>
      </w:r>
      <w:r>
        <w:rPr>
          <w:rFonts w:hint="eastAsia" w:ascii="仿宋_GB2312" w:hAnsi="仿宋" w:eastAsia="仿宋_GB2312"/>
          <w:b/>
          <w:color w:val="000000" w:themeColor="text1"/>
          <w:sz w:val="32"/>
          <w:szCs w:val="32"/>
          <w:highlight w:val="none"/>
          <w:lang w:val="en-US" w:eastAsia="zh-CN"/>
          <w14:textFill>
            <w14:solidFill>
              <w14:schemeClr w14:val="tx1"/>
            </w14:solidFill>
          </w14:textFill>
        </w:rPr>
        <w:t>空间</w:t>
      </w:r>
      <w:r>
        <w:rPr>
          <w:rFonts w:hint="eastAsia" w:ascii="仿宋_GB2312" w:hAnsi="仿宋" w:eastAsia="仿宋_GB2312"/>
          <w:b/>
          <w:color w:val="000000" w:themeColor="text1"/>
          <w:sz w:val="32"/>
          <w:szCs w:val="32"/>
          <w:highlight w:val="none"/>
          <w14:textFill>
            <w14:solidFill>
              <w14:schemeClr w14:val="tx1"/>
            </w14:solidFill>
          </w14:textFill>
        </w:rPr>
        <w:t>布局。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以“优质化、基地化、产业化、标准化、市场化”为方向，落实优势农产品区域布局，建立特色农业产品基地，把</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柳城县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建设成为</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柳州</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市重要的绿色农产品基地。按照因地制宜、分类指导的原则，</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w:t>
      </w:r>
      <w:r>
        <w:rPr>
          <w:rFonts w:hint="eastAsia" w:ascii="仿宋_GB2312" w:hAnsi="仿宋_GB2312" w:eastAsia="仿宋_GB2312" w:cs="仿宋_GB2312"/>
          <w:i w:val="0"/>
          <w:iCs w:val="0"/>
          <w:color w:val="000000" w:themeColor="text1"/>
          <w:kern w:val="0"/>
          <w:sz w:val="32"/>
          <w:szCs w:val="32"/>
          <w:highlight w:val="none"/>
          <w:u w:val="none"/>
          <w:lang w:val="en-US" w:eastAsia="zh-CN" w:bidi="ar"/>
          <w14:textFill>
            <w14:solidFill>
              <w14:schemeClr w14:val="tx1"/>
            </w14:solidFill>
          </w14:textFill>
        </w:rPr>
        <w:t>特色优势农业空间</w:t>
      </w:r>
      <w:r>
        <w:rPr>
          <w:rFonts w:hint="eastAsia" w:ascii="仿宋_GB2312" w:hAnsi="仿宋_GB2312" w:eastAsia="仿宋_GB2312" w:cs="仿宋_GB2312"/>
          <w:color w:val="000000" w:themeColor="text1"/>
          <w:sz w:val="32"/>
          <w:szCs w:val="32"/>
          <w:highlight w:val="none"/>
          <w14:textFill>
            <w14:solidFill>
              <w14:schemeClr w14:val="tx1"/>
            </w14:solidFill>
          </w14:textFill>
        </w:rPr>
        <w:t>功能</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布局</w:t>
      </w:r>
      <w:r>
        <w:rPr>
          <w:rFonts w:hint="eastAsia" w:ascii="仿宋_GB2312" w:hAnsi="仿宋_GB2312" w:eastAsia="仿宋_GB2312" w:cs="仿宋_GB2312"/>
          <w:color w:val="000000" w:themeColor="text1"/>
          <w:kern w:val="0"/>
          <w:sz w:val="32"/>
          <w:szCs w:val="32"/>
          <w:highlight w:val="none"/>
          <w:lang w:eastAsia="zh-Hans"/>
          <w14:textFill>
            <w14:solidFill>
              <w14:schemeClr w14:val="tx1"/>
            </w14:solidFill>
          </w14:textFill>
        </w:rPr>
        <w:t>格局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bookmarkEnd w:id="24"/>
      <w:bookmarkEnd w:id="25"/>
      <w:bookmarkEnd w:id="26"/>
      <w:bookmarkEnd w:id="27"/>
      <w:bookmarkEnd w:id="28"/>
      <w:bookmarkEnd w:id="29"/>
      <w:bookmarkEnd w:id="30"/>
      <w:r>
        <w:rPr>
          <w:rFonts w:hint="eastAsia" w:ascii="仿宋_GB2312" w:hAnsi="仿宋" w:eastAsia="仿宋_GB2312" w:cs="宋体"/>
          <w:color w:val="000000" w:themeColor="text1"/>
          <w:kern w:val="0"/>
          <w:sz w:val="32"/>
          <w:szCs w:val="32"/>
          <w:highlight w:val="none"/>
          <w14:textFill>
            <w14:solidFill>
              <w14:schemeClr w14:val="tx1"/>
            </w14:solidFill>
          </w14:textFill>
        </w:rPr>
        <w:t>在柳州市和县城近郊发展“插花式</w:t>
      </w: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kern w:val="0"/>
          <w:sz w:val="32"/>
          <w:szCs w:val="32"/>
          <w:highlight w:val="none"/>
          <w14:textFill>
            <w14:solidFill>
              <w14:schemeClr w14:val="tx1"/>
            </w14:solidFill>
          </w14:textFill>
        </w:rPr>
        <w:t>镶嵌式”景观农业，在县城中郊发展规模化、标准化、精品化的优质高效农业，在县城远郊发展规模化、区域化、标准化优质高效农业和山地丘陵特色生态农业。</w:t>
      </w:r>
    </w:p>
    <w:tbl>
      <w:tblPr>
        <w:tblStyle w:val="17"/>
        <w:tblW w:w="8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98"/>
        <w:gridCol w:w="6335"/>
      </w:tblGrid>
      <w:tr w14:paraId="29E5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33" w:type="dxa"/>
            <w:gridSpan w:val="2"/>
            <w:tcBorders>
              <w:top w:val="single" w:color="000000" w:sz="4" w:space="0"/>
              <w:left w:val="single" w:color="000000" w:sz="4" w:space="0"/>
              <w:bottom w:val="single" w:color="000000" w:sz="4" w:space="0"/>
              <w:right w:val="single" w:color="000000" w:sz="4" w:space="0"/>
            </w:tcBorders>
            <w:noWrap/>
            <w:vAlign w:val="center"/>
          </w:tcPr>
          <w:p w14:paraId="0C16E887">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黑体" w:hAnsi="宋体" w:eastAsia="黑体" w:cs="黑体"/>
                <w:i w:val="0"/>
                <w:iCs w:val="0"/>
                <w:color w:val="000000" w:themeColor="text1"/>
                <w:kern w:val="0"/>
                <w:sz w:val="28"/>
                <w:szCs w:val="28"/>
                <w:highlight w:val="none"/>
                <w:u w:val="none"/>
                <w:lang w:val="en-US" w:eastAsia="zh-CN" w:bidi="ar"/>
                <w14:textFill>
                  <w14:solidFill>
                    <w14:schemeClr w14:val="tx1"/>
                  </w14:solidFill>
                </w14:textFill>
              </w:rPr>
              <w:t>专栏</w:t>
            </w:r>
            <w:r>
              <w:rPr>
                <w:rFonts w:hint="default" w:ascii="黑体" w:hAnsi="宋体" w:eastAsia="黑体" w:cs="黑体"/>
                <w:i w:val="0"/>
                <w:iCs w:val="0"/>
                <w:color w:val="000000" w:themeColor="text1"/>
                <w:kern w:val="0"/>
                <w:sz w:val="28"/>
                <w:szCs w:val="28"/>
                <w:highlight w:val="none"/>
                <w:u w:val="none"/>
                <w:lang w:eastAsia="zh-CN" w:bidi="ar"/>
                <w14:textFill>
                  <w14:solidFill>
                    <w14:schemeClr w14:val="tx1"/>
                  </w14:solidFill>
                </w14:textFill>
              </w:rPr>
              <w:t>6：</w:t>
            </w:r>
            <w:r>
              <w:rPr>
                <w:rFonts w:hint="eastAsia" w:ascii="黑体" w:hAnsi="宋体" w:eastAsia="黑体" w:cs="黑体"/>
                <w:i w:val="0"/>
                <w:iCs w:val="0"/>
                <w:color w:val="000000" w:themeColor="text1"/>
                <w:kern w:val="0"/>
                <w:sz w:val="28"/>
                <w:szCs w:val="28"/>
                <w:highlight w:val="none"/>
                <w:u w:val="none"/>
                <w:lang w:val="en-US" w:eastAsia="zh-CN" w:bidi="ar"/>
                <w14:textFill>
                  <w14:solidFill>
                    <w14:schemeClr w14:val="tx1"/>
                  </w14:solidFill>
                </w14:textFill>
              </w:rPr>
              <w:t xml:space="preserve">  柳城县“十五五”时期农业</w:t>
            </w:r>
            <w:r>
              <w:rPr>
                <w:rFonts w:hint="eastAsia" w:ascii="黑体" w:hAnsi="宋体" w:eastAsia="黑体" w:cs="黑体"/>
                <w:i w:val="0"/>
                <w:iCs w:val="0"/>
                <w:color w:val="000000" w:themeColor="text1"/>
                <w:kern w:val="0"/>
                <w:sz w:val="28"/>
                <w:szCs w:val="28"/>
                <w:highlight w:val="none"/>
                <w:u w:val="none"/>
                <w:lang w:val="en-US" w:eastAsia="zh-Hans" w:bidi="ar"/>
                <w14:textFill>
                  <w14:solidFill>
                    <w14:schemeClr w14:val="tx1"/>
                  </w14:solidFill>
                </w14:textFill>
              </w:rPr>
              <w:t>农村</w:t>
            </w:r>
            <w:r>
              <w:rPr>
                <w:rFonts w:hint="eastAsia" w:ascii="黑体" w:hAnsi="宋体" w:eastAsia="黑体" w:cs="黑体"/>
                <w:i w:val="0"/>
                <w:iCs w:val="0"/>
                <w:color w:val="000000" w:themeColor="text1"/>
                <w:kern w:val="0"/>
                <w:sz w:val="28"/>
                <w:szCs w:val="28"/>
                <w:highlight w:val="none"/>
                <w:u w:val="none"/>
                <w:lang w:val="en-US" w:eastAsia="zh-CN" w:bidi="ar"/>
                <w14:textFill>
                  <w14:solidFill>
                    <w14:schemeClr w14:val="tx1"/>
                  </w14:solidFill>
                </w14:textFill>
              </w:rPr>
              <w:t>空间布局</w:t>
            </w:r>
          </w:p>
        </w:tc>
      </w:tr>
      <w:tr w14:paraId="2F1BF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4DB901AA">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重点产业</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77496D8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重点产业基地空间分布</w:t>
            </w:r>
          </w:p>
        </w:tc>
      </w:tr>
      <w:tr w14:paraId="3783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418EE81F">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糖料蔗</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1819877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大埔镇、沙埔镇、龙头镇、太平镇、凤山镇、冲脉镇、六塘镇、寨隆镇、东泉镇、马山镇、社冲乡、古砦仫佬族乡、伏虎华侨管理区、柳城华侨管理区</w:t>
            </w:r>
          </w:p>
        </w:tc>
      </w:tr>
      <w:tr w14:paraId="2A1C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4E9EA8D9">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优质稻</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33A9DF4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大埔镇、太平镇、马山镇、古砦仫佬族乡</w:t>
            </w:r>
          </w:p>
        </w:tc>
      </w:tr>
      <w:tr w14:paraId="4D393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2E4D0ADC">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特色水果</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095AE27D">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大埔镇、龙头镇、马山镇、柳城华侨管理区</w:t>
            </w:r>
          </w:p>
        </w:tc>
      </w:tr>
      <w:tr w14:paraId="6A522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59BA17EE">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桑蚕</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762F5384">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大埔镇、冲脉镇、六塘镇、寨隆镇、凤山镇、马山镇</w:t>
            </w:r>
          </w:p>
        </w:tc>
      </w:tr>
      <w:tr w14:paraId="7B76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63B9CCFA">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蔬菜食用菌</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4E3C83D3">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沙埔镇、东泉镇、寨隆镇、冲脉镇、社冲乡</w:t>
            </w:r>
          </w:p>
        </w:tc>
      </w:tr>
      <w:tr w14:paraId="31DE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0"/>
            <w:vAlign w:val="center"/>
          </w:tcPr>
          <w:p w14:paraId="6DA594BD">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特色经济林</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（含优质茶叶、中药材）</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1C19DB48">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寨隆镇（中药</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）、东泉镇（经济林）、六塘镇（经济林、中药材、茶叶）、伏虎华侨管理区（茶叶、经济林）、柳城华侨管理区（茶叶）</w:t>
            </w:r>
          </w:p>
        </w:tc>
      </w:tr>
      <w:tr w14:paraId="51B4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98" w:type="dxa"/>
            <w:tcBorders>
              <w:top w:val="single" w:color="000000" w:sz="4" w:space="0"/>
              <w:left w:val="single" w:color="000000" w:sz="4" w:space="0"/>
              <w:bottom w:val="single" w:color="000000" w:sz="4" w:space="0"/>
              <w:right w:val="single" w:color="000000" w:sz="4" w:space="0"/>
            </w:tcBorders>
            <w:noWrap/>
            <w:vAlign w:val="center"/>
          </w:tcPr>
          <w:p w14:paraId="195961A8">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禽畜水产</w:t>
            </w:r>
          </w:p>
        </w:tc>
        <w:tc>
          <w:tcPr>
            <w:tcW w:w="6335" w:type="dxa"/>
            <w:tcBorders>
              <w:top w:val="single" w:color="000000" w:sz="4" w:space="0"/>
              <w:left w:val="single" w:color="000000" w:sz="4" w:space="0"/>
              <w:bottom w:val="single" w:color="000000" w:sz="4" w:space="0"/>
              <w:right w:val="single" w:color="000000" w:sz="4" w:space="0"/>
            </w:tcBorders>
            <w:noWrap/>
            <w:vAlign w:val="center"/>
          </w:tcPr>
          <w:p w14:paraId="71ED5717">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寨隆镇（蛋鸭）、东泉镇（生猪、渔业）、马山镇（生猪、肉鸡）、</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冲脉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镇（生猪、肉鸡）、</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六塘镇（生猪）、</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龙头镇（</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肉鸡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）、古砦仫佬族乡（生猪、肉鸽）、伏虎华侨管理区（生猪）</w:t>
            </w:r>
          </w:p>
        </w:tc>
      </w:tr>
    </w:tbl>
    <w:p w14:paraId="2329D41F">
      <w:pPr>
        <w:pStyle w:val="21"/>
        <w:ind w:left="0" w:leftChars="0" w:firstLine="0" w:firstLineChars="0"/>
        <w:rPr>
          <w:rFonts w:hint="eastAsia"/>
        </w:rPr>
      </w:pPr>
    </w:p>
    <w:p w14:paraId="4AA3AC13">
      <w:pPr>
        <w:pStyle w:val="21"/>
        <w:rPr>
          <w:rFonts w:hint="default"/>
        </w:rPr>
      </w:pPr>
      <w:r>
        <w:rPr>
          <w:rFonts w:hint="default"/>
        </w:rPr>
        <w:drawing>
          <wp:inline distT="0" distB="0" distL="114300" distR="114300">
            <wp:extent cx="5163185" cy="3474085"/>
            <wp:effectExtent l="0" t="0" r="18415" b="5715"/>
            <wp:docPr id="11" name="图片 11" descr="1351768359389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351768359389_.pic"/>
                    <pic:cNvPicPr>
                      <a:picLocks noChangeAspect="1"/>
                    </pic:cNvPicPr>
                  </pic:nvPicPr>
                  <pic:blipFill>
                    <a:blip r:embed="rId10"/>
                    <a:stretch>
                      <a:fillRect/>
                    </a:stretch>
                  </pic:blipFill>
                  <pic:spPr>
                    <a:xfrm>
                      <a:off x="0" y="0"/>
                      <a:ext cx="5163185" cy="3474085"/>
                    </a:xfrm>
                    <a:prstGeom prst="rect">
                      <a:avLst/>
                    </a:prstGeom>
                  </pic:spPr>
                </pic:pic>
              </a:graphicData>
            </a:graphic>
          </wp:inline>
        </w:drawing>
      </w:r>
    </w:p>
    <w:p w14:paraId="2F2CD1CF">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b/>
          <w:color w:val="000000" w:themeColor="text1"/>
          <w:sz w:val="32"/>
          <w:szCs w:val="32"/>
          <w:highlight w:val="none"/>
          <w14:textFill>
            <w14:solidFill>
              <w14:schemeClr w14:val="tx1"/>
            </w14:solidFill>
          </w14:textFill>
        </w:rPr>
      </w:pPr>
    </w:p>
    <w:p w14:paraId="2A355353">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s="宋体"/>
          <w:color w:val="000000" w:themeColor="text1"/>
          <w:kern w:val="0"/>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农业区域布局。</w:t>
      </w:r>
      <w:r>
        <w:rPr>
          <w:rFonts w:hint="eastAsia" w:ascii="仿宋_GB2312" w:hAnsi="仿宋" w:eastAsia="仿宋_GB2312" w:cs="宋体"/>
          <w:color w:val="000000" w:themeColor="text1"/>
          <w:kern w:val="0"/>
          <w:sz w:val="32"/>
          <w:szCs w:val="32"/>
          <w:highlight w:val="none"/>
          <w14:textFill>
            <w14:solidFill>
              <w14:schemeClr w14:val="tx1"/>
            </w14:solidFill>
          </w14:textFill>
        </w:rPr>
        <w:t>拓展农业的发展空间，加大太平镇、冲脉镇、寨隆镇、马山</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镇</w:t>
      </w:r>
      <w:r>
        <w:rPr>
          <w:rFonts w:hint="eastAsia" w:ascii="仿宋_GB2312" w:hAnsi="仿宋" w:eastAsia="仿宋_GB2312" w:cs="宋体"/>
          <w:color w:val="000000" w:themeColor="text1"/>
          <w:kern w:val="0"/>
          <w:sz w:val="32"/>
          <w:szCs w:val="32"/>
          <w:highlight w:val="none"/>
          <w14:textFill>
            <w14:solidFill>
              <w14:schemeClr w14:val="tx1"/>
            </w14:solidFill>
          </w14:textFill>
        </w:rPr>
        <w:t>、凤山镇、社冲</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乡</w:t>
      </w:r>
      <w:r>
        <w:rPr>
          <w:rFonts w:hint="eastAsia" w:ascii="仿宋_GB2312" w:hAnsi="仿宋" w:eastAsia="仿宋_GB2312" w:cs="宋体"/>
          <w:color w:val="000000" w:themeColor="text1"/>
          <w:kern w:val="0"/>
          <w:sz w:val="32"/>
          <w:szCs w:val="32"/>
          <w:highlight w:val="none"/>
          <w14:textFill>
            <w14:solidFill>
              <w14:schemeClr w14:val="tx1"/>
            </w14:solidFill>
          </w14:textFill>
        </w:rPr>
        <w:t>、</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龙头镇、</w:t>
      </w:r>
      <w:r>
        <w:rPr>
          <w:rFonts w:hint="eastAsia" w:ascii="仿宋_GB2312" w:hAnsi="仿宋" w:eastAsia="仿宋_GB2312" w:cs="宋体"/>
          <w:color w:val="000000" w:themeColor="text1"/>
          <w:kern w:val="0"/>
          <w:sz w:val="32"/>
          <w:szCs w:val="32"/>
          <w:highlight w:val="none"/>
          <w14:textFill>
            <w14:solidFill>
              <w14:schemeClr w14:val="tx1"/>
            </w14:solidFill>
          </w14:textFill>
        </w:rPr>
        <w:t>六塘镇（除集镇区及周边、六塘工业园区部分外）、东泉镇的西部及北部部分区域农业和农村经济合作，以提供农产品为主体功能，重点提高农业综合生产能力，增强优质农产品保障能力，确保粮食安全和农产品供给。把柳城建设成为优势特色产业集中发展区和农产品加工、物流、交易和科技转化中心。</w:t>
      </w:r>
    </w:p>
    <w:p w14:paraId="125C540E">
      <w:pPr>
        <w:pStyle w:val="23"/>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drawing>
          <wp:inline distT="0" distB="0" distL="114300" distR="114300">
            <wp:extent cx="5273040" cy="3724275"/>
            <wp:effectExtent l="0" t="0" r="10160" b="9525"/>
            <wp:docPr id="9" name="图片 9" descr="1131768213097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31768213097_.pic"/>
                    <pic:cNvPicPr>
                      <a:picLocks noChangeAspect="1"/>
                    </pic:cNvPicPr>
                  </pic:nvPicPr>
                  <pic:blipFill>
                    <a:blip r:embed="rId11"/>
                    <a:stretch>
                      <a:fillRect/>
                    </a:stretch>
                  </pic:blipFill>
                  <pic:spPr>
                    <a:xfrm>
                      <a:off x="0" y="0"/>
                      <a:ext cx="5273040" cy="3724275"/>
                    </a:xfrm>
                    <a:prstGeom prst="rect">
                      <a:avLst/>
                    </a:prstGeom>
                  </pic:spPr>
                </pic:pic>
              </a:graphicData>
            </a:graphic>
          </wp:inline>
        </w:drawing>
      </w:r>
    </w:p>
    <w:p w14:paraId="349C3FA0">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lang w:val="en-US" w:eastAsia="zh-CN"/>
        </w:rPr>
      </w:pPr>
      <w:bookmarkStart w:id="31" w:name="_Toc971107260"/>
      <w:r>
        <w:rPr>
          <w:rFonts w:hint="eastAsia" w:ascii="楷体" w:hAnsi="楷体" w:eastAsia="楷体" w:cs="楷体"/>
          <w:lang w:val="en-US" w:eastAsia="zh-CN"/>
        </w:rPr>
        <w:t>第二节 调整优化农业产业结构，打造现代特色农业产业体系</w:t>
      </w:r>
      <w:bookmarkEnd w:id="31"/>
    </w:p>
    <w:p w14:paraId="14675BB9">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cs="宋体"/>
          <w:color w:val="000000" w:themeColor="text1"/>
          <w:kern w:val="0"/>
          <w:sz w:val="32"/>
          <w:szCs w:val="32"/>
          <w:highlight w:val="none"/>
          <w14:textFill>
            <w14:solidFill>
              <w14:schemeClr w14:val="tx1"/>
            </w14:solidFill>
          </w14:textFill>
        </w:rPr>
      </w:pPr>
      <w:r>
        <w:rPr>
          <w:rFonts w:hint="eastAsia" w:ascii="仿宋_GB2312" w:hAnsi="仿宋" w:eastAsia="仿宋_GB2312" w:cs="宋体"/>
          <w:color w:val="000000" w:themeColor="text1"/>
          <w:kern w:val="0"/>
          <w:sz w:val="32"/>
          <w:szCs w:val="32"/>
          <w:highlight w:val="none"/>
          <w14:textFill>
            <w14:solidFill>
              <w14:schemeClr w14:val="tx1"/>
            </w14:solidFill>
          </w14:textFill>
        </w:rPr>
        <w:t>调整优化农业产业结构，保障粮食安全，不断巩固</w:t>
      </w:r>
      <w:r>
        <w:rPr>
          <w:rFonts w:hint="eastAsia" w:ascii="仿宋_GB2312"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“糖罐子”</w:t>
      </w:r>
      <w:r>
        <w:rPr>
          <w:rFonts w:hint="eastAsia" w:ascii="仿宋_GB2312" w:hAnsi="仿宋" w:eastAsia="仿宋_GB2312" w:cs="宋体"/>
          <w:color w:val="000000" w:themeColor="text1"/>
          <w:kern w:val="0"/>
          <w:sz w:val="32"/>
          <w:szCs w:val="32"/>
          <w:highlight w:val="none"/>
          <w14:textFill>
            <w14:solidFill>
              <w14:schemeClr w14:val="tx1"/>
            </w14:solidFill>
          </w14:textFill>
        </w:rPr>
        <w:t>“米袋子”“菜篮子”的基础地位，扶持发展国家地理标志产品产业，适度发展有机生产基地和产品，主要发展和壮大优质稻、优质水果、</w:t>
      </w:r>
      <w:r>
        <w:rPr>
          <w:rFonts w:hint="eastAsia" w:ascii="仿宋_GB2312" w:hAnsi="仿宋" w:eastAsia="仿宋_GB2312" w:cs="宋体"/>
          <w:color w:val="000000" w:themeColor="text1"/>
          <w:kern w:val="0"/>
          <w:sz w:val="32"/>
          <w:szCs w:val="32"/>
          <w:highlight w:val="none"/>
          <w:lang w:eastAsia="zh-Hans"/>
          <w14:textFill>
            <w14:solidFill>
              <w14:schemeClr w14:val="tx1"/>
            </w14:solidFill>
          </w14:textFill>
        </w:rPr>
        <w:t>甘</w:t>
      </w:r>
      <w:r>
        <w:rPr>
          <w:rFonts w:hint="eastAsia" w:ascii="仿宋_GB2312" w:hAnsi="仿宋" w:eastAsia="仿宋_GB2312" w:cs="宋体"/>
          <w:color w:val="000000" w:themeColor="text1"/>
          <w:kern w:val="0"/>
          <w:sz w:val="32"/>
          <w:szCs w:val="32"/>
          <w:highlight w:val="none"/>
          <w14:textFill>
            <w14:solidFill>
              <w14:schemeClr w14:val="tx1"/>
            </w14:solidFill>
          </w14:textFill>
        </w:rPr>
        <w:t>蔗、食用菌及林业、蔬菜、桑蚕及水产畜牧业。</w:t>
      </w:r>
    </w:p>
    <w:p w14:paraId="115B9F9E">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left"/>
        <w:textAlignment w:val="auto"/>
        <w:rPr>
          <w:rFonts w:hint="eastAsia" w:ascii="仿宋_GB2312" w:hAnsi="仿宋" w:eastAsia="仿宋_GB2312" w:cs="Times New Roman"/>
          <w:color w:val="000000" w:themeColor="text1"/>
          <w:sz w:val="32"/>
          <w:szCs w:val="32"/>
          <w:highlight w:val="none"/>
          <w14:textFill>
            <w14:solidFill>
              <w14:schemeClr w14:val="tx1"/>
            </w14:solidFill>
          </w14:textFill>
        </w:rPr>
      </w:pPr>
      <w:r>
        <w:rPr>
          <w:rFonts w:hint="eastAsia" w:ascii="仿宋_GB2312" w:hAnsi="仿宋" w:eastAsia="仿宋_GB2312" w:cs="Times New Roman"/>
          <w:b/>
          <w:color w:val="000000" w:themeColor="text1"/>
          <w:sz w:val="32"/>
          <w:szCs w:val="32"/>
          <w:highlight w:val="none"/>
          <w14:textFill>
            <w14:solidFill>
              <w14:schemeClr w14:val="tx1"/>
            </w14:solidFill>
          </w14:textFill>
        </w:rPr>
        <w:t>稳定发展粮食生产</w:t>
      </w:r>
      <w:r>
        <w:rPr>
          <w:rFonts w:hint="default" w:ascii="仿宋_GB2312" w:hAnsi="仿宋" w:eastAsia="仿宋_GB2312" w:cs="Times New Roman"/>
          <w:b/>
          <w:color w:val="000000" w:themeColor="text1"/>
          <w:sz w:val="32"/>
          <w:szCs w:val="32"/>
          <w:highlight w:val="none"/>
          <w14:textFill>
            <w14:solidFill>
              <w14:schemeClr w14:val="tx1"/>
            </w14:solidFill>
          </w14:textFill>
        </w:rPr>
        <w:t>，</w:t>
      </w:r>
      <w:r>
        <w:rPr>
          <w:rFonts w:hint="eastAsia" w:ascii="仿宋_GB2312" w:hAnsi="仿宋" w:eastAsia="仿宋_GB2312" w:cs="Times New Roman"/>
          <w:b/>
          <w:color w:val="000000" w:themeColor="text1"/>
          <w:sz w:val="32"/>
          <w:szCs w:val="32"/>
          <w:highlight w:val="none"/>
          <w:lang w:eastAsia="zh-Hans"/>
          <w14:textFill>
            <w14:solidFill>
              <w14:schemeClr w14:val="tx1"/>
            </w14:solidFill>
          </w14:textFill>
        </w:rPr>
        <w:t>确保粮食安全</w:t>
      </w:r>
      <w:r>
        <w:rPr>
          <w:rFonts w:hint="eastAsia" w:ascii="仿宋_GB2312" w:hAnsi="仿宋" w:eastAsia="仿宋_GB2312" w:cs="Times New Roman"/>
          <w:b/>
          <w:color w:val="000000" w:themeColor="text1"/>
          <w:sz w:val="32"/>
          <w:szCs w:val="32"/>
          <w:highlight w:val="none"/>
          <w14:textFill>
            <w14:solidFill>
              <w14:schemeClr w14:val="tx1"/>
            </w14:solidFill>
          </w14:textFill>
        </w:rPr>
        <w:t>。</w:t>
      </w:r>
      <w:r>
        <w:rPr>
          <w:rFonts w:hint="eastAsia" w:ascii="仿宋_GB2312" w:hAnsi="仿宋" w:eastAsia="仿宋_GB2312" w:cs="Times New Roman"/>
          <w:color w:val="000000" w:themeColor="text1"/>
          <w:sz w:val="32"/>
          <w:szCs w:val="32"/>
          <w:highlight w:val="none"/>
          <w14:textFill>
            <w14:solidFill>
              <w14:schemeClr w14:val="tx1"/>
            </w14:solidFill>
          </w14:textFill>
        </w:rPr>
        <w:t>始终把保障粮食安全摆在首要位置，严格落实粮食安全党政同责，坚守耕地保护红线，确保粮食种植面积稳定在</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43.5</w:t>
      </w:r>
      <w:r>
        <w:rPr>
          <w:rFonts w:hint="eastAsia" w:ascii="仿宋_GB2312" w:hAnsi="仿宋" w:eastAsia="仿宋_GB2312" w:cs="Times New Roman"/>
          <w:color w:val="000000" w:themeColor="text1"/>
          <w:sz w:val="32"/>
          <w:szCs w:val="32"/>
          <w:highlight w:val="none"/>
          <w14:textFill>
            <w14:solidFill>
              <w14:schemeClr w14:val="tx1"/>
            </w14:solidFill>
          </w14:textFill>
        </w:rPr>
        <w:t>万亩，20</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30</w:t>
      </w:r>
      <w:r>
        <w:rPr>
          <w:rFonts w:hint="eastAsia" w:ascii="仿宋_GB2312" w:hAnsi="仿宋" w:eastAsia="仿宋_GB2312" w:cs="Times New Roman"/>
          <w:color w:val="000000" w:themeColor="text1"/>
          <w:sz w:val="32"/>
          <w:szCs w:val="32"/>
          <w:highlight w:val="none"/>
          <w14:textFill>
            <w14:solidFill>
              <w14:schemeClr w14:val="tx1"/>
            </w14:solidFill>
          </w14:textFill>
        </w:rPr>
        <w:t>年粮食总产量</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15</w:t>
      </w:r>
      <w:r>
        <w:rPr>
          <w:rFonts w:hint="eastAsia" w:ascii="仿宋_GB2312" w:hAnsi="仿宋" w:eastAsia="仿宋_GB2312" w:cs="Times New Roman"/>
          <w:color w:val="000000" w:themeColor="text1"/>
          <w:sz w:val="32"/>
          <w:szCs w:val="32"/>
          <w:highlight w:val="none"/>
          <w14:textFill>
            <w14:solidFill>
              <w14:schemeClr w14:val="tx1"/>
            </w14:solidFill>
          </w14:textFill>
        </w:rPr>
        <w:t>万吨以上，优质稻占有率95%。加大对粮食生产的扶持力度，加强对粮食生产的科技投入。加强高标准农田建设，提升耕地质量和产出能力。推广优良品种和先进种植技术，大力发展绿色优质粮食生产，提高粮食单产和品质。加强粮食仓储物流设施建设，完善粮食收储保障体系，确保粮食安全。</w:t>
      </w:r>
    </w:p>
    <w:p w14:paraId="1D52A8D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left"/>
        <w:textAlignment w:val="auto"/>
        <w:rPr>
          <w:rFonts w:hint="eastAsia" w:ascii="仿宋_GB2312" w:hAnsi="仿宋" w:eastAsia="仿宋_GB2312" w:cs="Times New Roman"/>
          <w:color w:val="000000" w:themeColor="text1"/>
          <w:sz w:val="32"/>
          <w:szCs w:val="32"/>
          <w:highlight w:val="none"/>
          <w14:textFill>
            <w14:solidFill>
              <w14:schemeClr w14:val="tx1"/>
            </w14:solidFill>
          </w14:textFill>
        </w:rPr>
      </w:pPr>
      <w:r>
        <w:rPr>
          <w:rFonts w:hint="eastAsia" w:ascii="仿宋_GB2312" w:hAnsi="仿宋" w:eastAsia="仿宋_GB2312" w:cs="Times New Roman"/>
          <w:b/>
          <w:color w:val="000000" w:themeColor="text1"/>
          <w:sz w:val="32"/>
          <w:szCs w:val="32"/>
          <w:highlight w:val="none"/>
          <w14:textFill>
            <w14:solidFill>
              <w14:schemeClr w14:val="tx1"/>
            </w14:solidFill>
          </w14:textFill>
        </w:rPr>
        <w:t>发展特色优势农业，推进农业产业化经营。</w:t>
      </w:r>
      <w:r>
        <w:rPr>
          <w:rFonts w:hint="eastAsia" w:ascii="仿宋_GB2312" w:hAnsi="仿宋" w:eastAsia="仿宋_GB2312" w:cs="Times New Roman"/>
          <w:color w:val="000000" w:themeColor="text1"/>
          <w:sz w:val="32"/>
          <w:szCs w:val="32"/>
          <w:highlight w:val="none"/>
          <w14:textFill>
            <w14:solidFill>
              <w14:schemeClr w14:val="tx1"/>
            </w14:solidFill>
          </w14:textFill>
        </w:rPr>
        <w:t>依托</w:t>
      </w:r>
      <w:r>
        <w:rPr>
          <w:rFonts w:hint="eastAsia" w:ascii="仿宋_GB2312" w:hAnsi="仿宋" w:eastAsia="仿宋_GB2312" w:cs="Times New Roman"/>
          <w:color w:val="000000" w:themeColor="text1"/>
          <w:sz w:val="32"/>
          <w:szCs w:val="32"/>
          <w:highlight w:val="none"/>
          <w:lang w:eastAsia="zh-Hans"/>
          <w14:textFill>
            <w14:solidFill>
              <w14:schemeClr w14:val="tx1"/>
            </w14:solidFill>
          </w14:textFill>
        </w:rPr>
        <w:t>柳城</w:t>
      </w:r>
      <w:r>
        <w:rPr>
          <w:rFonts w:hint="eastAsia" w:ascii="仿宋_GB2312" w:hAnsi="仿宋" w:eastAsia="仿宋_GB2312" w:cs="Times New Roman"/>
          <w:color w:val="000000" w:themeColor="text1"/>
          <w:sz w:val="32"/>
          <w:szCs w:val="32"/>
          <w:highlight w:val="none"/>
          <w14:textFill>
            <w14:solidFill>
              <w14:schemeClr w14:val="tx1"/>
            </w14:solidFill>
          </w14:textFill>
        </w:rPr>
        <w:t>县农业资源优势，做大做强优质甘蔗、</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蔬菜</w:t>
      </w:r>
      <w:r>
        <w:rPr>
          <w:rFonts w:hint="default" w:ascii="仿宋_GB2312" w:hAnsi="仿宋"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仿宋" w:eastAsia="仿宋_GB2312" w:cs="Times New Roman"/>
          <w:color w:val="000000" w:themeColor="text1"/>
          <w:sz w:val="32"/>
          <w:szCs w:val="32"/>
          <w:highlight w:val="none"/>
          <w:lang w:eastAsia="zh-Hans"/>
          <w14:textFill>
            <w14:solidFill>
              <w14:schemeClr w14:val="tx1"/>
            </w14:solidFill>
          </w14:textFill>
        </w:rPr>
        <w:t>水果</w:t>
      </w:r>
      <w:r>
        <w:rPr>
          <w:rFonts w:hint="eastAsia" w:ascii="仿宋_GB2312" w:hAnsi="仿宋" w:eastAsia="仿宋_GB2312" w:cs="Times New Roman"/>
          <w:color w:val="000000" w:themeColor="text1"/>
          <w:sz w:val="32"/>
          <w:szCs w:val="32"/>
          <w:highlight w:val="none"/>
          <w14:textFill>
            <w14:solidFill>
              <w14:schemeClr w14:val="tx1"/>
            </w14:solidFill>
          </w14:textFill>
        </w:rPr>
        <w:t>等特色产业</w:t>
      </w:r>
      <w:r>
        <w:rPr>
          <w:rFonts w:hint="default" w:ascii="仿宋_GB2312" w:hAnsi="仿宋" w:eastAsia="仿宋_GB2312" w:cs="Times New Roman"/>
          <w:color w:val="000000" w:themeColor="text1"/>
          <w:sz w:val="32"/>
          <w:szCs w:val="32"/>
          <w:highlight w:val="none"/>
          <w14:textFill>
            <w14:solidFill>
              <w14:schemeClr w14:val="tx1"/>
            </w14:solidFill>
          </w14:textFill>
        </w:rPr>
        <w:t>，</w:t>
      </w:r>
      <w:r>
        <w:rPr>
          <w:rFonts w:hint="eastAsia" w:ascii="仿宋_GB2312" w:hAnsi="仿宋" w:eastAsia="仿宋_GB2312" w:cs="Times New Roman"/>
          <w:color w:val="000000" w:themeColor="text1"/>
          <w:sz w:val="32"/>
          <w:szCs w:val="32"/>
          <w:highlight w:val="none"/>
          <w14:textFill>
            <w14:solidFill>
              <w14:schemeClr w14:val="tx1"/>
            </w14:solidFill>
          </w14:textFill>
        </w:rPr>
        <w:t>因地制宜发展蚕桑、生猪、</w:t>
      </w:r>
      <w:r>
        <w:rPr>
          <w:rFonts w:hint="eastAsia" w:ascii="仿宋_GB2312" w:hAnsi="仿宋" w:eastAsia="仿宋_GB2312"/>
          <w:b w:val="0"/>
          <w:bCs/>
          <w:color w:val="000000" w:themeColor="text1"/>
          <w:sz w:val="32"/>
          <w:szCs w:val="32"/>
          <w:highlight w:val="none"/>
          <w14:textFill>
            <w14:solidFill>
              <w14:schemeClr w14:val="tx1"/>
            </w14:solidFill>
          </w14:textFill>
        </w:rPr>
        <w:t>食用菌</w:t>
      </w:r>
      <w:r>
        <w:rPr>
          <w:rFonts w:hint="default" w:ascii="仿宋_GB2312" w:hAnsi="仿宋" w:eastAsia="仿宋_GB2312"/>
          <w:b w:val="0"/>
          <w:bCs/>
          <w:color w:val="000000" w:themeColor="text1"/>
          <w:sz w:val="32"/>
          <w:szCs w:val="32"/>
          <w:highlight w:val="none"/>
          <w14:textFill>
            <w14:solidFill>
              <w14:schemeClr w14:val="tx1"/>
            </w14:solidFill>
          </w14:textFill>
        </w:rPr>
        <w:t>、</w:t>
      </w:r>
      <w:r>
        <w:rPr>
          <w:rFonts w:hint="eastAsia" w:ascii="仿宋_GB2312" w:hAnsi="仿宋" w:eastAsia="仿宋_GB2312"/>
          <w:b w:val="0"/>
          <w:bCs/>
          <w:color w:val="000000" w:themeColor="text1"/>
          <w:sz w:val="32"/>
          <w:szCs w:val="32"/>
          <w:highlight w:val="none"/>
          <w:lang w:eastAsia="zh-Hans"/>
          <w14:textFill>
            <w14:solidFill>
              <w14:schemeClr w14:val="tx1"/>
            </w14:solidFill>
          </w14:textFill>
        </w:rPr>
        <w:t>茶叶</w:t>
      </w:r>
      <w:r>
        <w:rPr>
          <w:rFonts w:hint="eastAsia" w:ascii="仿宋_GB2312" w:hAnsi="仿宋" w:eastAsia="仿宋_GB2312" w:cs="Times New Roman"/>
          <w:color w:val="000000" w:themeColor="text1"/>
          <w:sz w:val="32"/>
          <w:szCs w:val="32"/>
          <w:highlight w:val="none"/>
          <w14:textFill>
            <w14:solidFill>
              <w14:schemeClr w14:val="tx1"/>
            </w14:solidFill>
          </w14:textFill>
        </w:rPr>
        <w:t>等产业。培育壮大农业产业化企业，</w:t>
      </w:r>
      <w:r>
        <w:rPr>
          <w:rFonts w:hint="eastAsia" w:ascii="仿宋_GB2312" w:hAnsi="仿宋" w:eastAsia="仿宋_GB2312" w:cs="Times New Roman"/>
          <w:color w:val="000000" w:themeColor="text1"/>
          <w:sz w:val="32"/>
          <w:szCs w:val="32"/>
          <w:highlight w:val="none"/>
          <w:lang w:eastAsia="zh-Hans"/>
          <w14:textFill>
            <w14:solidFill>
              <w14:schemeClr w14:val="tx1"/>
            </w14:solidFill>
          </w14:textFill>
        </w:rPr>
        <w:t>培育</w:t>
      </w:r>
      <w:r>
        <w:rPr>
          <w:rFonts w:hint="eastAsia" w:ascii="仿宋_GB2312" w:hAnsi="仿宋" w:eastAsia="仿宋_GB2312" w:cs="Times New Roman"/>
          <w:color w:val="000000" w:themeColor="text1"/>
          <w:sz w:val="32"/>
          <w:szCs w:val="32"/>
          <w:highlight w:val="none"/>
          <w14:textFill>
            <w14:solidFill>
              <w14:schemeClr w14:val="tx1"/>
            </w14:solidFill>
          </w14:textFill>
        </w:rPr>
        <w:t>一批具有核心竞争力的企业集群。</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推动</w:t>
      </w:r>
      <w:r>
        <w:rPr>
          <w:rFonts w:hint="eastAsia" w:ascii="仿宋_GB2312" w:hAnsi="仿宋" w:eastAsia="仿宋_GB2312" w:cs="Times New Roman"/>
          <w:color w:val="000000" w:themeColor="text1"/>
          <w:sz w:val="32"/>
          <w:szCs w:val="32"/>
          <w:highlight w:val="none"/>
          <w14:textFill>
            <w14:solidFill>
              <w14:schemeClr w14:val="tx1"/>
            </w14:solidFill>
          </w14:textFill>
        </w:rPr>
        <w:t>企业通过兼并重组、参股控股等方式做大做强，带动家庭农场、农民专业合作社发展，形成“企业+合作社+农户”的利益联结机制。加强农产品加工园区建设，完善园区基础设施和配套服务，吸引农产品加工企业集聚，发展农产品精深加工，提高农产品附加值。</w:t>
      </w:r>
    </w:p>
    <w:tbl>
      <w:tblPr>
        <w:tblStyle w:val="17"/>
        <w:tblW w:w="8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7"/>
        <w:gridCol w:w="6016"/>
      </w:tblGrid>
      <w:tr w14:paraId="2193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33" w:type="dxa"/>
            <w:gridSpan w:val="2"/>
            <w:tcBorders>
              <w:top w:val="single" w:color="000000" w:sz="4" w:space="0"/>
              <w:left w:val="single" w:color="000000" w:sz="4" w:space="0"/>
              <w:bottom w:val="single" w:color="000000" w:sz="4" w:space="0"/>
              <w:right w:val="single" w:color="000000" w:sz="4" w:space="0"/>
            </w:tcBorders>
            <w:noWrap/>
            <w:vAlign w:val="center"/>
          </w:tcPr>
          <w:p w14:paraId="7CCC88F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kern w:val="0"/>
                <w:sz w:val="24"/>
                <w:szCs w:val="24"/>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专栏</w:t>
            </w:r>
            <w:r>
              <w:rPr>
                <w:rFonts w:hint="default" w:ascii="黑体" w:hAnsi="宋体" w:eastAsia="黑体" w:cs="黑体"/>
                <w:i w:val="0"/>
                <w:iCs w:val="0"/>
                <w:color w:val="auto"/>
                <w:kern w:val="0"/>
                <w:sz w:val="28"/>
                <w:szCs w:val="28"/>
                <w:highlight w:val="none"/>
                <w:u w:val="none"/>
                <w:lang w:eastAsia="zh-CN" w:bidi="ar"/>
              </w:rPr>
              <w:t>7：</w:t>
            </w:r>
            <w:r>
              <w:rPr>
                <w:rFonts w:hint="eastAsia" w:ascii="黑体" w:hAnsi="宋体" w:eastAsia="黑体" w:cs="黑体"/>
                <w:i w:val="0"/>
                <w:iCs w:val="0"/>
                <w:color w:val="auto"/>
                <w:kern w:val="0"/>
                <w:sz w:val="28"/>
                <w:szCs w:val="28"/>
                <w:highlight w:val="none"/>
                <w:u w:val="none"/>
                <w:lang w:val="en-US" w:eastAsia="zh-CN" w:bidi="ar"/>
              </w:rPr>
              <w:t xml:space="preserve">  柳城县“十五五”时期特色优势农业</w:t>
            </w:r>
          </w:p>
        </w:tc>
      </w:tr>
      <w:tr w14:paraId="7B08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4442CCA6">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kern w:val="0"/>
                <w:sz w:val="24"/>
                <w:szCs w:val="24"/>
                <w:highlight w:val="none"/>
                <w:u w:val="none"/>
                <w:lang w:val="en-US" w:eastAsia="zh-Hans" w:bidi="ar"/>
              </w:rPr>
            </w:pPr>
            <w:r>
              <w:rPr>
                <w:rFonts w:hint="eastAsia" w:ascii="黑体" w:hAnsi="宋体" w:eastAsia="黑体" w:cs="黑体"/>
                <w:i w:val="0"/>
                <w:iCs w:val="0"/>
                <w:color w:val="auto"/>
                <w:kern w:val="0"/>
                <w:sz w:val="24"/>
                <w:szCs w:val="24"/>
                <w:highlight w:val="none"/>
                <w:u w:val="none"/>
                <w:lang w:val="en-US" w:eastAsia="zh-Hans" w:bidi="ar"/>
              </w:rPr>
              <w:t>类别</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0FC150BA">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sz w:val="24"/>
                <w:szCs w:val="24"/>
                <w:highlight w:val="none"/>
                <w:u w:val="none"/>
                <w:lang w:eastAsia="zh-Hans"/>
              </w:rPr>
            </w:pPr>
            <w:r>
              <w:rPr>
                <w:rFonts w:hint="eastAsia" w:ascii="黑体" w:hAnsi="宋体" w:eastAsia="黑体" w:cs="黑体"/>
                <w:i w:val="0"/>
                <w:iCs w:val="0"/>
                <w:color w:val="auto"/>
                <w:kern w:val="0"/>
                <w:sz w:val="24"/>
                <w:szCs w:val="24"/>
                <w:highlight w:val="none"/>
                <w:u w:val="none"/>
                <w:lang w:val="en-US" w:eastAsia="zh-Hans" w:bidi="ar"/>
              </w:rPr>
              <w:t>产业主要布局内容</w:t>
            </w:r>
          </w:p>
        </w:tc>
      </w:tr>
      <w:tr w14:paraId="6497E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7F67E8D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甘蔗产业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55C9DA7D">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加快良繁基地建设；继续实施“小块并大块”土地整治，为种管收全程机械化奠定基础；加快规模化、智能化高标准蔗田建设；积极探索蔗叶、粪污处理与高产高糖融合发展；强化科技支持，深化与广西大学合作，力争登记2个高产高糖新品种；力争在甘蔗病虫害绿色防控领域取得突破，为糖业可持续发展做出新贡献。力争在“十五五”</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期间</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糖蔗种植面积稳定在62万亩以上，总产达420万吨。</w:t>
            </w:r>
          </w:p>
        </w:tc>
      </w:tr>
      <w:tr w14:paraId="561E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4731090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水果产业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2DF63D55">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优化果业结构，立足区位优势和资源禀赋，按照“一村一品</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一乡一村”等模式，发展</w:t>
            </w:r>
            <w: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柳城县</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优势特色水果品种，促进水果产业高质量发展；推进水果标准园建设，在土地备耕、苗木选择、种植管理、采收包装、贮藏运输、农资使用等果树生产过程中严格遵循技术规程，做到生态效益与经济效益并重，并确保果品质量安全，大力推广绿色栽培技术、水肥一体化节本增效生产技术、完熟采收及采后商品化处理技术、“三避”技术等先进技术；发展设施果业，推进设施果园建设，推广果实和幼苗覆膜避寒，实施避雨栽培，探索推广网室避虫栽培。推进设施节本增效，推广水肥（药）一体化和山地果园运输线，探索水果生产全程机械运用。因势利导培育</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壮大引领种植、销售、加工等环节和全链发展的经营主体，为</w:t>
            </w:r>
            <w: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柳城县</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果业发展注入新活力。到2030年，全县果园面积稳定在20万亩左右，产量25万吨。</w:t>
            </w:r>
          </w:p>
        </w:tc>
      </w:tr>
      <w:tr w14:paraId="2ADA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4905220E">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桑蚕产业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06E45DEC">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狠抓高效省力化技术研究与推广，稳步推进桑蚕产业保面增效。做好创园示范，实施良种工程，加大对桑、蚕新品种推广力度，建立标准化示范基地，加强病虫害防控预报、健全技术服务体系等建设。以县蚕业发展服务中心为技术依托，以合作组织为建设纽带，</w:t>
            </w:r>
            <w:r>
              <w:rPr>
                <w:rFonts w:hint="eastAsia" w:ascii="宋体" w:hAnsi="宋体" w:eastAsia="宋体" w:cs="宋体"/>
                <w:i w:val="0"/>
                <w:iCs w:val="0"/>
                <w:color w:val="000000" w:themeColor="text1"/>
                <w:kern w:val="0"/>
                <w:sz w:val="21"/>
                <w:szCs w:val="21"/>
                <w:highlight w:val="none"/>
                <w:u w:val="none"/>
                <w:lang w:val="en-US" w:eastAsia="zh-Hans" w:bidi="ar"/>
                <w14:textFill>
                  <w14:solidFill>
                    <w14:schemeClr w14:val="tx1"/>
                  </w14:solidFill>
                </w14:textFill>
              </w:rPr>
              <w:t>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凤山、大埔、冲脉、寨隆、马山、六塘等重点蚕区的高效、优质、省力化生产技术推广率达到90%以上。加强桑蚕副产品综合利用，鼓励企业开展桑树、蚕蛹、蚕蛾等蚕桑资源研发利用。引进科技企业开展蚕沙提取叶绿素。鼓励蚕农开展复合经营，发展桑园冬套种、冬闲蚕房利用等。继续引进丝绸、服装类加工企业，引导产业向精深加工延伸。全县桑园面积稳定在14万亩，2030年鲜茧产量维持2万吨左右。</w:t>
            </w:r>
          </w:p>
        </w:tc>
      </w:tr>
      <w:tr w14:paraId="3F8D7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30C52A10">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蔬菜（含食用菌）产业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377FF76B">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以建设</w:t>
            </w:r>
            <w:r>
              <w:rPr>
                <w:rFonts w:hint="eastAsia" w:ascii="宋体" w:hAnsi="宋体" w:eastAsia="宋体" w:cs="宋体"/>
                <w:i w:val="0"/>
                <w:iCs w:val="0"/>
                <w:color w:val="000000" w:themeColor="text1"/>
                <w:kern w:val="0"/>
                <w:sz w:val="21"/>
                <w:szCs w:val="21"/>
                <w:highlight w:val="none"/>
                <w:u w:val="none"/>
                <w:lang w:val="en-US" w:eastAsia="zh-Hans"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南菜北运</w:t>
            </w:r>
            <w:r>
              <w:rPr>
                <w:rFonts w:hint="eastAsia" w:ascii="宋体" w:hAnsi="宋体" w:eastAsia="宋体" w:cs="宋体"/>
                <w:i w:val="0"/>
                <w:iCs w:val="0"/>
                <w:color w:val="000000" w:themeColor="text1"/>
                <w:kern w:val="0"/>
                <w:sz w:val="21"/>
                <w:szCs w:val="21"/>
                <w:highlight w:val="none"/>
                <w:u w:val="none"/>
                <w:lang w:val="en-US" w:eastAsia="zh-Hans"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及现代农业技术示范推广基地为依托，建设连片高标准蔬菜生产基地，通过建立科研、生产设施配套、服务功能齐全的现代蔬菜标准化示范生产基地，年加工蔬菜鲜品一万吨，辐射带动10万亩蔬菜标准化生产基地，配套建设柳城县农产品综合交易市场以及质量安全检测系统、标准化加工配送系统，逐步形成“南菜北运”基地。推进柳城县智慧农业发展，</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建设</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蔬菜现代种植示范园。</w:t>
            </w:r>
          </w:p>
          <w:p w14:paraId="36B90EE8">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建立食用菌标准化生产基地，推广标准化生产技术和先进适用生产技术，实施无害化生产。在基础较好的乡镇集中连片规模化发展标准化生产基地，建立冲脉、大埔、社冲等乡镇</w:t>
            </w:r>
            <w: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食用菌</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生产基地和冲脉、大埔等乡镇珍稀菇生产基地。不断培育</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和</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引进食用菌生产、加工、营销等</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经营主体</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加大对基地建设、加工企业、科技人才、农民及中介组织支持力度。实施全程产品质量监控，强化监督管理，推动食用菌生产由冬闲生产向周年生产转变，拉长产业链，着力推动食用菌由鲜销型向深加工型转变。</w:t>
            </w:r>
          </w:p>
        </w:tc>
      </w:tr>
      <w:tr w14:paraId="4C2C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71CB44E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林业</w:t>
            </w:r>
            <w:r>
              <w:rPr>
                <w:rFonts w:hint="eastAsia" w:ascii="宋体" w:hAnsi="宋体" w:eastAsia="宋体" w:cs="宋体"/>
                <w:i w:val="0"/>
                <w:iCs w:val="0"/>
                <w:color w:val="000000" w:themeColor="text1"/>
                <w:kern w:val="0"/>
                <w:sz w:val="21"/>
                <w:szCs w:val="21"/>
                <w:highlight w:val="none"/>
                <w:u w:val="none"/>
                <w:lang w:val="en-US" w:eastAsia="zh-Hans" w:bidi="ar"/>
                <w14:textFill>
                  <w14:solidFill>
                    <w14:schemeClr w14:val="tx1"/>
                  </w14:solidFill>
                </w14:textFill>
              </w:rPr>
              <w:t>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262829E2">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bookmarkStart w:id="32" w:name="OLE_LINK9"/>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围绕筑牢区域生态安全屏障与推动绿色富民的目标，着力构建“生态屏障稳固、产业优质高效、资源持续利用”的现代林业体系。持续实施国土绿化、生态修复及自然保护地建设，巩固提升森林生态功能，确保森林覆盖率稳定在40%左右、活立木蓄积量达到300万立方米。在此基础上，科学布局速生丰产用材林、特色经济林及良种苗圃等商品林基地，优化林业资源供给结构。进一步推动产业链向纵深拓展，重点升级林产品加工、规范发展林下经济与森林生态旅游，促进三产深度融合。通过实施一批涵盖绿化示范村屯、林能互补、产业融合在内的综合性示范项目，全面带动林业提质增效，力争到“十五五”期末实现林业总产值80亿元的发展目标，切实将生态资源转化为县域高质量发展的持久优势。</w:t>
            </w:r>
            <w:bookmarkEnd w:id="32"/>
          </w:p>
        </w:tc>
      </w:tr>
      <w:tr w14:paraId="6E6A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707D139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水产畜牧业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3A6900FF">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推进水产畜牧强县建设，稳生猪、扩禽羊、促肉牛、优渔业，加强基础设施建设，加快养殖方式转变，发展水产畜牧生态养殖，着力提高畜禽良种化、养殖设施化、生产规范化、防疫制度化、粪污无害化水平。按照“高产、优质、高效、生态、健康、安全”要求，加快构建现代水产畜牧业产业体系，保障市场供给和产品质量安全。加快推动县水产健康养殖和生态养殖示范区创建升级改造项目，持续推进扩产延链，助力水产畜牧业发展跃上新台阶。进一步发展畜禽精深加工产业，继续实施县绿色食品生产加工及冷链物流设施建设项目，结合博宸食品、立华牧业等企业建设生猪、家禽屠宰冷链及深加工；加快古砦仫佬族乡深度融入水禽特色产业集群建设，聚焦肉鸽全产业链布局升级，以扩大养殖规模、强化标准化体系建设为核心，着力打造特色鲜明、竞争力强的肉鸽品牌；积极拓宽筹资渠道、强化资金保障，推进高标准智能化鸽舍改造、屠宰加工生产线建设及冷链物流体系完善</w:t>
            </w:r>
            <w:r>
              <w:rPr>
                <w:rFonts w:hint="default" w:ascii="宋体" w:hAnsi="宋体" w:eastAsia="宋体" w:cs="宋体"/>
                <w:i w:val="0"/>
                <w:iCs w:val="0"/>
                <w:color w:val="000000" w:themeColor="text1"/>
                <w:kern w:val="0"/>
                <w:sz w:val="21"/>
                <w:szCs w:val="21"/>
                <w:highlight w:val="none"/>
                <w:u w:val="none"/>
                <w:lang w:eastAsia="zh-CN" w:bidi="ar"/>
                <w14:textFill>
                  <w14:solidFill>
                    <w14:schemeClr w14:val="tx1"/>
                  </w14:solidFill>
                </w14:textFill>
              </w:rPr>
              <w:t>。</w:t>
            </w:r>
          </w:p>
        </w:tc>
      </w:tr>
      <w:tr w14:paraId="008E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17" w:type="dxa"/>
            <w:tcBorders>
              <w:top w:val="single" w:color="000000" w:sz="4" w:space="0"/>
              <w:left w:val="single" w:color="000000" w:sz="4" w:space="0"/>
              <w:bottom w:val="single" w:color="000000" w:sz="4" w:space="0"/>
              <w:right w:val="single" w:color="000000" w:sz="4" w:space="0"/>
            </w:tcBorders>
            <w:noWrap/>
            <w:vAlign w:val="center"/>
          </w:tcPr>
          <w:p w14:paraId="0C5AA270">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茶叶产业</w:t>
            </w:r>
          </w:p>
        </w:tc>
        <w:tc>
          <w:tcPr>
            <w:tcW w:w="6016" w:type="dxa"/>
            <w:tcBorders>
              <w:top w:val="single" w:color="000000" w:sz="4" w:space="0"/>
              <w:left w:val="single" w:color="000000" w:sz="4" w:space="0"/>
              <w:bottom w:val="single" w:color="000000" w:sz="4" w:space="0"/>
              <w:right w:val="single" w:color="000000" w:sz="4" w:space="0"/>
            </w:tcBorders>
            <w:noWrap/>
            <w:vAlign w:val="center"/>
          </w:tcPr>
          <w:p w14:paraId="336F739A">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立足伏虎华侨农场50余年种茶底蕴与有机认证优势，以“茶科技+茶产业+茶文化”融合为核心，升级茶园智慧化改造，培育为优系广西六堡茶的生产基地。深化“伏虎”区域公用品牌联动，推行“品牌授权+标准化生产”模式，壮大产业集群。延伸产业链，开发茶饮料、茶食品等衍生品；升级研学基地，拓展茶园观光、手工制茶体验等文旅项目。依托“桂惠贷”政策，破解融资瓶颈，建产学研创新联合体。到2030年，实现茶叶年产值翻倍，带动农户增收，打造广西丘陵山地智慧茶产业标杆。</w:t>
            </w:r>
          </w:p>
        </w:tc>
      </w:tr>
    </w:tbl>
    <w:p w14:paraId="2DAC948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_GB2312" w:hAnsi="楷体" w:eastAsia="楷体_GB2312"/>
          <w:b/>
          <w:color w:val="000000" w:themeColor="text1"/>
          <w:sz w:val="32"/>
          <w:szCs w:val="32"/>
          <w:highlight w:val="none"/>
          <w14:textFill>
            <w14:solidFill>
              <w14:schemeClr w14:val="tx1"/>
            </w14:solidFill>
          </w14:textFill>
        </w:rPr>
      </w:pPr>
    </w:p>
    <w:p w14:paraId="3579FF51">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楷体_GB2312" w:hAnsi="楷体" w:eastAsia="楷体_GB2312"/>
          <w:b/>
          <w:color w:val="000000" w:themeColor="text1"/>
          <w:sz w:val="32"/>
          <w:szCs w:val="32"/>
          <w:highlight w:val="none"/>
          <w14:textFill>
            <w14:solidFill>
              <w14:schemeClr w14:val="tx1"/>
            </w14:solidFill>
          </w14:textFill>
        </w:rPr>
      </w:pPr>
    </w:p>
    <w:p w14:paraId="2FB2FDBB">
      <w:pPr>
        <w:pStyle w:val="2"/>
        <w:rPr>
          <w:rFonts w:hint="eastAsia"/>
        </w:rPr>
      </w:pPr>
    </w:p>
    <w:p w14:paraId="08422DD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楷体_GB2312" w:hAnsi="楷体" w:eastAsia="楷体_GB2312"/>
          <w:b/>
          <w:color w:val="000000" w:themeColor="text1"/>
          <w:sz w:val="32"/>
          <w:szCs w:val="32"/>
          <w:highlight w:val="none"/>
          <w14:textFill>
            <w14:solidFill>
              <w14:schemeClr w14:val="tx1"/>
            </w14:solidFill>
          </w14:textFill>
        </w:rPr>
      </w:pPr>
      <w:r>
        <w:rPr>
          <w:rFonts w:hint="eastAsia" w:ascii="楷体_GB2312" w:hAnsi="楷体" w:eastAsia="楷体_GB2312"/>
          <w:b/>
          <w:color w:val="000000" w:themeColor="text1"/>
          <w:sz w:val="32"/>
          <w:szCs w:val="32"/>
          <w:highlight w:val="none"/>
          <w14:textFill>
            <w14:solidFill>
              <w14:schemeClr w14:val="tx1"/>
            </w14:solidFill>
          </w14:textFill>
        </w:rPr>
        <w:t>第三节</w:t>
      </w:r>
      <w:r>
        <w:rPr>
          <w:rFonts w:hint="eastAsia" w:ascii="楷体_GB2312" w:hAnsi="楷体" w:eastAsia="楷体_GB2312"/>
          <w:b/>
          <w:color w:val="000000" w:themeColor="text1"/>
          <w:sz w:val="32"/>
          <w:szCs w:val="32"/>
          <w:highlight w:val="none"/>
          <w:lang w:val="en-US" w:eastAsia="zh-CN"/>
          <w14:textFill>
            <w14:solidFill>
              <w14:schemeClr w14:val="tx1"/>
            </w14:solidFill>
          </w14:textFill>
        </w:rPr>
        <w:t xml:space="preserve"> </w:t>
      </w:r>
      <w:r>
        <w:rPr>
          <w:rFonts w:ascii="楷体_GB2312" w:hAnsi="楷体" w:eastAsia="楷体_GB2312"/>
          <w:b/>
          <w:color w:val="000000" w:themeColor="text1"/>
          <w:sz w:val="32"/>
          <w:szCs w:val="32"/>
          <w:highlight w:val="none"/>
          <w14:textFill>
            <w14:solidFill>
              <w14:schemeClr w14:val="tx1"/>
            </w14:solidFill>
          </w14:textFill>
        </w:rPr>
        <w:t>加快农业现代</w:t>
      </w:r>
      <w:r>
        <w:rPr>
          <w:rFonts w:hint="eastAsia" w:ascii="楷体_GB2312" w:hAnsi="楷体" w:eastAsia="楷体_GB2312"/>
          <w:b/>
          <w:color w:val="000000" w:themeColor="text1"/>
          <w:sz w:val="32"/>
          <w:szCs w:val="32"/>
          <w:highlight w:val="none"/>
          <w:lang w:eastAsia="zh-Hans"/>
          <w14:textFill>
            <w14:solidFill>
              <w14:schemeClr w14:val="tx1"/>
            </w14:solidFill>
          </w14:textFill>
        </w:rPr>
        <w:t>化建设</w:t>
      </w:r>
      <w:r>
        <w:rPr>
          <w:rFonts w:ascii="楷体_GB2312" w:hAnsi="楷体" w:eastAsia="楷体_GB2312"/>
          <w:b/>
          <w:color w:val="000000" w:themeColor="text1"/>
          <w:sz w:val="32"/>
          <w:szCs w:val="32"/>
          <w:highlight w:val="none"/>
          <w14:textFill>
            <w14:solidFill>
              <w14:schemeClr w14:val="tx1"/>
            </w14:solidFill>
          </w14:textFill>
        </w:rPr>
        <w:t>，提高农业</w:t>
      </w:r>
      <w:r>
        <w:rPr>
          <w:rFonts w:hint="eastAsia" w:ascii="楷体_GB2312" w:hAnsi="楷体" w:eastAsia="楷体_GB2312"/>
          <w:b/>
          <w:color w:val="000000" w:themeColor="text1"/>
          <w:sz w:val="32"/>
          <w:szCs w:val="32"/>
          <w:highlight w:val="none"/>
          <w:lang w:eastAsia="zh-Hans"/>
          <w14:textFill>
            <w14:solidFill>
              <w14:schemeClr w14:val="tx1"/>
            </w14:solidFill>
          </w14:textFill>
        </w:rPr>
        <w:t>高</w:t>
      </w:r>
      <w:r>
        <w:rPr>
          <w:rFonts w:ascii="楷体_GB2312" w:hAnsi="楷体" w:eastAsia="楷体_GB2312"/>
          <w:b/>
          <w:color w:val="000000" w:themeColor="text1"/>
          <w:sz w:val="32"/>
          <w:szCs w:val="32"/>
          <w:highlight w:val="none"/>
          <w14:textFill>
            <w14:solidFill>
              <w14:schemeClr w14:val="tx1"/>
            </w14:solidFill>
          </w14:textFill>
        </w:rPr>
        <w:t>水平发展</w:t>
      </w:r>
    </w:p>
    <w:p w14:paraId="2484BAA3">
      <w:pPr>
        <w:keepNext w:val="0"/>
        <w:keepLines w:val="0"/>
        <w:pageBreakBefore w:val="0"/>
        <w:tabs>
          <w:tab w:val="left" w:pos="4680"/>
        </w:tabs>
        <w:kinsoku/>
        <w:wordWrap/>
        <w:overflowPunct/>
        <w:topLinePunct w:val="0"/>
        <w:autoSpaceDE/>
        <w:autoSpaceDN/>
        <w:bidi w:val="0"/>
        <w:adjustRightInd/>
        <w:snapToGrid/>
        <w:spacing w:line="560" w:lineRule="exact"/>
        <w:ind w:firstLine="627" w:firstLineChars="196"/>
        <w:textAlignment w:val="auto"/>
        <w:rPr>
          <w:rFonts w:hint="default" w:ascii="仿宋_GB2312" w:hAnsi="仿宋" w:eastAsia="仿宋_GB2312"/>
          <w:b/>
          <w:color w:val="000000" w:themeColor="text1"/>
          <w:sz w:val="32"/>
          <w:szCs w:val="32"/>
          <w:highlight w:val="none"/>
          <w:lang w:eastAsia="zh-Hans"/>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强化政府服务，培育经营主体、打造核心产业、拓展产业空间、提升合作组织，全面推进农业</w:t>
      </w:r>
      <w:r>
        <w:rPr>
          <w:rFonts w:hint="eastAsia" w:ascii="仿宋_GB2312" w:hAnsi="仿宋" w:eastAsia="仿宋_GB2312"/>
          <w:color w:val="000000" w:themeColor="text1"/>
          <w:sz w:val="32"/>
          <w:szCs w:val="32"/>
          <w:highlight w:val="none"/>
          <w:lang w:eastAsia="zh-Hans"/>
          <w14:textFill>
            <w14:solidFill>
              <w14:schemeClr w14:val="tx1"/>
            </w14:solidFill>
          </w14:textFill>
        </w:rPr>
        <w:t>现代</w:t>
      </w:r>
      <w:r>
        <w:rPr>
          <w:rFonts w:hint="eastAsia" w:ascii="仿宋_GB2312" w:hAnsi="仿宋" w:eastAsia="仿宋_GB2312"/>
          <w:color w:val="000000" w:themeColor="text1"/>
          <w:sz w:val="32"/>
          <w:szCs w:val="32"/>
          <w:highlight w:val="none"/>
          <w14:textFill>
            <w14:solidFill>
              <w14:schemeClr w14:val="tx1"/>
            </w14:solidFill>
          </w14:textFill>
        </w:rPr>
        <w:t>化</w:t>
      </w:r>
      <w:r>
        <w:rPr>
          <w:rFonts w:hint="default" w:ascii="仿宋_GB2312" w:hAnsi="仿宋" w:eastAsia="仿宋_GB2312"/>
          <w:color w:val="000000" w:themeColor="text1"/>
          <w:sz w:val="32"/>
          <w:szCs w:val="32"/>
          <w:highlight w:val="none"/>
          <w14:textFill>
            <w14:solidFill>
              <w14:schemeClr w14:val="tx1"/>
            </w14:solidFill>
          </w14:textFill>
        </w:rPr>
        <w:t>。</w:t>
      </w:r>
    </w:p>
    <w:p w14:paraId="3919920D">
      <w:pPr>
        <w:keepNext w:val="0"/>
        <w:keepLines w:val="0"/>
        <w:pageBreakBefore w:val="0"/>
        <w:tabs>
          <w:tab w:val="left" w:pos="4680"/>
        </w:tabs>
        <w:kinsoku/>
        <w:wordWrap/>
        <w:overflowPunct/>
        <w:topLinePunct w:val="0"/>
        <w:autoSpaceDE/>
        <w:autoSpaceDN/>
        <w:bidi w:val="0"/>
        <w:adjustRightInd/>
        <w:snapToGrid/>
        <w:spacing w:line="560" w:lineRule="exact"/>
        <w:ind w:firstLine="630" w:firstLineChars="196"/>
        <w:textAlignment w:val="auto"/>
        <w:rPr>
          <w:rFonts w:hint="eastAsia" w:ascii="仿宋_GB2312" w:hAnsi="仿宋" w:eastAsia="仿宋_GB2312" w:cs="Times New Roman"/>
          <w:color w:val="000000" w:themeColor="text1"/>
          <w:sz w:val="32"/>
          <w:szCs w:val="32"/>
          <w:highlight w:val="none"/>
          <w14:textFill>
            <w14:solidFill>
              <w14:schemeClr w14:val="tx1"/>
            </w14:solidFill>
          </w14:textFill>
        </w:rPr>
      </w:pPr>
      <w:r>
        <w:rPr>
          <w:rFonts w:hint="eastAsia" w:ascii="仿宋_GB2312" w:hAnsi="仿宋" w:eastAsia="仿宋_GB2312" w:cs="Times New Roman"/>
          <w:b/>
          <w:bCs/>
          <w:color w:val="000000" w:themeColor="text1"/>
          <w:sz w:val="32"/>
          <w:szCs w:val="32"/>
          <w:highlight w:val="none"/>
          <w14:textFill>
            <w14:solidFill>
              <w14:schemeClr w14:val="tx1"/>
            </w14:solidFill>
          </w14:textFill>
        </w:rPr>
        <w:t>完善农产品质量安全体系。</w:t>
      </w:r>
      <w:r>
        <w:rPr>
          <w:rFonts w:hint="eastAsia" w:ascii="仿宋_GB2312" w:hAnsi="仿宋" w:eastAsia="仿宋_GB2312" w:cs="Times New Roman"/>
          <w:color w:val="000000" w:themeColor="text1"/>
          <w:sz w:val="32"/>
          <w:szCs w:val="32"/>
          <w:highlight w:val="none"/>
          <w14:textFill>
            <w14:solidFill>
              <w14:schemeClr w14:val="tx1"/>
            </w14:solidFill>
          </w14:textFill>
        </w:rPr>
        <w:t>建立健全农产品质量安全标准体系，严格执行国家和地方农产品质量安全标准，规范农业生产经营行为。加强农产品质量安全监管，建立从农田到餐桌的全程监管体系，强化农业投入品监管、生产过程管控、产品质量检测和追溯管理。推进农产品“三品一标”认证，到2030年，“三品一标”认证产品数量达到</w:t>
      </w:r>
      <w:r>
        <w:rPr>
          <w:rFonts w:hint="default" w:ascii="仿宋_GB2312" w:hAnsi="仿宋" w:eastAsia="仿宋_GB2312" w:cs="Times New Roman"/>
          <w:color w:val="000000" w:themeColor="text1"/>
          <w:sz w:val="32"/>
          <w:szCs w:val="32"/>
          <w:highlight w:val="none"/>
          <w14:textFill>
            <w14:solidFill>
              <w14:schemeClr w14:val="tx1"/>
            </w14:solidFill>
          </w14:textFill>
        </w:rPr>
        <w:t>30</w:t>
      </w:r>
      <w:r>
        <w:rPr>
          <w:rFonts w:hint="eastAsia" w:ascii="仿宋_GB2312" w:hAnsi="仿宋" w:eastAsia="仿宋_GB2312" w:cs="Times New Roman"/>
          <w:color w:val="000000" w:themeColor="text1"/>
          <w:sz w:val="32"/>
          <w:szCs w:val="32"/>
          <w:highlight w:val="none"/>
          <w14:textFill>
            <w14:solidFill>
              <w14:schemeClr w14:val="tx1"/>
            </w14:solidFill>
          </w14:textFill>
        </w:rPr>
        <w:t>个以上，认证面积占食用农产品生产总面积的</w:t>
      </w:r>
      <w:r>
        <w:rPr>
          <w:rFonts w:hint="default" w:ascii="仿宋_GB2312" w:hAnsi="仿宋" w:eastAsia="仿宋_GB2312" w:cs="Times New Roman"/>
          <w:color w:val="000000" w:themeColor="text1"/>
          <w:sz w:val="32"/>
          <w:szCs w:val="32"/>
          <w:highlight w:val="none"/>
          <w14:textFill>
            <w14:solidFill>
              <w14:schemeClr w14:val="tx1"/>
            </w14:solidFill>
          </w14:textFill>
        </w:rPr>
        <w:t>15</w:t>
      </w:r>
      <w:r>
        <w:rPr>
          <w:rFonts w:hint="eastAsia" w:ascii="仿宋_GB2312" w:hAnsi="仿宋" w:eastAsia="仿宋_GB2312" w:cs="Times New Roman"/>
          <w:color w:val="000000" w:themeColor="text1"/>
          <w:sz w:val="32"/>
          <w:szCs w:val="32"/>
          <w:highlight w:val="none"/>
          <w14:textFill>
            <w14:solidFill>
              <w14:schemeClr w14:val="tx1"/>
            </w14:solidFill>
          </w14:textFill>
        </w:rPr>
        <w:t>%以上。加强农产品质量安全宣传教育，提高生产者和消费者的质量安全意识。</w:t>
      </w:r>
    </w:p>
    <w:p w14:paraId="7ED4F096">
      <w:pPr>
        <w:keepNext w:val="0"/>
        <w:keepLines w:val="0"/>
        <w:pageBreakBefore w:val="0"/>
        <w:tabs>
          <w:tab w:val="left" w:pos="4680"/>
        </w:tabs>
        <w:kinsoku/>
        <w:wordWrap/>
        <w:overflowPunct/>
        <w:topLinePunct w:val="0"/>
        <w:autoSpaceDE/>
        <w:autoSpaceDN/>
        <w:bidi w:val="0"/>
        <w:adjustRightInd/>
        <w:snapToGrid/>
        <w:spacing w:line="560" w:lineRule="exact"/>
        <w:ind w:firstLine="630" w:firstLineChars="196"/>
        <w:textAlignment w:val="auto"/>
        <w:rPr>
          <w:rFonts w:hint="eastAsia" w:ascii="仿宋_GB2312" w:hAnsi="仿宋" w:eastAsia="仿宋_GB2312" w:cs="Times New Roman"/>
          <w:color w:val="000000" w:themeColor="text1"/>
          <w:sz w:val="32"/>
          <w:szCs w:val="32"/>
          <w:highlight w:val="none"/>
          <w14:textFill>
            <w14:solidFill>
              <w14:schemeClr w14:val="tx1"/>
            </w14:solidFill>
          </w14:textFill>
        </w:rPr>
      </w:pPr>
      <w:r>
        <w:rPr>
          <w:rFonts w:hint="eastAsia" w:ascii="仿宋_GB2312" w:hAnsi="仿宋" w:eastAsia="仿宋_GB2312" w:cs="Times New Roman"/>
          <w:b/>
          <w:color w:val="000000" w:themeColor="text1"/>
          <w:sz w:val="32"/>
          <w:szCs w:val="32"/>
          <w:highlight w:val="none"/>
          <w14:textFill>
            <w14:solidFill>
              <w14:schemeClr w14:val="tx1"/>
            </w14:solidFill>
          </w14:textFill>
        </w:rPr>
        <w:t>强化农业科技创新与推广。</w:t>
      </w:r>
      <w:r>
        <w:rPr>
          <w:rFonts w:hint="eastAsia" w:ascii="仿宋_GB2312" w:hAnsi="仿宋" w:eastAsia="仿宋_GB2312" w:cs="Times New Roman"/>
          <w:color w:val="000000" w:themeColor="text1"/>
          <w:sz w:val="32"/>
          <w:szCs w:val="32"/>
          <w:highlight w:val="none"/>
          <w14:textFill>
            <w14:solidFill>
              <w14:schemeClr w14:val="tx1"/>
            </w14:solidFill>
          </w14:textFill>
        </w:rPr>
        <w:t>加强农业科技创新平台建设，与科研院校合作建立农业科技研发中心、试验基地，开展关键技术攻关，推广一批先进适用的农业技术。加强农业技术推广体系建设，健全县乡村三级农业技术推广网络，培育一批基层农业技术推广人才，提高农业技术推广覆盖面和到位率。推进农业数字化转型，建设智慧农业基地，推广物联网、大数据、人工智能等现代信息技术在农业生产、经营、管理、服务等环节的应用，提高农业生产智能化、精准化水平。</w:t>
      </w:r>
    </w:p>
    <w:p w14:paraId="1C5D1DF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color w:val="000000" w:themeColor="text1"/>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大力发展生态农业</w:t>
      </w:r>
      <w:r>
        <w:rPr>
          <w:rFonts w:hint="eastAsia" w:ascii="仿宋_GB2312" w:hAnsi="仿宋" w:eastAsia="仿宋_GB2312"/>
          <w:b/>
          <w:color w:val="000000" w:themeColor="text1"/>
          <w:sz w:val="32"/>
          <w:szCs w:val="32"/>
          <w:highlight w:val="none"/>
          <w:lang w:eastAsia="zh-Hans"/>
          <w14:textFill>
            <w14:solidFill>
              <w14:schemeClr w14:val="tx1"/>
            </w14:solidFill>
          </w14:textFill>
        </w:rPr>
        <w:t>建设</w:t>
      </w:r>
      <w:r>
        <w:rPr>
          <w:rFonts w:hint="eastAsia" w:ascii="仿宋_GB2312" w:hAnsi="仿宋" w:eastAsia="仿宋_GB2312"/>
          <w:b/>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加快有机农业技术推广和有机农产品生产基地建设，引导和支持各类农业产业化龙头企业联结带动农户发展有机农产品生产。加快创建标准化无公害、绿色农产品基地，组织无公害、绿色农产品生产基地申报产地认定工作和无公害、绿色农产品认证工作，推进生态农业，农产品向标准化、无公害化、绿色化发展。培育一批标准化、规范化、规模化养殖企业，积极推广有机生态养殖，进一步提升产品安全质量。严格种子、种苗、畜禽渔业种苗和农药、化肥、饲料、兽药等农业投入品的生产和经营准入条件，改善农业生产产地和畜禽养殖环境，打造生态农业。</w:t>
      </w:r>
    </w:p>
    <w:p w14:paraId="0D867E2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加快现代农业园区建设。</w:t>
      </w:r>
      <w:r>
        <w:rPr>
          <w:rFonts w:hint="eastAsia" w:ascii="仿宋_GB2312" w:hAnsi="仿宋" w:eastAsia="仿宋_GB2312"/>
          <w:color w:val="000000" w:themeColor="text1"/>
          <w:sz w:val="32"/>
          <w:szCs w:val="32"/>
          <w:highlight w:val="none"/>
          <w14:textFill>
            <w14:solidFill>
              <w14:schemeClr w14:val="tx1"/>
            </w14:solidFill>
          </w14:textFill>
        </w:rPr>
        <w:t>重点建设一批标准化、规模化、集约化、品牌化的农业示范园区，加快现有农产品生产、加工、物流园区基础设施配套建设，健全完善园区管理运行机制，促进企业入园和产业提档升级，发挥园区示范带动作用。培育引进有实力有发展潜力的农产品加工大企业、大集团，以粮食、糖蔗、水果、桑蚕、蔬菜（含食用菌）等为重点，发展精深加工，将农产品生产延伸到深加工，以及销售和流通，拉长产业链，提高农业效益。</w:t>
      </w:r>
    </w:p>
    <w:p w14:paraId="1864F8A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lang w:eastAsia="zh-Hans"/>
          <w14:textFill>
            <w14:solidFill>
              <w14:schemeClr w14:val="tx1"/>
            </w14:solidFill>
          </w14:textFill>
        </w:rPr>
        <w:t>加快</w:t>
      </w:r>
      <w:r>
        <w:rPr>
          <w:rFonts w:hint="eastAsia" w:ascii="仿宋_GB2312" w:hAnsi="仿宋" w:eastAsia="仿宋_GB2312"/>
          <w:b/>
          <w:color w:val="000000" w:themeColor="text1"/>
          <w:sz w:val="32"/>
          <w:szCs w:val="32"/>
          <w:highlight w:val="none"/>
          <w14:textFill>
            <w14:solidFill>
              <w14:schemeClr w14:val="tx1"/>
            </w14:solidFill>
          </w14:textFill>
        </w:rPr>
        <w:t>建设现代</w:t>
      </w:r>
      <w:r>
        <w:rPr>
          <w:rFonts w:hint="eastAsia" w:ascii="仿宋_GB2312" w:hAnsi="仿宋" w:eastAsia="仿宋_GB2312"/>
          <w:b/>
          <w:color w:val="000000" w:themeColor="text1"/>
          <w:sz w:val="32"/>
          <w:szCs w:val="32"/>
          <w:highlight w:val="none"/>
          <w:lang w:eastAsia="zh-Hans"/>
          <w14:textFill>
            <w14:solidFill>
              <w14:schemeClr w14:val="tx1"/>
            </w14:solidFill>
          </w14:textFill>
        </w:rPr>
        <w:t>农业</w:t>
      </w:r>
      <w:r>
        <w:rPr>
          <w:rFonts w:hint="eastAsia" w:ascii="仿宋_GB2312" w:hAnsi="仿宋" w:eastAsia="仿宋_GB2312"/>
          <w:b/>
          <w:color w:val="000000" w:themeColor="text1"/>
          <w:sz w:val="32"/>
          <w:szCs w:val="32"/>
          <w:highlight w:val="none"/>
          <w14:textFill>
            <w14:solidFill>
              <w14:schemeClr w14:val="tx1"/>
            </w14:solidFill>
          </w14:textFill>
        </w:rPr>
        <w:t>物流基地。</w:t>
      </w:r>
      <w:r>
        <w:rPr>
          <w:rFonts w:hint="eastAsia" w:ascii="仿宋_GB2312" w:hAnsi="仿宋" w:eastAsia="仿宋_GB2312"/>
          <w:color w:val="000000" w:themeColor="text1"/>
          <w:sz w:val="32"/>
          <w:szCs w:val="32"/>
          <w:highlight w:val="none"/>
          <w14:textFill>
            <w14:solidFill>
              <w14:schemeClr w14:val="tx1"/>
            </w14:solidFill>
          </w14:textFill>
        </w:rPr>
        <w:t>以建设广西桔都、柑桔生产基地、南菜北运基地等十大基地为抓手，重点推进农产品批发市场、水果批发市场、专业市场建设，形成一批现代农业物流基地。加强名、特、优、新品种引进，创建现代名特优新农业区，加快优质农产品基地建设，加快推进农产品物联网建设和冷链体系建设，加快发展以电子拍卖、电子交易、电子结算为主的农产品电子商务，建立农产品电子商务信息平台，推动电子商务进农村示范县建设。加强信息基础设施建设，实现信息管理、信息采集发布、视频监控、质量可追溯、数据交换、物流配送等应用系统和服务功能。</w:t>
      </w:r>
      <w:bookmarkStart w:id="33" w:name="_Toc448401340"/>
      <w:bookmarkStart w:id="34" w:name="_Toc447124954"/>
    </w:p>
    <w:p w14:paraId="5ABA781E">
      <w:pPr>
        <w:keepNext w:val="0"/>
        <w:keepLines w:val="0"/>
        <w:pageBreakBefore w:val="0"/>
        <w:tabs>
          <w:tab w:val="left" w:pos="4680"/>
        </w:tabs>
        <w:kinsoku/>
        <w:wordWrap/>
        <w:overflowPunct/>
        <w:topLinePunct w:val="0"/>
        <w:autoSpaceDE/>
        <w:autoSpaceDN/>
        <w:bidi w:val="0"/>
        <w:adjustRightInd/>
        <w:snapToGrid/>
        <w:spacing w:line="560" w:lineRule="exact"/>
        <w:ind w:firstLine="630" w:firstLineChars="196"/>
        <w:textAlignment w:val="auto"/>
        <w:rPr>
          <w:rFonts w:hint="eastAsia"/>
          <w:color w:val="000000" w:themeColor="text1"/>
          <w:spacing w:val="-6"/>
          <w:highlight w:val="none"/>
          <w:lang w:val="en-US" w:eastAsia="zh-CN"/>
          <w14:textFill>
            <w14:solidFill>
              <w14:schemeClr w14:val="tx1"/>
            </w14:solidFill>
          </w14:textFill>
        </w:rPr>
      </w:pPr>
      <w:r>
        <w:rPr>
          <w:rFonts w:hint="eastAsia" w:ascii="仿宋_GB2312" w:hAnsi="仿宋" w:eastAsia="仿宋_GB2312" w:cs="Times New Roman"/>
          <w:b/>
          <w:color w:val="000000" w:themeColor="text1"/>
          <w:sz w:val="32"/>
          <w:szCs w:val="32"/>
          <w:highlight w:val="none"/>
          <w:lang w:eastAsia="zh-Hans"/>
          <w14:textFill>
            <w14:solidFill>
              <w14:schemeClr w14:val="tx1"/>
            </w14:solidFill>
          </w14:textFill>
        </w:rPr>
        <w:t>加大特色农产品销售力度</w:t>
      </w:r>
      <w:r>
        <w:rPr>
          <w:rFonts w:hint="default" w:ascii="仿宋_GB2312" w:hAnsi="仿宋" w:eastAsia="仿宋_GB2312" w:cs="Times New Roman"/>
          <w:b/>
          <w:color w:val="000000" w:themeColor="text1"/>
          <w:sz w:val="32"/>
          <w:szCs w:val="32"/>
          <w:highlight w:val="none"/>
          <w:lang w:eastAsia="zh-Hans"/>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创新方式，推进产销一体化，引导各类流通主体突出特色，举办和参加各类农产品展销会、博览会，</w:t>
      </w:r>
      <w:r>
        <w:rPr>
          <w:rFonts w:hint="eastAsia" w:ascii="仿宋_GB2312" w:hAnsi="仿宋" w:eastAsia="仿宋_GB2312"/>
          <w:color w:val="000000" w:themeColor="text1"/>
          <w:sz w:val="32"/>
          <w:szCs w:val="32"/>
          <w:highlight w:val="none"/>
          <w:lang w:eastAsia="zh-Hans"/>
          <w14:textFill>
            <w14:solidFill>
              <w14:schemeClr w14:val="tx1"/>
            </w14:solidFill>
          </w14:textFill>
        </w:rPr>
        <w:t>借</w:t>
      </w:r>
      <w:r>
        <w:rPr>
          <w:rFonts w:hint="eastAsia" w:ascii="仿宋_GB2312" w:hAnsi="仿宋" w:eastAsia="仿宋_GB2312"/>
          <w:color w:val="000000" w:themeColor="text1"/>
          <w:sz w:val="32"/>
          <w:szCs w:val="32"/>
          <w:highlight w:val="none"/>
          <w:lang w:val="en-US" w:eastAsia="zh-Hans"/>
          <w14:textFill>
            <w14:solidFill>
              <w14:schemeClr w14:val="tx1"/>
            </w14:solidFill>
          </w14:textFill>
        </w:rPr>
        <w:t>助电商进行推广</w:t>
      </w:r>
      <w:r>
        <w:rPr>
          <w:rFonts w:hint="default" w:ascii="仿宋_GB2312" w:hAnsi="仿宋" w:eastAsia="仿宋_GB2312"/>
          <w:color w:val="000000" w:themeColor="text1"/>
          <w:sz w:val="32"/>
          <w:szCs w:val="32"/>
          <w:highlight w:val="none"/>
          <w:lang w:eastAsia="zh-Hans"/>
          <w14:textFill>
            <w14:solidFill>
              <w14:schemeClr w14:val="tx1"/>
            </w14:solidFill>
          </w14:textFill>
        </w:rPr>
        <w:t>，</w:t>
      </w:r>
      <w:r>
        <w:rPr>
          <w:rFonts w:hint="eastAsia" w:ascii="仿宋_GB2312" w:hAnsi="仿宋" w:eastAsia="仿宋_GB2312"/>
          <w:color w:val="000000" w:themeColor="text1"/>
          <w:sz w:val="32"/>
          <w:szCs w:val="32"/>
          <w:highlight w:val="none"/>
          <w:lang w:eastAsia="zh-Hans"/>
          <w14:textFill>
            <w14:solidFill>
              <w14:schemeClr w14:val="tx1"/>
            </w14:solidFill>
          </w14:textFill>
        </w:rPr>
        <w:t>并</w:t>
      </w:r>
      <w:r>
        <w:rPr>
          <w:rFonts w:hint="eastAsia" w:ascii="仿宋_GB2312" w:hAnsi="仿宋" w:eastAsia="仿宋_GB2312"/>
          <w:color w:val="000000" w:themeColor="text1"/>
          <w:sz w:val="32"/>
          <w:szCs w:val="32"/>
          <w:highlight w:val="none"/>
          <w14:textFill>
            <w14:solidFill>
              <w14:schemeClr w14:val="tx1"/>
            </w14:solidFill>
          </w14:textFill>
        </w:rPr>
        <w:t>利用各类媒介进行宣传报道，</w:t>
      </w:r>
      <w:r>
        <w:rPr>
          <w:rFonts w:hint="eastAsia" w:ascii="仿宋_GB2312" w:hAnsi="仿宋" w:eastAsia="仿宋_GB2312"/>
          <w:color w:val="000000" w:themeColor="text1"/>
          <w:spacing w:val="-6"/>
          <w:sz w:val="32"/>
          <w:szCs w:val="32"/>
          <w:highlight w:val="none"/>
          <w14:textFill>
            <w14:solidFill>
              <w14:schemeClr w14:val="tx1"/>
            </w14:solidFill>
          </w14:textFill>
        </w:rPr>
        <w:t>提高</w:t>
      </w:r>
      <w:r>
        <w:rPr>
          <w:rFonts w:hint="default" w:ascii="仿宋_GB2312" w:hAnsi="仿宋" w:eastAsia="仿宋_GB2312"/>
          <w:color w:val="000000" w:themeColor="text1"/>
          <w:spacing w:val="-6"/>
          <w:sz w:val="32"/>
          <w:szCs w:val="32"/>
          <w:highlight w:val="none"/>
          <w14:textFill>
            <w14:solidFill>
              <w14:schemeClr w14:val="tx1"/>
            </w14:solidFill>
          </w14:textFill>
        </w:rPr>
        <w:t>柳城县</w:t>
      </w:r>
      <w:r>
        <w:rPr>
          <w:rFonts w:hint="eastAsia" w:ascii="仿宋_GB2312" w:hAnsi="仿宋" w:eastAsia="仿宋_GB2312"/>
          <w:color w:val="000000" w:themeColor="text1"/>
          <w:spacing w:val="-6"/>
          <w:sz w:val="32"/>
          <w:szCs w:val="32"/>
          <w:highlight w:val="none"/>
          <w14:textFill>
            <w14:solidFill>
              <w14:schemeClr w14:val="tx1"/>
            </w14:solidFill>
          </w14:textFill>
        </w:rPr>
        <w:t>农产品品牌的知名</w:t>
      </w:r>
      <w:r>
        <w:rPr>
          <w:rFonts w:hint="eastAsia" w:ascii="仿宋_GB2312" w:hAnsi="仿宋" w:eastAsia="仿宋_GB2312"/>
          <w:color w:val="000000" w:themeColor="text1"/>
          <w:spacing w:val="-6"/>
          <w:sz w:val="32"/>
          <w:szCs w:val="32"/>
          <w:highlight w:val="none"/>
          <w:lang w:eastAsia="zh-Hans"/>
          <w14:textFill>
            <w14:solidFill>
              <w14:schemeClr w14:val="tx1"/>
            </w14:solidFill>
          </w14:textFill>
        </w:rPr>
        <w:t>度</w:t>
      </w:r>
      <w:r>
        <w:rPr>
          <w:rFonts w:hint="default" w:ascii="仿宋_GB2312" w:hAnsi="仿宋" w:eastAsia="仿宋_GB2312"/>
          <w:color w:val="000000" w:themeColor="text1"/>
          <w:spacing w:val="-6"/>
          <w:sz w:val="32"/>
          <w:szCs w:val="32"/>
          <w:highlight w:val="none"/>
          <w:lang w:eastAsia="zh-Hans"/>
          <w14:textFill>
            <w14:solidFill>
              <w14:schemeClr w14:val="tx1"/>
            </w14:solidFill>
          </w14:textFill>
        </w:rPr>
        <w:t>，</w:t>
      </w:r>
      <w:r>
        <w:rPr>
          <w:rFonts w:hint="eastAsia" w:ascii="仿宋_GB2312" w:hAnsi="仿宋" w:eastAsia="仿宋_GB2312"/>
          <w:color w:val="000000" w:themeColor="text1"/>
          <w:spacing w:val="-6"/>
          <w:sz w:val="32"/>
          <w:szCs w:val="32"/>
          <w:highlight w:val="none"/>
          <w:lang w:eastAsia="zh-Hans"/>
          <w14:textFill>
            <w14:solidFill>
              <w14:schemeClr w14:val="tx1"/>
            </w14:solidFill>
          </w14:textFill>
        </w:rPr>
        <w:t>让</w:t>
      </w:r>
      <w:r>
        <w:rPr>
          <w:rFonts w:hint="default" w:ascii="仿宋_GB2312" w:hAnsi="仿宋" w:eastAsia="仿宋_GB2312"/>
          <w:color w:val="000000" w:themeColor="text1"/>
          <w:spacing w:val="-6"/>
          <w:sz w:val="32"/>
          <w:szCs w:val="32"/>
          <w:highlight w:val="none"/>
          <w14:textFill>
            <w14:solidFill>
              <w14:schemeClr w14:val="tx1"/>
            </w14:solidFill>
          </w14:textFill>
        </w:rPr>
        <w:t>柳城</w:t>
      </w:r>
      <w:r>
        <w:rPr>
          <w:rFonts w:hint="eastAsia" w:ascii="仿宋_GB2312" w:hAnsi="仿宋" w:eastAsia="仿宋_GB2312"/>
          <w:color w:val="000000" w:themeColor="text1"/>
          <w:spacing w:val="-6"/>
          <w:sz w:val="32"/>
          <w:szCs w:val="32"/>
          <w:highlight w:val="none"/>
          <w:lang w:eastAsia="zh-Hans"/>
          <w14:textFill>
            <w14:solidFill>
              <w14:schemeClr w14:val="tx1"/>
            </w14:solidFill>
          </w14:textFill>
        </w:rPr>
        <w:t>特色</w:t>
      </w:r>
      <w:r>
        <w:rPr>
          <w:rFonts w:hint="eastAsia" w:ascii="仿宋_GB2312" w:hAnsi="仿宋" w:eastAsia="仿宋_GB2312"/>
          <w:color w:val="000000" w:themeColor="text1"/>
          <w:spacing w:val="-6"/>
          <w:sz w:val="32"/>
          <w:szCs w:val="32"/>
          <w:highlight w:val="none"/>
          <w14:textFill>
            <w14:solidFill>
              <w14:schemeClr w14:val="tx1"/>
            </w14:solidFill>
          </w14:textFill>
        </w:rPr>
        <w:t>农产品</w:t>
      </w:r>
      <w:r>
        <w:rPr>
          <w:rFonts w:hint="eastAsia" w:ascii="仿宋_GB2312" w:hAnsi="仿宋" w:eastAsia="仿宋_GB2312"/>
          <w:color w:val="000000" w:themeColor="text1"/>
          <w:spacing w:val="-6"/>
          <w:sz w:val="32"/>
          <w:szCs w:val="32"/>
          <w:highlight w:val="none"/>
          <w:lang w:eastAsia="zh-Hans"/>
          <w14:textFill>
            <w14:solidFill>
              <w14:schemeClr w14:val="tx1"/>
            </w14:solidFill>
          </w14:textFill>
        </w:rPr>
        <w:t>远销海内外</w:t>
      </w:r>
      <w:r>
        <w:rPr>
          <w:rFonts w:hint="default" w:ascii="仿宋_GB2312" w:hAnsi="仿宋" w:eastAsia="仿宋_GB2312"/>
          <w:color w:val="000000" w:themeColor="text1"/>
          <w:spacing w:val="-6"/>
          <w:sz w:val="32"/>
          <w:szCs w:val="32"/>
          <w:highlight w:val="none"/>
          <w:lang w:eastAsia="zh-Hans"/>
          <w14:textFill>
            <w14:solidFill>
              <w14:schemeClr w14:val="tx1"/>
            </w14:solidFill>
          </w14:textFill>
        </w:rPr>
        <w:t>。</w:t>
      </w:r>
    </w:p>
    <w:bookmarkEnd w:id="33"/>
    <w:bookmarkEnd w:id="34"/>
    <w:p w14:paraId="352F40C7">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color w:val="auto"/>
          <w:lang w:val="en-US" w:eastAsia="zh-Hans"/>
        </w:rPr>
      </w:pPr>
      <w:bookmarkStart w:id="35" w:name="_Toc22533"/>
      <w:bookmarkStart w:id="36" w:name="_Toc524001620"/>
      <w:r>
        <w:rPr>
          <w:rFonts w:hint="eastAsia" w:ascii="楷体" w:hAnsi="楷体" w:eastAsia="楷体" w:cs="楷体"/>
          <w:color w:val="auto"/>
          <w:lang w:val="en-US" w:eastAsia="zh-CN"/>
        </w:rPr>
        <w:t xml:space="preserve">第四节 </w:t>
      </w:r>
      <w:bookmarkEnd w:id="35"/>
      <w:r>
        <w:rPr>
          <w:rFonts w:hint="eastAsia" w:ascii="楷体" w:hAnsi="楷体" w:eastAsia="楷体" w:cs="楷体"/>
          <w:color w:val="auto"/>
          <w:lang w:val="en-US" w:eastAsia="zh-Hans"/>
        </w:rPr>
        <w:t>“</w:t>
      </w:r>
      <w:r>
        <w:rPr>
          <w:rFonts w:hint="eastAsia" w:ascii="楷体" w:hAnsi="楷体" w:eastAsia="楷体" w:cs="楷体"/>
          <w:color w:val="auto"/>
          <w:lang w:val="en-US" w:eastAsia="zh-CN"/>
        </w:rPr>
        <w:t>常态化帮扶”机制新部署</w:t>
      </w:r>
      <w:bookmarkEnd w:id="36"/>
    </w:p>
    <w:p w14:paraId="05B820FA">
      <w:pPr>
        <w:pageBreakBefore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val="en-US" w:eastAsia="zh-CN"/>
        </w:rPr>
      </w:pPr>
      <w:bookmarkStart w:id="37" w:name="_Toc17524"/>
      <w:r>
        <w:rPr>
          <w:rFonts w:hint="eastAsia" w:ascii="仿宋_GB2312" w:hAnsi="仿宋_GB2312" w:eastAsia="仿宋_GB2312" w:cs="仿宋_GB2312"/>
          <w:color w:val="auto"/>
          <w:sz w:val="32"/>
          <w:szCs w:val="32"/>
          <w:highlight w:val="none"/>
          <w:lang w:val="en-US" w:eastAsia="zh-CN"/>
        </w:rPr>
        <w:t>建立健全常态化防止返贫致贫监测帮扶机制，深入推行“线上网络化、线下网格化”工作模式，守牢不发生规模性返贫致贫底线。加强产业帮扶，支持</w:t>
      </w:r>
      <w:r>
        <w:rPr>
          <w:rFonts w:hint="default" w:ascii="仿宋_GB2312" w:hAnsi="仿宋_GB2312" w:eastAsia="仿宋_GB2312" w:cs="仿宋_GB2312"/>
          <w:color w:val="auto"/>
          <w:sz w:val="32"/>
          <w:szCs w:val="32"/>
          <w:highlight w:val="none"/>
          <w:lang w:val="en-US" w:eastAsia="zh-CN"/>
        </w:rPr>
        <w:t>发展具有市场竞争力的帮扶产业</w:t>
      </w:r>
      <w:r>
        <w:rPr>
          <w:rFonts w:hint="eastAsia" w:ascii="仿宋_GB2312" w:hAnsi="仿宋_GB2312" w:eastAsia="仿宋_GB2312" w:cs="仿宋_GB2312"/>
          <w:color w:val="auto"/>
          <w:sz w:val="32"/>
          <w:szCs w:val="32"/>
          <w:highlight w:val="none"/>
          <w:lang w:val="en-US" w:eastAsia="zh-CN"/>
        </w:rPr>
        <w:t>，提升产业可持续发展能力。强化就业帮扶，开展技能培训，拓宽就业渠道，促进帮扶对象稳定就业。加强易地扶贫搬迁后续扶持，完善安置区基础设施和公共服务设施，培育壮大后续产业，确保搬迁群众稳得住、能融入、逐步能致富。加强兜底保障，对丧失劳动能力或无法通过产业、就业获得稳定收入的帮扶对象，及时落实社会保障政策，保障其基本生活。</w:t>
      </w:r>
    </w:p>
    <w:p w14:paraId="49130E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保持过渡期后帮扶政策总体稳定。</w:t>
      </w:r>
      <w:r>
        <w:rPr>
          <w:rFonts w:hint="eastAsia" w:ascii="仿宋_GB2312" w:hAnsi="仿宋_GB2312" w:eastAsia="仿宋_GB2312" w:cs="仿宋_GB2312"/>
          <w:color w:val="auto"/>
          <w:sz w:val="32"/>
          <w:szCs w:val="32"/>
          <w:highlight w:val="none"/>
          <w:lang w:val="en-US" w:eastAsia="zh-CN"/>
        </w:rPr>
        <w:t>在过渡期结束后转向常态化精准帮扶的新阶段，需坚持稳中求进、先立后破。对过渡期内行之有效的帮扶政策，在总体保持稳定的基础上进行优化调整，避免“急刹车”。压实五级书记抓乡村振兴的责任，保持驻村第一书记、工作队和信息员等帮扶力量的持续稳定，继续发挥定点帮扶和对口支援等机制作用，广泛动员社会力量积极参与常态化帮扶。</w:t>
      </w:r>
    </w:p>
    <w:p w14:paraId="3BA513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auto"/>
          <w:sz w:val="32"/>
          <w:szCs w:val="32"/>
          <w:highlight w:val="none"/>
          <w:lang w:val="en-US" w:eastAsia="zh-CN"/>
        </w:rPr>
        <w:t>建立防止返贫致贫帮扶机制。</w:t>
      </w:r>
      <w:r>
        <w:rPr>
          <w:rFonts w:hint="eastAsia" w:ascii="仿宋_GB2312" w:hAnsi="仿宋_GB2312" w:eastAsia="仿宋_GB2312" w:cs="仿宋_GB2312"/>
          <w:color w:val="auto"/>
          <w:sz w:val="32"/>
          <w:szCs w:val="32"/>
          <w:highlight w:val="none"/>
          <w:lang w:val="en-US" w:eastAsia="zh-CN"/>
        </w:rPr>
        <w:t>树牢底线思维，强化风险意识，压实工作责任，综合运用农户自主申报、基层排查、部门数据比对等方式，早发现、早干预、早帮扶。突出开发式帮扶导向，坚持到人到户精准施策，推动防止返贫致贫对象及时稳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定消除风险、脱贫人口有序稳定退出，实现“应纳尽纳、应扶尽扶、动态管理”。</w:t>
      </w:r>
    </w:p>
    <w:p w14:paraId="4C0A7B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实现帮扶资源优化配置。</w:t>
      </w:r>
      <w:r>
        <w:rPr>
          <w:rFonts w:hint="eastAsia" w:ascii="仿宋_GB2312" w:hAnsi="仿宋_GB2312" w:eastAsia="仿宋_GB2312" w:cs="仿宋_GB2312"/>
          <w:color w:val="auto"/>
          <w:sz w:val="32"/>
          <w:szCs w:val="32"/>
          <w:highlight w:val="none"/>
          <w:lang w:val="en-US" w:eastAsia="zh-CN"/>
        </w:rPr>
        <w:t>推动开发式帮扶政策和兜底式保障政策精准高效、协同集成，完善帮扶政策措施“工具箱”。根据监测对象的风险类型、发展需求精准施策，对有劳动能力的优先实施产业就业等开发式帮扶，强化技能培训与产销对接；对无劳动能力的则依法依规纳入社会保障体系，做到应保尽保、应兜尽兜。同时，优化整合各类帮扶资源与项目，加强资产管理和绩效评价，确保每一分钱都用在刀刃上，切实提升帮扶措施的针对性与实效性。</w:t>
      </w:r>
    </w:p>
    <w:p w14:paraId="584202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16"/>
          <w:szCs w:val="16"/>
          <w:highlight w:val="none"/>
          <w14:textFill>
            <w14:solidFill>
              <w14:schemeClr w14:val="tx1"/>
            </w14:solidFill>
          </w14:textFill>
        </w:rPr>
      </w:pPr>
      <w:r>
        <w:rPr>
          <w:rFonts w:hint="eastAsia" w:ascii="仿宋_GB2312" w:hAnsi="仿宋_GB2312" w:eastAsia="仿宋_GB2312" w:cs="仿宋_GB2312"/>
          <w:b/>
          <w:bCs/>
          <w:i w:val="0"/>
          <w:caps w:val="0"/>
          <w:color w:val="auto"/>
          <w:spacing w:val="0"/>
          <w:sz w:val="32"/>
          <w:szCs w:val="32"/>
        </w:rPr>
        <w:t>巩固拓展脱贫攻坚成果</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开发式帮扶作为重中之重，着力激发群众内生动力。进一步强化县域特色产业、拓宽就业渠道和发展能力提升等帮扶措施，完善以奖代补、以效定补等激励机制，倡导多干多补、少干少补，鼓励他们更多依靠自己的双手勤劳致富。尊重经济规律，因地制宜加强产业科学论证、分类指导和长期培育，不搞“一窝蜂”，防止大起大落，着力提高市场竞争力、抗风险能力和联农带农能力。进一步注重扶志扶智，引导群众依靠自身努力增收致富，推动脱贫攻坚成果持续巩固拓展，为加快实现农业农村现代化注入不竭动力。</w:t>
      </w:r>
    </w:p>
    <w:p w14:paraId="5F312316">
      <w:pPr>
        <w:pStyle w:val="5"/>
        <w:keepNext/>
        <w:keepLines/>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楷体" w:hAnsi="楷体" w:eastAsia="楷体" w:cs="楷体"/>
          <w:lang w:val="en-US" w:eastAsia="zh-CN"/>
        </w:rPr>
      </w:pPr>
      <w:bookmarkStart w:id="38" w:name="_Toc64790993"/>
      <w:r>
        <w:rPr>
          <w:rFonts w:hint="eastAsia" w:ascii="楷体" w:hAnsi="楷体" w:eastAsia="楷体" w:cs="楷体"/>
          <w:lang w:val="en-US" w:eastAsia="zh-CN"/>
        </w:rPr>
        <w:t xml:space="preserve">第五节 </w:t>
      </w:r>
      <w:r>
        <w:rPr>
          <w:rFonts w:hint="eastAsia" w:ascii="楷体" w:hAnsi="楷体" w:eastAsia="楷体" w:cs="楷体"/>
          <w:lang w:val="en-US" w:eastAsia="zh-Hans"/>
        </w:rPr>
        <w:t>大力发展现代化农村建设</w:t>
      </w:r>
      <w:r>
        <w:rPr>
          <w:rFonts w:hint="default" w:ascii="楷体" w:hAnsi="楷体" w:eastAsia="楷体" w:cs="楷体"/>
          <w:lang w:val="en-US" w:eastAsia="zh-Hans"/>
        </w:rPr>
        <w:t>，</w:t>
      </w:r>
      <w:r>
        <w:rPr>
          <w:rFonts w:hint="eastAsia" w:ascii="楷体" w:hAnsi="楷体" w:eastAsia="楷体" w:cs="楷体"/>
          <w:lang w:val="en-US" w:eastAsia="zh-Hans"/>
        </w:rPr>
        <w:t>促进</w:t>
      </w:r>
      <w:r>
        <w:rPr>
          <w:rFonts w:hint="eastAsia" w:ascii="楷体" w:hAnsi="楷体" w:eastAsia="楷体" w:cs="楷体"/>
          <w:lang w:val="en-US" w:eastAsia="zh-CN"/>
        </w:rPr>
        <w:t>乡村</w:t>
      </w:r>
      <w:r>
        <w:rPr>
          <w:rFonts w:hint="eastAsia" w:ascii="楷体" w:hAnsi="楷体" w:eastAsia="楷体" w:cs="楷体"/>
          <w:lang w:val="en-US" w:eastAsia="zh-Hans"/>
        </w:rPr>
        <w:t>全面</w:t>
      </w:r>
      <w:r>
        <w:rPr>
          <w:rFonts w:hint="eastAsia" w:ascii="楷体" w:hAnsi="楷体" w:eastAsia="楷体" w:cs="楷体"/>
          <w:lang w:val="en-US" w:eastAsia="zh-CN"/>
        </w:rPr>
        <w:t>振兴</w:t>
      </w:r>
      <w:bookmarkEnd w:id="37"/>
      <w:bookmarkEnd w:id="38"/>
    </w:p>
    <w:p w14:paraId="4E38A1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39" w:name="_Toc6258"/>
      <w:r>
        <w:rPr>
          <w:rFonts w:hint="eastAsia" w:ascii="仿宋_GB2312" w:hAnsi="仿宋_GB2312" w:eastAsia="仿宋_GB2312" w:cs="仿宋_GB2312"/>
          <w:color w:val="000000" w:themeColor="text1"/>
          <w:sz w:val="32"/>
          <w:szCs w:val="32"/>
          <w:highlight w:val="none"/>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产业兴旺、生态宜居、乡风文明、治理有效、生活富裕</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的总要求，围绕推动乡村产业、人才、文化、生态和组织“五个振兴”</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因地制宜，分类实施，全民参与，重点推进组织管理、生态环境、基础设施、主导产业、体制机制、文化素质等六大提升工程，</w:t>
      </w:r>
      <w:r>
        <w:rPr>
          <w:rFonts w:hint="eastAsia" w:ascii="仿宋_GB2312" w:hAnsi="仿宋_GB2312" w:eastAsia="仿宋_GB2312" w:cs="仿宋_GB2312"/>
          <w:sz w:val="32"/>
          <w:szCs w:val="32"/>
        </w:rPr>
        <w:t>学习运用</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千万工程</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经验</w:t>
      </w:r>
      <w:r>
        <w:rPr>
          <w:rFonts w:hint="default"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实施乡村</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全面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振兴战略，切实增强</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民群众的获得感、幸福感、安全感，为全面建设社会主义现代化</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县筑牢“三农”压舱石。</w:t>
      </w:r>
    </w:p>
    <w:p w14:paraId="189F25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深化农村改革</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体制机制</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深化农村土地制度改革，完善农村承包地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“三权分置”</w:t>
      </w:r>
      <w:r>
        <w:rPr>
          <w:rFonts w:hint="eastAsia" w:ascii="仿宋_GB2312" w:hAnsi="仿宋_GB2312" w:eastAsia="仿宋_GB2312" w:cs="仿宋_GB2312"/>
          <w:color w:val="000000" w:themeColor="text1"/>
          <w:sz w:val="32"/>
          <w:szCs w:val="32"/>
          <w:highlight w:val="none"/>
          <w14:textFill>
            <w14:solidFill>
              <w14:schemeClr w14:val="tx1"/>
            </w14:solidFill>
          </w14:textFill>
        </w:rPr>
        <w:t>制度，规范土地经营权流转。深化农村宅基地制度改革，探索宅基地所有权、资格权、使用权分置实现形式。深化农村集体产权制度改革，发展壮大农村集体经济。完善农业支持保护制度，健全农业补贴政策、农产品价格形成机制等。</w:t>
      </w:r>
    </w:p>
    <w:p w14:paraId="5015349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提效强农惠农富农。</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健全财政优先保障、金融重点倾斜、社会积极参与的多元投入格局，确保乡村振兴投入力度不断增强。健全产业发展项目利益联结机制，建立农业新型经营主体联农带农机制。健全农民收益保障机制，构建价格、补贴、保险“三位一体”政策体系。加强粮食购销和储备管理。畅通城乡要素平等交换、双向流动渠道，鼓励各类人才下乡服务和创业就业。节约集约利用农村集体经营性建设用地，依法盘活用好闲置土地和房屋，分类保障乡村发展用地。持续深化农村集体产权制度改革，支持发展新型农村集体经济，深化农村产权流转交易规范化建设整区试点。</w:t>
      </w:r>
    </w:p>
    <w:p w14:paraId="7FEA8343">
      <w:pPr>
        <w:pageBreakBefore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提升乡村治理水平。</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党组织领导的自治、法治、德治相结合的乡村治理体系，加强农村基层党组织建设，发挥基层党组织战斗堡垒作用和党员先锋模范作用。完善村民自治制度，健全村民议事、决策、管理、监督机制，激发村民参与乡村治理的积极性。加强乡村法治建设，开展法治宣传教育，提升村民法治意识和法治素养，健全乡村矛盾纠纷多元化解机制。加强乡村德治建设，弘扬社会主义核心价值观，传承优良家风、淳朴民风，推进移风易俗，建设文明乡村。</w:t>
      </w:r>
    </w:p>
    <w:p w14:paraId="6227ECC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color w:val="000000" w:themeColor="text1"/>
          <w:sz w:val="32"/>
          <w:szCs w:val="32"/>
          <w:highlight w:val="none"/>
          <w:lang w:eastAsia="zh-Hans"/>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Hans" w:bidi="ar-SA"/>
          <w14:textFill>
            <w14:solidFill>
              <w14:schemeClr w14:val="tx1"/>
            </w14:solidFill>
          </w14:textFill>
        </w:rPr>
        <w:t>实施</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“千万工程”</w:t>
      </w:r>
      <w:r>
        <w:rPr>
          <w:rFonts w:hint="default" w:ascii="仿宋_GB2312" w:hAnsi="仿宋_GB2312" w:eastAsia="仿宋_GB2312" w:cs="仿宋_GB2312"/>
          <w:b/>
          <w:bCs/>
          <w:color w:val="000000" w:themeColor="text1"/>
          <w:kern w:val="2"/>
          <w:sz w:val="32"/>
          <w:szCs w:val="32"/>
          <w:highlight w:val="none"/>
          <w:lang w:eastAsia="zh-CN" w:bidi="ar-SA"/>
          <w14:textFill>
            <w14:solidFill>
              <w14:schemeClr w14:val="tx1"/>
            </w14:solidFill>
          </w14:textFill>
        </w:rPr>
        <w:t>，</w:t>
      </w:r>
      <w:r>
        <w:rPr>
          <w:rFonts w:hint="eastAsia" w:ascii="仿宋_GB2312" w:hAnsi="仿宋_GB2312" w:eastAsia="仿宋_GB2312" w:cs="仿宋_GB2312"/>
          <w:b/>
          <w:bCs/>
          <w:color w:val="000000" w:themeColor="text1"/>
          <w:kern w:val="2"/>
          <w:sz w:val="32"/>
          <w:szCs w:val="32"/>
          <w:highlight w:val="none"/>
          <w:lang w:eastAsia="zh-Hans" w:bidi="ar-SA"/>
          <w14:textFill>
            <w14:solidFill>
              <w14:schemeClr w14:val="tx1"/>
            </w14:solidFill>
          </w14:textFill>
        </w:rPr>
        <w:t>打造</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美丽乡村</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深入实施</w:t>
      </w: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“千万工程”</w:t>
      </w:r>
      <w:r>
        <w:rPr>
          <w:rFonts w:hint="default" w:ascii="仿宋_GB2312" w:hAnsi="仿宋_GB2312" w:eastAsia="仿宋_GB2312" w:cs="仿宋_GB2312"/>
          <w:color w:val="000000" w:themeColor="text1"/>
          <w:kern w:val="0"/>
          <w:sz w:val="32"/>
          <w:szCs w:val="32"/>
          <w:highlight w:val="none"/>
          <w:lang w:eastAsia="zh-CN" w:bidi="ar-SA"/>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以新型农村社区建设为重点，以村庄的整理和整治建设为切入点，重塑农村人居环境，造就美丽乡村、造福农民群众。按照布局优化、道路硬化、路灯亮化、四旁绿化、河道净化、卫生洁化、住宅美化、服务强化的要求，全面推进村庄整治建设，实施生态修复，改善农村生产生活条件，促进农民生活方式的转变。“千万工程”不断迭代升级，乡村公共基础设施和服务能力大大提高，</w:t>
      </w:r>
      <w:r>
        <w:rPr>
          <w:rFonts w:hint="eastAsia" w:ascii="仿宋_GB2312" w:hAnsi="仿宋_GB2312" w:eastAsia="仿宋_GB2312" w:cs="仿宋_GB2312"/>
          <w:color w:val="000000" w:themeColor="text1"/>
          <w:kern w:val="0"/>
          <w:sz w:val="32"/>
          <w:szCs w:val="32"/>
          <w:highlight w:val="none"/>
          <w:lang w:val="en-US" w:eastAsia="zh-Hans" w:bidi="ar-SA"/>
          <w14:textFill>
            <w14:solidFill>
              <w14:schemeClr w14:val="tx1"/>
            </w14:solidFill>
          </w14:textFill>
        </w:rPr>
        <w:t>将</w:t>
      </w: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村庄建成“一户一处景、一村一幅画、一线一风光、一县一品牌”的新时代美丽乡村，提升乡村整体风貌。</w:t>
      </w:r>
    </w:p>
    <w:p w14:paraId="5EA308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发展乡村特色产业</w:t>
      </w:r>
      <w:r>
        <w:rPr>
          <w:rFonts w:hint="default" w:ascii="仿宋_GB2312" w:hAnsi="仿宋_GB2312" w:eastAsia="仿宋_GB2312" w:cs="仿宋_GB2312"/>
          <w:b/>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依托乡村特色资源，发展乡村旅游、休闲农业、农产品加工、农村电商、乡村手工业等特色产业，培育乡村产业新业态、新模式。加强乡村产业基础设施建设，完善乡村物流、冷链、仓储等设施，提升乡村产业发展支撑能力。培育乡村产业主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带动</w:t>
      </w:r>
      <w:r>
        <w:rPr>
          <w:rFonts w:hint="eastAsia" w:ascii="仿宋_GB2312" w:hAnsi="仿宋_GB2312" w:eastAsia="仿宋_GB2312" w:cs="仿宋_GB2312"/>
          <w:color w:val="000000" w:themeColor="text1"/>
          <w:sz w:val="32"/>
          <w:szCs w:val="32"/>
          <w:highlight w:val="none"/>
          <w14:textFill>
            <w14:solidFill>
              <w14:schemeClr w14:val="tx1"/>
            </w14:solidFill>
          </w14:textFill>
        </w:rPr>
        <w:t>家庭农场、农民专业合作社发展，形成“企业+合作社+农户”的产业发展模式。加强乡村品牌建设，推广乡村特色产品，提升产品附加值和市场竞争力。</w:t>
      </w:r>
    </w:p>
    <w:p w14:paraId="712C6A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促进城乡要素双向流动。</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户籍制度改革，取消城乡户籍壁垒，促进农业转移人口市民化。完善农村土地制度，深化农村承包地、宅基地、集体经营性建设用地改革，盘活农村土地资源。健全城乡统一的人力资源市场，促进城乡劳动力自由流动。完善城乡统一的建设用地市场，建立健全城乡建设用地增减挂钩机制。加强城乡金融合作，引导金融资源向农村倾斜，破解农村融资难、融资贵问题。</w:t>
      </w:r>
    </w:p>
    <w:p w14:paraId="5BCCE0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第</w:t>
      </w: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六</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节</w:t>
      </w: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highlight w:val="none"/>
          <w:lang w:val="en-US" w:eastAsia="zh-Hans"/>
          <w14:textFill>
            <w14:solidFill>
              <w14:schemeClr w14:val="tx1"/>
            </w14:solidFill>
          </w14:textFill>
        </w:rPr>
        <w:t>支持</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保障农民就业增收</w:t>
      </w:r>
      <w:bookmarkEnd w:id="39"/>
      <w:r>
        <w:rPr>
          <w:rFonts w:hint="default" w:ascii="楷体_GB2312" w:hAnsi="楷体_GB2312" w:eastAsia="楷体_GB2312" w:cs="楷体_GB2312"/>
          <w:b/>
          <w:bCs/>
          <w:color w:val="000000" w:themeColor="text1"/>
          <w:sz w:val="32"/>
          <w:szCs w:val="32"/>
          <w:highlight w:val="none"/>
          <w14:textFill>
            <w14:solidFill>
              <w14:schemeClr w14:val="tx1"/>
            </w14:solidFill>
          </w14:textFill>
        </w:rPr>
        <w:t>，</w:t>
      </w:r>
      <w:r>
        <w:rPr>
          <w:rFonts w:hint="eastAsia" w:ascii="楷体_GB2312" w:hAnsi="楷体_GB2312" w:eastAsia="楷体_GB2312" w:cs="楷体_GB2312"/>
          <w:b/>
          <w:bCs/>
          <w:color w:val="000000" w:themeColor="text1"/>
          <w:sz w:val="32"/>
          <w:szCs w:val="32"/>
          <w:highlight w:val="none"/>
          <w:lang w:eastAsia="zh-Hans"/>
          <w14:textFill>
            <w14:solidFill>
              <w14:schemeClr w14:val="tx1"/>
            </w14:solidFill>
          </w14:textFill>
        </w:rPr>
        <w:t>有效提高农民收入</w:t>
      </w:r>
    </w:p>
    <w:p w14:paraId="138F89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坚持就业优先，积极创造更多就业岗位，支持多渠道灵活就业，使广大劳动者有充分就业的机会，稳定和扩大就业，保障农民就业增收。</w:t>
      </w:r>
    </w:p>
    <w:p w14:paraId="4D3467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开发更多就业岗位。</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重点依托</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四</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个百亿”</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产业园区，大力支持创业孵化基地、众创空间等创业载体建设，鼓励企业以多种方式稳就业、扩就业。鼓励重点工业园区大力发展劳动密集型产业，支持县城和重点乡镇加快发展商贸、物流、旅游等</w:t>
      </w:r>
      <w:r>
        <w:rPr>
          <w:rFonts w:hint="eastAsia" w:ascii="仿宋_GB2312" w:hAnsi="仿宋_GB2312" w:eastAsia="仿宋_GB2312" w:cs="仿宋_GB2312"/>
          <w:b w:val="0"/>
          <w:bCs w:val="0"/>
          <w:color w:val="000000" w:themeColor="text1"/>
          <w:sz w:val="32"/>
          <w:szCs w:val="32"/>
          <w:highlight w:val="none"/>
          <w:lang w:eastAsia="zh-Hans"/>
          <w14:textFill>
            <w14:solidFill>
              <w14:schemeClr w14:val="tx1"/>
            </w14:solidFill>
          </w14:textFill>
        </w:rPr>
        <w:t>服务</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业，扩大服务业发展规模，创造更多的就业岗位。加快推进重大项目、重点工程和重点功能区建设，开发和带动更多就业岗位。</w:t>
      </w:r>
    </w:p>
    <w:p w14:paraId="2230F5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支持多渠道灵活就业。</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放管服”改革，取消对灵活就业的不合理限制，引导劳动者合理有序经营。鼓励个体经营，落实好已出台的各项纾困政策。支持非全日制就业，适应企业灵活用工需要，发展零工市场。对网络零售、移动出行、线上教育培训、在线医疗等新就业形态实行包容审慎监管，激励互联网平台创造更多灵活就业岗位。</w:t>
      </w:r>
    </w:p>
    <w:p w14:paraId="4854016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加强就业公共服务。</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建立城乡统一的人力资源市场，为用人单位和劳动者提供就业服务、职业培训、职业介绍、社会保险、公益性岗位等全程快捷服务，方便城乡劳动者就业。强化职业培训和提高培训质量，</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 xml:space="preserve">增强其职业技能和灵活就业能力。 </w:t>
      </w:r>
      <w:bookmarkStart w:id="40" w:name="_Toc1366431795"/>
    </w:p>
    <w:p w14:paraId="335659A4">
      <w:pPr>
        <w:rPr>
          <w:rFonts w:hint="eastAsia" w:ascii="黑体" w:hAnsi="黑体" w:eastAsia="黑体" w:cs="黑体"/>
          <w:sz w:val="32"/>
          <w:szCs w:val="40"/>
          <w:lang w:val="en-US" w:eastAsia="zh-Hans"/>
        </w:rPr>
      </w:pPr>
      <w:r>
        <w:rPr>
          <w:rFonts w:hint="eastAsia" w:ascii="黑体" w:hAnsi="黑体" w:eastAsia="黑体" w:cs="黑体"/>
          <w:sz w:val="32"/>
          <w:szCs w:val="40"/>
          <w:lang w:val="en-US" w:eastAsia="zh-Hans"/>
        </w:rPr>
        <w:br w:type="page"/>
      </w:r>
    </w:p>
    <w:p w14:paraId="6CA080EB">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Hans"/>
        </w:rPr>
      </w:pPr>
      <w:bookmarkStart w:id="41" w:name="_Toc168010322"/>
      <w:r>
        <w:rPr>
          <w:rFonts w:hint="eastAsia" w:ascii="黑体" w:hAnsi="黑体" w:eastAsia="黑体" w:cs="黑体"/>
          <w:sz w:val="32"/>
          <w:szCs w:val="40"/>
          <w:lang w:val="en-US" w:eastAsia="zh-Hans"/>
        </w:rPr>
        <w:t>深度融入区域发展格局，实现高水平对外开放合作</w:t>
      </w:r>
      <w:bookmarkEnd w:id="41"/>
    </w:p>
    <w:p w14:paraId="5EB53D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highlight w:val="none"/>
          <w14:textFill>
            <w14:solidFill>
              <w14:schemeClr w14:val="tx1"/>
            </w14:solidFill>
          </w14:textFill>
        </w:rPr>
      </w:pPr>
      <w:bookmarkStart w:id="42" w:name="_Toc28554"/>
      <w:r>
        <w:rPr>
          <w:rFonts w:hint="eastAsia" w:ascii="仿宋_GB2312" w:hAnsi="仿宋_GB2312" w:eastAsia="仿宋_GB2312" w:cs="仿宋_GB2312"/>
          <w:b w:val="0"/>
          <w:bCs w:val="0"/>
          <w:color w:val="000000" w:themeColor="text1"/>
          <w:sz w:val="32"/>
          <w:highlight w:val="none"/>
          <w14:textFill>
            <w14:solidFill>
              <w14:schemeClr w14:val="tx1"/>
            </w14:solidFill>
          </w14:textFill>
        </w:rPr>
        <w:t>坚持高质量引进来和高水平走出去并重，以持续优化营商环境为抓手，加快推进</w:t>
      </w:r>
      <w:r>
        <w:rPr>
          <w:rFonts w:hint="eastAsia" w:ascii="仿宋_GB2312" w:hAnsi="仿宋_GB2312" w:eastAsia="仿宋_GB2312" w:cs="仿宋_GB2312"/>
          <w:b w:val="0"/>
          <w:bCs w:val="0"/>
          <w:color w:val="000000" w:themeColor="text1"/>
          <w:sz w:val="32"/>
          <w:highlight w:val="none"/>
          <w:lang w:eastAsia="zh-Hans"/>
          <w14:textFill>
            <w14:solidFill>
              <w14:schemeClr w14:val="tx1"/>
            </w14:solidFill>
          </w14:textFill>
        </w:rPr>
        <w:t>柳城</w:t>
      </w:r>
      <w:r>
        <w:rPr>
          <w:rFonts w:hint="eastAsia" w:ascii="仿宋_GB2312" w:hAnsi="仿宋_GB2312" w:eastAsia="仿宋_GB2312" w:cs="仿宋_GB2312"/>
          <w:b w:val="0"/>
          <w:bCs w:val="0"/>
          <w:color w:val="000000" w:themeColor="text1"/>
          <w:sz w:val="32"/>
          <w:highlight w:val="none"/>
          <w14:textFill>
            <w14:solidFill>
              <w14:schemeClr w14:val="tx1"/>
            </w14:solidFill>
          </w14:textFill>
        </w:rPr>
        <w:t>经济高质量协同发展，进一步发挥以开放促发展、促改革、促创新的作用，加快构建全方位、多层次、宽领域的发展新格局，为柳城经济社会发展注入新动力、增添新活力、拓展新空间。</w:t>
      </w:r>
      <w:bookmarkStart w:id="43" w:name="_Toc31635"/>
      <w:bookmarkStart w:id="44" w:name="_Toc51676022"/>
    </w:p>
    <w:p w14:paraId="2E5C1949">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45" w:name="_Toc1955969696"/>
      <w:bookmarkStart w:id="46" w:name="_Toc1512142818"/>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加快推动区域经济高质量协同发展</w:t>
      </w:r>
      <w:bookmarkEnd w:id="43"/>
      <w:bookmarkEnd w:id="45"/>
      <w:bookmarkEnd w:id="46"/>
    </w:p>
    <w:bookmarkEnd w:id="44"/>
    <w:p w14:paraId="77B385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sz w:val="6"/>
          <w:szCs w:val="6"/>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积极融入粤港澳大湾区、西部陆海新通道、平陆运河经济带</w:t>
      </w:r>
      <w:r>
        <w:rPr>
          <w:rFonts w:hint="default"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东部沿海发达地区等区域建设发展，全面对接、服务、融合柳州“一主三新”</w:t>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Style w:val="20"/>
          <w:rFonts w:hint="eastAsia" w:ascii="仿宋_GB2312" w:hAnsi="仿宋_GB2312" w:eastAsia="仿宋_GB2312" w:cs="仿宋_GB2312"/>
          <w:color w:val="000000" w:themeColor="text1"/>
          <w:sz w:val="32"/>
          <w:highlight w:val="none"/>
          <w14:textFill>
            <w14:solidFill>
              <w14:schemeClr w14:val="tx1"/>
            </w14:solidFill>
          </w14:textFill>
        </w:rPr>
        <w:endnoteReference w:id="0"/>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开放开发，以产业对接、交通联通为重点，加快与柳州市同城化发展</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步伐</w:t>
      </w:r>
      <w:r>
        <w:rPr>
          <w:rFonts w:hint="eastAsia" w:ascii="仿宋_GB2312" w:hAnsi="仿宋_GB2312" w:eastAsia="仿宋_GB2312" w:cs="仿宋_GB2312"/>
          <w:color w:val="000000" w:themeColor="text1"/>
          <w:sz w:val="32"/>
          <w:highlight w:val="none"/>
          <w14:textFill>
            <w14:solidFill>
              <w14:schemeClr w14:val="tx1"/>
            </w14:solidFill>
          </w14:textFill>
        </w:rPr>
        <w:t>。结合柳州市“一核两翼”</w:t>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Style w:val="20"/>
          <w:rFonts w:hint="eastAsia" w:ascii="仿宋_GB2312" w:hAnsi="仿宋_GB2312" w:eastAsia="仿宋_GB2312" w:cs="仿宋_GB2312"/>
          <w:color w:val="000000" w:themeColor="text1"/>
          <w:sz w:val="32"/>
          <w:highlight w:val="none"/>
          <w14:textFill>
            <w14:solidFill>
              <w14:schemeClr w14:val="tx1"/>
            </w14:solidFill>
          </w14:textFill>
        </w:rPr>
        <w:endnoteReference w:id="1"/>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空间布局，充分发挥柳城县区位优势，加快区域边界融合、区域联动共建，推动空间规划衔接、交通对接、区域开发、城市建设、园区合作、招商合作、投融资平台共建共享，推进产业承接、链接配套、错位联动、融合发展，形成区域主导产业高度契合的发展新态势。升级柳城县特色优势</w:t>
      </w:r>
      <w:r>
        <w:rPr>
          <w:rFonts w:hint="eastAsia" w:ascii="仿宋_GB2312" w:hAnsi="仿宋_GB2312" w:eastAsia="仿宋_GB2312" w:cs="仿宋_GB2312"/>
          <w:color w:val="000000" w:themeColor="text1"/>
          <w:sz w:val="32"/>
          <w:highlight w:val="none"/>
          <w:lang w:eastAsia="zh-Hans"/>
          <w14:textFill>
            <w14:solidFill>
              <w14:schemeClr w14:val="tx1"/>
            </w14:solidFill>
          </w14:textFill>
        </w:rPr>
        <w:t>支柱</w:t>
      </w:r>
      <w:r>
        <w:rPr>
          <w:rFonts w:hint="eastAsia" w:ascii="仿宋_GB2312" w:hAnsi="仿宋_GB2312" w:eastAsia="仿宋_GB2312" w:cs="仿宋_GB2312"/>
          <w:color w:val="000000" w:themeColor="text1"/>
          <w:sz w:val="32"/>
          <w:highlight w:val="none"/>
          <w14:textFill>
            <w14:solidFill>
              <w14:schemeClr w14:val="tx1"/>
            </w14:solidFill>
          </w14:textFill>
        </w:rPr>
        <w:t>产业，培育新兴产业</w:t>
      </w:r>
      <w:r>
        <w:rPr>
          <w:rFonts w:hint="eastAsia" w:ascii="仿宋_GB2312" w:hAnsi="仿宋_GB2312" w:eastAsia="仿宋_GB2312" w:cs="仿宋_GB2312"/>
          <w:color w:val="000000" w:themeColor="text1"/>
          <w:sz w:val="32"/>
          <w:highlight w:val="none"/>
          <w:lang w:eastAsia="zh-Hans"/>
          <w14:textFill>
            <w14:solidFill>
              <w14:schemeClr w14:val="tx1"/>
            </w14:solidFill>
          </w14:textFill>
        </w:rPr>
        <w:t>和未来产业</w:t>
      </w:r>
      <w:r>
        <w:rPr>
          <w:rFonts w:hint="eastAsia" w:ascii="仿宋_GB2312" w:hAnsi="仿宋_GB2312" w:eastAsia="仿宋_GB2312" w:cs="仿宋_GB2312"/>
          <w:color w:val="000000" w:themeColor="text1"/>
          <w:sz w:val="32"/>
          <w:highlight w:val="none"/>
          <w14:textFill>
            <w14:solidFill>
              <w14:schemeClr w14:val="tx1"/>
            </w14:solidFill>
          </w14:textFill>
        </w:rPr>
        <w:t>，加快推进产业集聚、集群发展。完善工业园区产业发展规划，增强园区承载力，打造产业转移承接地，加强对粤港澳大湾区、长三角等发达地区定向招商力度，继续实施“三企入桂”</w:t>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Style w:val="20"/>
          <w:rFonts w:hint="eastAsia" w:ascii="仿宋_GB2312" w:hAnsi="仿宋_GB2312" w:eastAsia="仿宋_GB2312" w:cs="仿宋_GB2312"/>
          <w:color w:val="000000" w:themeColor="text1"/>
          <w:sz w:val="32"/>
          <w:highlight w:val="none"/>
          <w14:textFill>
            <w14:solidFill>
              <w14:schemeClr w14:val="tx1"/>
            </w14:solidFill>
          </w14:textFill>
        </w:rPr>
        <w:endnoteReference w:id="2"/>
      </w:r>
      <w:r>
        <w:rPr>
          <w:rStyle w:val="20"/>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行动，引进一批关联度大、技术含量高、上下游衔接好的产业企业落地发展</w:t>
      </w:r>
      <w:r>
        <w:rPr>
          <w:rFonts w:hint="default"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打造柳州工业高质量发展主要拓展区，柳州螺蛳粉原料生产基地</w:t>
      </w:r>
      <w:r>
        <w:rPr>
          <w:rFonts w:hint="eastAsia" w:ascii="仿宋_GB2312" w:hAnsi="仿宋_GB2312" w:eastAsia="仿宋_GB2312" w:cs="仿宋_GB2312"/>
          <w:color w:val="000000" w:themeColor="text1"/>
          <w:spacing w:val="-4"/>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广西精细化工产业基地和承接精细化工产业转移区。</w:t>
      </w:r>
    </w:p>
    <w:p w14:paraId="43AC20C3">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auto"/>
          <w:highlight w:val="none"/>
          <w:lang w:val="en-US" w:eastAsia="zh-Hans"/>
        </w:rPr>
      </w:pPr>
      <w:bookmarkStart w:id="47" w:name="_Toc303012396"/>
      <w:bookmarkStart w:id="48" w:name="_Toc1262863528"/>
      <w:r>
        <w:rPr>
          <w:rFonts w:hint="eastAsia" w:ascii="楷体" w:hAnsi="楷体" w:eastAsia="楷体" w:cs="楷体"/>
          <w:color w:val="auto"/>
          <w:highlight w:val="none"/>
          <w:lang w:val="en-US" w:eastAsia="zh-Hans"/>
        </w:rPr>
        <w:t>第二节</w:t>
      </w:r>
      <w:r>
        <w:rPr>
          <w:rFonts w:hint="eastAsia" w:ascii="楷体" w:hAnsi="楷体" w:eastAsia="楷体" w:cs="楷体"/>
          <w:color w:val="auto"/>
          <w:highlight w:val="none"/>
          <w:lang w:val="en-US" w:eastAsia="zh-CN"/>
        </w:rPr>
        <w:t xml:space="preserve"> </w:t>
      </w:r>
      <w:r>
        <w:rPr>
          <w:rFonts w:hint="eastAsia" w:ascii="楷体" w:hAnsi="楷体" w:eastAsia="楷体" w:cs="楷体"/>
          <w:color w:val="auto"/>
          <w:highlight w:val="none"/>
          <w:lang w:val="en-US" w:eastAsia="zh-Hans"/>
        </w:rPr>
        <w:t>全面推进现代化基础设施建设</w:t>
      </w:r>
      <w:bookmarkEnd w:id="47"/>
    </w:p>
    <w:p w14:paraId="2402D2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10"/>
          <w:sz w:val="32"/>
          <w:szCs w:val="32"/>
          <w:highlight w:val="none"/>
          <w:lang w:val="en-US" w:eastAsia="zh-CN"/>
        </w:rPr>
      </w:pPr>
      <w:bookmarkStart w:id="49" w:name="_Toc11297"/>
      <w:r>
        <w:rPr>
          <w:rFonts w:hint="eastAsia" w:ascii="仿宋_GB2312" w:hAnsi="仿宋_GB2312" w:eastAsia="仿宋_GB2312" w:cs="仿宋_GB2312"/>
          <w:b w:val="0"/>
          <w:bCs w:val="0"/>
          <w:color w:val="auto"/>
          <w:kern w:val="10"/>
          <w:sz w:val="32"/>
          <w:szCs w:val="32"/>
          <w:highlight w:val="none"/>
          <w:lang w:val="en-US" w:eastAsia="zh-CN"/>
        </w:rPr>
        <w:t>加快传统基础设施更新和数智化改造，系统布局新型基础设施，加快信息通信网络建设。</w:t>
      </w:r>
    </w:p>
    <w:p w14:paraId="3C65DC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10"/>
          <w:sz w:val="32"/>
          <w:szCs w:val="32"/>
          <w:highlight w:val="none"/>
          <w:lang w:val="en-US" w:eastAsia="zh-CN"/>
        </w:rPr>
      </w:pPr>
      <w:r>
        <w:rPr>
          <w:rFonts w:hint="eastAsia" w:ascii="仿宋_GB2312" w:hAnsi="仿宋_GB2312" w:eastAsia="仿宋_GB2312" w:cs="仿宋_GB2312"/>
          <w:b/>
          <w:bCs/>
          <w:color w:val="auto"/>
          <w:kern w:val="10"/>
          <w:sz w:val="32"/>
          <w:szCs w:val="32"/>
          <w:highlight w:val="none"/>
          <w:lang w:val="en-US" w:eastAsia="zh-CN"/>
        </w:rPr>
        <w:t>构建现代化综合交通运输</w:t>
      </w:r>
      <w:r>
        <w:rPr>
          <w:rFonts w:hint="eastAsia" w:ascii="仿宋_GB2312" w:hAnsi="仿宋_GB2312" w:eastAsia="仿宋_GB2312" w:cs="仿宋_GB2312"/>
          <w:b/>
          <w:bCs/>
          <w:color w:val="auto"/>
          <w:kern w:val="10"/>
          <w:sz w:val="32"/>
          <w:szCs w:val="32"/>
          <w:highlight w:val="none"/>
          <w:lang w:val="en-US" w:eastAsia="zh-Hans"/>
        </w:rPr>
        <w:t>网</w:t>
      </w:r>
      <w:r>
        <w:rPr>
          <w:rFonts w:hint="default" w:ascii="仿宋_GB2312" w:hAnsi="仿宋_GB2312" w:eastAsia="仿宋_GB2312" w:cs="仿宋_GB2312"/>
          <w:b/>
          <w:bCs/>
          <w:color w:val="auto"/>
          <w:kern w:val="10"/>
          <w:sz w:val="32"/>
          <w:szCs w:val="32"/>
          <w:highlight w:val="none"/>
          <w:lang w:eastAsia="zh-CN"/>
        </w:rPr>
        <w:t>。</w:t>
      </w:r>
      <w:r>
        <w:rPr>
          <w:rFonts w:hint="eastAsia" w:ascii="仿宋_GB2312" w:hAnsi="仿宋_GB2312" w:eastAsia="仿宋_GB2312" w:cs="仿宋_GB2312"/>
          <w:b w:val="0"/>
          <w:bCs w:val="0"/>
          <w:color w:val="auto"/>
          <w:kern w:val="10"/>
          <w:sz w:val="32"/>
          <w:szCs w:val="32"/>
          <w:highlight w:val="none"/>
          <w:lang w:val="en-US" w:eastAsia="zh-CN"/>
        </w:rPr>
        <w:t>加强铁路建设，争取规划建设连接周边城市的铁路项目，提升铁路运输服务水平。加快公路建设，推进高速公路互联互通，完善县域公路网，提升公路等级和通行能力。推进城乡客运一体化发展，完善城乡客运网络，提高城乡客运服务质量和覆盖率。加强货运物流通道建设，完善货运站场设施，提升货运物流效率。</w:t>
      </w:r>
    </w:p>
    <w:tbl>
      <w:tblPr>
        <w:tblStyle w:val="17"/>
        <w:tblW w:w="8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
        <w:gridCol w:w="1333"/>
        <w:gridCol w:w="6116"/>
      </w:tblGrid>
      <w:tr w14:paraId="5D620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33" w:type="dxa"/>
            <w:gridSpan w:val="3"/>
            <w:tcBorders>
              <w:top w:val="single" w:color="000000" w:sz="4" w:space="0"/>
              <w:left w:val="single" w:color="000000" w:sz="4" w:space="0"/>
              <w:bottom w:val="single" w:color="000000" w:sz="4" w:space="0"/>
              <w:right w:val="single" w:color="000000" w:sz="4" w:space="0"/>
            </w:tcBorders>
            <w:noWrap/>
            <w:vAlign w:val="center"/>
          </w:tcPr>
          <w:p w14:paraId="1A2F4B4F">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kern w:val="0"/>
                <w:sz w:val="24"/>
                <w:szCs w:val="24"/>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专栏</w:t>
            </w:r>
            <w:r>
              <w:rPr>
                <w:rFonts w:hint="default" w:ascii="黑体" w:hAnsi="宋体" w:eastAsia="黑体" w:cs="黑体"/>
                <w:i w:val="0"/>
                <w:iCs w:val="0"/>
                <w:color w:val="auto"/>
                <w:kern w:val="0"/>
                <w:sz w:val="28"/>
                <w:szCs w:val="28"/>
                <w:highlight w:val="none"/>
                <w:u w:val="none"/>
                <w:lang w:eastAsia="zh-CN" w:bidi="ar"/>
              </w:rPr>
              <w:t>8：</w:t>
            </w:r>
            <w:r>
              <w:rPr>
                <w:rFonts w:hint="eastAsia" w:ascii="黑体" w:hAnsi="宋体" w:eastAsia="黑体" w:cs="黑体"/>
                <w:i w:val="0"/>
                <w:iCs w:val="0"/>
                <w:color w:val="auto"/>
                <w:kern w:val="0"/>
                <w:sz w:val="28"/>
                <w:szCs w:val="28"/>
                <w:highlight w:val="none"/>
                <w:u w:val="none"/>
                <w:lang w:val="en-US" w:eastAsia="zh-CN" w:bidi="ar"/>
              </w:rPr>
              <w:t xml:space="preserve">  柳城县“十五五”时期现代化综合交通运输</w:t>
            </w:r>
            <w:r>
              <w:rPr>
                <w:rFonts w:hint="eastAsia" w:ascii="黑体" w:hAnsi="宋体" w:eastAsia="黑体" w:cs="黑体"/>
                <w:i w:val="0"/>
                <w:iCs w:val="0"/>
                <w:color w:val="auto"/>
                <w:kern w:val="0"/>
                <w:sz w:val="28"/>
                <w:szCs w:val="28"/>
                <w:highlight w:val="none"/>
                <w:u w:val="none"/>
                <w:lang w:val="en-US" w:eastAsia="zh-Hans" w:bidi="ar"/>
              </w:rPr>
              <w:t>网</w:t>
            </w:r>
          </w:p>
        </w:tc>
      </w:tr>
      <w:tr w14:paraId="4A7D7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17" w:type="dxa"/>
            <w:gridSpan w:val="2"/>
            <w:tcBorders>
              <w:top w:val="single" w:color="000000" w:sz="4" w:space="0"/>
              <w:left w:val="single" w:color="000000" w:sz="4" w:space="0"/>
              <w:bottom w:val="single" w:color="000000" w:sz="4" w:space="0"/>
              <w:right w:val="single" w:color="000000" w:sz="4" w:space="0"/>
            </w:tcBorders>
            <w:noWrap/>
            <w:vAlign w:val="center"/>
          </w:tcPr>
          <w:p w14:paraId="50C5E4D7">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kern w:val="0"/>
                <w:sz w:val="24"/>
                <w:szCs w:val="24"/>
                <w:highlight w:val="none"/>
                <w:u w:val="none"/>
                <w:lang w:val="en-US" w:eastAsia="zh-Hans" w:bidi="ar"/>
              </w:rPr>
            </w:pPr>
            <w:r>
              <w:rPr>
                <w:rFonts w:hint="eastAsia" w:ascii="黑体" w:hAnsi="宋体" w:eastAsia="黑体" w:cs="黑体"/>
                <w:i w:val="0"/>
                <w:iCs w:val="0"/>
                <w:color w:val="auto"/>
                <w:kern w:val="0"/>
                <w:sz w:val="24"/>
                <w:szCs w:val="24"/>
                <w:highlight w:val="none"/>
                <w:u w:val="none"/>
                <w:lang w:val="en-US" w:eastAsia="zh-Hans" w:bidi="ar"/>
              </w:rPr>
              <w:t>类别</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118C02F8">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黑体" w:hAnsi="宋体" w:eastAsia="黑体" w:cs="黑体"/>
                <w:i w:val="0"/>
                <w:iCs w:val="0"/>
                <w:color w:val="auto"/>
                <w:sz w:val="24"/>
                <w:szCs w:val="24"/>
                <w:highlight w:val="none"/>
                <w:u w:val="none"/>
                <w:lang w:eastAsia="zh-Hans"/>
              </w:rPr>
            </w:pPr>
            <w:r>
              <w:rPr>
                <w:rFonts w:hint="eastAsia" w:ascii="黑体" w:hAnsi="宋体" w:eastAsia="黑体" w:cs="黑体"/>
                <w:i w:val="0"/>
                <w:iCs w:val="0"/>
                <w:color w:val="auto"/>
                <w:kern w:val="0"/>
                <w:sz w:val="24"/>
                <w:szCs w:val="24"/>
                <w:highlight w:val="none"/>
                <w:u w:val="none"/>
                <w:lang w:val="en-US" w:eastAsia="zh-Hans" w:bidi="ar"/>
              </w:rPr>
              <w:t>主要布局内容</w:t>
            </w:r>
          </w:p>
        </w:tc>
      </w:tr>
      <w:tr w14:paraId="456B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17" w:type="dxa"/>
            <w:gridSpan w:val="2"/>
            <w:tcBorders>
              <w:top w:val="single" w:color="000000" w:sz="4" w:space="0"/>
              <w:left w:val="single" w:color="000000" w:sz="4" w:space="0"/>
              <w:bottom w:val="single" w:color="000000" w:sz="4" w:space="0"/>
              <w:right w:val="single" w:color="000000" w:sz="4" w:space="0"/>
            </w:tcBorders>
            <w:noWrap/>
            <w:vAlign w:val="center"/>
          </w:tcPr>
          <w:p w14:paraId="02095D97">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铁路</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6DC0996A">
            <w:pPr>
              <w:keepNext w:val="0"/>
              <w:keepLines w:val="0"/>
              <w:pageBreakBefore w:val="0"/>
              <w:widowControl/>
              <w:suppressLineNumbers w:val="0"/>
              <w:kinsoku/>
              <w:wordWrap/>
              <w:overflowPunct/>
              <w:topLinePunct w:val="0"/>
              <w:autoSpaceDE/>
              <w:autoSpaceDN/>
              <w:bidi w:val="0"/>
              <w:adjustRightInd/>
              <w:snapToGrid/>
              <w:spacing w:line="288" w:lineRule="auto"/>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主动对接西部大开发战略，积极融入西部陆海新通道，补齐铁路货物运输短板，解决</w:t>
            </w:r>
            <w:r>
              <w:rPr>
                <w:rFonts w:hint="default" w:ascii="宋体" w:hAnsi="宋体" w:eastAsia="宋体" w:cs="宋体"/>
                <w:i w:val="0"/>
                <w:iCs w:val="0"/>
                <w:color w:val="auto"/>
                <w:kern w:val="0"/>
                <w:sz w:val="21"/>
                <w:szCs w:val="21"/>
                <w:highlight w:val="none"/>
                <w:u w:val="none"/>
                <w:lang w:val="en-US" w:eastAsia="zh-CN" w:bidi="ar"/>
              </w:rPr>
              <w:t>柳城县</w:t>
            </w:r>
            <w:r>
              <w:rPr>
                <w:rFonts w:hint="eastAsia" w:ascii="宋体" w:hAnsi="宋体" w:eastAsia="宋体" w:cs="宋体"/>
                <w:i w:val="0"/>
                <w:iCs w:val="0"/>
                <w:color w:val="auto"/>
                <w:kern w:val="0"/>
                <w:sz w:val="21"/>
                <w:szCs w:val="21"/>
                <w:highlight w:val="none"/>
                <w:u w:val="none"/>
                <w:lang w:val="en-US" w:eastAsia="zh-CN" w:bidi="ar"/>
              </w:rPr>
              <w:t>交通运输方式单一、当前企业货运能力弱、物流成本高等问题，带动和促进柳城县产业集聚发展、提质升级，进一步延长产业链。推进实施广西柳城西部陆海新通道铁路联运中心（柳城铁路综合物流港）项目建设。积极推进铁路项目建设，</w:t>
            </w:r>
            <w:r>
              <w:rPr>
                <w:rFonts w:hint="default" w:ascii="宋体" w:hAnsi="宋体" w:eastAsia="宋体" w:cs="宋体"/>
                <w:i w:val="0"/>
                <w:iCs w:val="0"/>
                <w:color w:val="auto"/>
                <w:kern w:val="0"/>
                <w:sz w:val="21"/>
                <w:szCs w:val="21"/>
                <w:highlight w:val="none"/>
                <w:u w:val="none"/>
                <w:lang w:val="en-US" w:eastAsia="zh-CN" w:bidi="ar"/>
              </w:rPr>
              <w:t>配合做好黔桂二线改造工程建设工作，</w:t>
            </w:r>
            <w:r>
              <w:rPr>
                <w:rFonts w:hint="default" w:ascii="宋体" w:hAnsi="宋体" w:eastAsia="宋体" w:cs="宋体"/>
                <w:i w:val="0"/>
                <w:iCs w:val="0"/>
                <w:color w:val="auto"/>
                <w:kern w:val="0"/>
                <w:sz w:val="21"/>
                <w:szCs w:val="21"/>
                <w:highlight w:val="none"/>
                <w:u w:val="none"/>
                <w:lang w:val="en-US" w:eastAsia="zh-CN"/>
              </w:rPr>
              <w:t>推动六塘查岩火车站</w:t>
            </w:r>
            <w:r>
              <w:rPr>
                <w:rFonts w:hint="eastAsia" w:ascii="宋体" w:hAnsi="宋体" w:cs="宋体"/>
                <w:i w:val="0"/>
                <w:iCs w:val="0"/>
                <w:color w:val="auto"/>
                <w:kern w:val="0"/>
                <w:sz w:val="21"/>
                <w:szCs w:val="21"/>
                <w:highlight w:val="none"/>
                <w:u w:val="none"/>
                <w:lang w:val="en-US" w:eastAsia="zh-CN"/>
              </w:rPr>
              <w:t>改造工程及</w:t>
            </w:r>
            <w:r>
              <w:rPr>
                <w:rFonts w:hint="default" w:ascii="宋体" w:hAnsi="宋体" w:eastAsia="宋体" w:cs="宋体"/>
                <w:i w:val="0"/>
                <w:iCs w:val="0"/>
                <w:color w:val="auto"/>
                <w:kern w:val="0"/>
                <w:sz w:val="21"/>
                <w:szCs w:val="21"/>
                <w:highlight w:val="none"/>
                <w:u w:val="none"/>
                <w:lang w:val="en-US" w:eastAsia="zh-CN"/>
              </w:rPr>
              <w:t>恢复开通货运业务。</w:t>
            </w:r>
          </w:p>
        </w:tc>
      </w:tr>
      <w:tr w14:paraId="05A3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4" w:type="dxa"/>
            <w:vMerge w:val="restart"/>
            <w:tcBorders>
              <w:top w:val="single" w:color="000000" w:sz="4" w:space="0"/>
              <w:left w:val="single" w:color="000000" w:sz="4" w:space="0"/>
              <w:right w:val="single" w:color="auto" w:sz="4" w:space="0"/>
            </w:tcBorders>
            <w:noWrap/>
            <w:vAlign w:val="center"/>
          </w:tcPr>
          <w:p w14:paraId="408F259E">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sz w:val="21"/>
                <w:szCs w:val="21"/>
                <w:highlight w:val="none"/>
                <w:u w:val="none"/>
                <w:lang w:eastAsia="zh-Hans"/>
              </w:rPr>
            </w:pPr>
            <w:r>
              <w:rPr>
                <w:rFonts w:hint="eastAsia" w:ascii="宋体" w:hAnsi="宋体" w:eastAsia="宋体" w:cs="宋体"/>
                <w:i w:val="0"/>
                <w:iCs w:val="0"/>
                <w:color w:val="auto"/>
                <w:kern w:val="0"/>
                <w:sz w:val="21"/>
                <w:szCs w:val="21"/>
                <w:highlight w:val="none"/>
                <w:u w:val="none"/>
                <w:lang w:val="en-US" w:eastAsia="zh-Hans" w:bidi="ar"/>
              </w:rPr>
              <w:t>公路</w:t>
            </w:r>
          </w:p>
        </w:tc>
        <w:tc>
          <w:tcPr>
            <w:tcW w:w="1333" w:type="dxa"/>
            <w:tcBorders>
              <w:top w:val="single" w:color="000000" w:sz="4" w:space="0"/>
              <w:left w:val="single" w:color="auto" w:sz="4" w:space="0"/>
              <w:bottom w:val="single" w:color="000000" w:sz="4" w:space="0"/>
              <w:right w:val="single" w:color="000000" w:sz="4" w:space="0"/>
            </w:tcBorders>
            <w:noWrap/>
            <w:vAlign w:val="center"/>
          </w:tcPr>
          <w:p w14:paraId="6F556A99">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高速公路</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54EA95BD">
            <w:pPr>
              <w:keepNext w:val="0"/>
              <w:keepLines w:val="0"/>
              <w:pageBreakBefore w:val="0"/>
              <w:widowControl/>
              <w:suppressLineNumbers w:val="0"/>
              <w:kinsoku/>
              <w:wordWrap/>
              <w:overflowPunct/>
              <w:topLinePunct w:val="0"/>
              <w:autoSpaceDE/>
              <w:autoSpaceDN/>
              <w:bidi w:val="0"/>
              <w:adjustRightInd/>
              <w:snapToGrid/>
              <w:spacing w:line="288" w:lineRule="auto"/>
              <w:ind w:firstLine="420" w:firstLineChars="200"/>
              <w:jc w:val="both"/>
              <w:textAlignment w:val="center"/>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积极构建“二横二纵”高速公路网络结构，加大高速公路网密度，为加快柳城融入柳州市同城化发展及与周边市县构建快速通道提供交通条件。配合实施桂林至钦州港公路（永福三皇至柳州段）、柳州高速过境线公路（罗城经柳城至鹿寨段）项目施工建设。</w:t>
            </w:r>
          </w:p>
        </w:tc>
      </w:tr>
      <w:tr w14:paraId="6ED7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4" w:type="dxa"/>
            <w:vMerge w:val="continue"/>
            <w:tcBorders>
              <w:left w:val="single" w:color="000000" w:sz="4" w:space="0"/>
              <w:right w:val="single" w:color="auto" w:sz="4" w:space="0"/>
            </w:tcBorders>
            <w:noWrap/>
            <w:vAlign w:val="center"/>
          </w:tcPr>
          <w:p w14:paraId="7E02DBD6">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sz w:val="21"/>
                <w:szCs w:val="21"/>
                <w:highlight w:val="none"/>
                <w:u w:val="none"/>
              </w:rPr>
            </w:pPr>
          </w:p>
        </w:tc>
        <w:tc>
          <w:tcPr>
            <w:tcW w:w="1333" w:type="dxa"/>
            <w:tcBorders>
              <w:top w:val="single" w:color="000000" w:sz="4" w:space="0"/>
              <w:left w:val="single" w:color="auto" w:sz="4" w:space="0"/>
              <w:bottom w:val="single" w:color="000000" w:sz="4" w:space="0"/>
              <w:right w:val="single" w:color="000000" w:sz="4" w:space="0"/>
            </w:tcBorders>
            <w:noWrap/>
            <w:vAlign w:val="center"/>
          </w:tcPr>
          <w:p w14:paraId="3ADDEFFD">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国省道公路</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589115AA">
            <w:pPr>
              <w:keepNext w:val="0"/>
              <w:keepLines w:val="0"/>
              <w:pageBreakBefore w:val="0"/>
              <w:widowControl/>
              <w:suppressLineNumbers w:val="0"/>
              <w:kinsoku/>
              <w:wordWrap/>
              <w:overflowPunct/>
              <w:topLinePunct w:val="0"/>
              <w:autoSpaceDE/>
              <w:autoSpaceDN/>
              <w:bidi w:val="0"/>
              <w:adjustRightInd/>
              <w:snapToGrid/>
              <w:spacing w:line="288" w:lineRule="auto"/>
              <w:ind w:firstLine="420" w:firstLineChars="2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对县域内主要国省道进行改建和提级改造，完善城镇过境路网，解决过境交通拥堵问题，提高区域通行条件。加快推进G323柳城绕城公路二期工程、G323寨隆镇绕城公路、G209太平镇绕城公路前期工作，争取纳入国道规划实施；</w:t>
            </w:r>
            <w:r>
              <w:rPr>
                <w:rFonts w:hint="default" w:ascii="宋体" w:hAnsi="宋体" w:eastAsia="宋体" w:cs="宋体"/>
                <w:i w:val="0"/>
                <w:iCs w:val="0"/>
                <w:color w:val="auto"/>
                <w:kern w:val="0"/>
                <w:sz w:val="21"/>
                <w:szCs w:val="21"/>
                <w:highlight w:val="none"/>
                <w:u w:val="none"/>
                <w:lang w:val="en-US" w:eastAsia="zh-CN" w:bidi="ar"/>
              </w:rPr>
              <w:t>向上级争取加快</w:t>
            </w:r>
            <w:r>
              <w:rPr>
                <w:rFonts w:hint="eastAsia" w:ascii="宋体" w:hAnsi="宋体" w:eastAsia="宋体" w:cs="宋体"/>
                <w:i w:val="0"/>
                <w:iCs w:val="0"/>
                <w:color w:val="auto"/>
                <w:kern w:val="0"/>
                <w:sz w:val="21"/>
                <w:szCs w:val="21"/>
                <w:highlight w:val="none"/>
                <w:u w:val="none"/>
                <w:lang w:val="en-US" w:eastAsia="zh-CN" w:bidi="ar"/>
              </w:rPr>
              <w:t>推进G323柳城六塘至宜州三岔公路、S210融水和睦至柳城二级公路项目前期及建设工作。</w:t>
            </w:r>
          </w:p>
        </w:tc>
      </w:tr>
      <w:tr w14:paraId="54C1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4" w:type="dxa"/>
            <w:vMerge w:val="continue"/>
            <w:tcBorders>
              <w:left w:val="single" w:color="000000" w:sz="4" w:space="0"/>
              <w:bottom w:val="single" w:color="000000" w:sz="4" w:space="0"/>
              <w:right w:val="single" w:color="auto" w:sz="4" w:space="0"/>
            </w:tcBorders>
            <w:noWrap/>
            <w:vAlign w:val="center"/>
          </w:tcPr>
          <w:p w14:paraId="16A555C7">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sz w:val="21"/>
                <w:szCs w:val="21"/>
                <w:highlight w:val="none"/>
                <w:u w:val="none"/>
              </w:rPr>
            </w:pPr>
          </w:p>
        </w:tc>
        <w:tc>
          <w:tcPr>
            <w:tcW w:w="1333" w:type="dxa"/>
            <w:tcBorders>
              <w:top w:val="single" w:color="000000" w:sz="4" w:space="0"/>
              <w:left w:val="single" w:color="auto" w:sz="4" w:space="0"/>
              <w:bottom w:val="single" w:color="000000" w:sz="4" w:space="0"/>
              <w:right w:val="single" w:color="000000" w:sz="4" w:space="0"/>
            </w:tcBorders>
            <w:noWrap/>
            <w:vAlign w:val="center"/>
          </w:tcPr>
          <w:p w14:paraId="43477C6D">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农村公路</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768F9CAB">
            <w:pPr>
              <w:keepNext w:val="0"/>
              <w:keepLines w:val="0"/>
              <w:pageBreakBefore w:val="0"/>
              <w:widowControl/>
              <w:suppressLineNumbers w:val="0"/>
              <w:kinsoku/>
              <w:wordWrap/>
              <w:overflowPunct/>
              <w:topLinePunct w:val="0"/>
              <w:autoSpaceDE/>
              <w:autoSpaceDN/>
              <w:bidi w:val="0"/>
              <w:adjustRightInd/>
              <w:snapToGrid/>
              <w:spacing w:line="288" w:lineRule="auto"/>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实施一批县乡联网路、旅游路等重点公路建设。推进凤山至社冲公路、四塘至六塘公路</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rPr>
              <w:t>寨隆至保门公路、</w:t>
            </w:r>
            <w:r>
              <w:rPr>
                <w:rFonts w:hint="eastAsia" w:asciiTheme="minorEastAsia" w:hAnsiTheme="minorEastAsia" w:eastAsiaTheme="minorEastAsia" w:cstheme="minorEastAsia"/>
                <w:i w:val="0"/>
                <w:iCs w:val="0"/>
                <w:color w:val="auto"/>
                <w:sz w:val="21"/>
                <w:szCs w:val="21"/>
                <w:u w:val="none"/>
              </w:rPr>
              <w:t>罗城港（罗城）至洛崖（柳城）</w:t>
            </w:r>
            <w:r>
              <w:rPr>
                <w:rFonts w:hint="eastAsia" w:asciiTheme="minorEastAsia" w:hAnsiTheme="minorEastAsia" w:eastAsiaTheme="minorEastAsia" w:cstheme="minorEastAsia"/>
                <w:i w:val="0"/>
                <w:iCs w:val="0"/>
                <w:color w:val="auto"/>
                <w:sz w:val="21"/>
                <w:szCs w:val="21"/>
                <w:u w:val="none"/>
                <w:lang w:eastAsia="zh-CN"/>
              </w:rPr>
              <w:t>、</w:t>
            </w:r>
            <w:r>
              <w:rPr>
                <w:rFonts w:hint="eastAsia" w:asciiTheme="minorEastAsia" w:hAnsiTheme="minorEastAsia" w:eastAsiaTheme="minorEastAsia" w:cstheme="minorEastAsia"/>
                <w:i w:val="0"/>
                <w:iCs w:val="0"/>
                <w:color w:val="auto"/>
                <w:sz w:val="21"/>
                <w:szCs w:val="21"/>
                <w:u w:val="none"/>
              </w:rPr>
              <w:t>潘换至洛崖段公路</w:t>
            </w:r>
            <w:r>
              <w:rPr>
                <w:rFonts w:hint="eastAsia" w:ascii="宋体" w:hAnsi="宋体" w:eastAsia="宋体" w:cs="宋体"/>
                <w:i w:val="0"/>
                <w:iCs w:val="0"/>
                <w:color w:val="auto"/>
                <w:kern w:val="0"/>
                <w:sz w:val="21"/>
                <w:szCs w:val="21"/>
                <w:highlight w:val="none"/>
                <w:u w:val="none"/>
                <w:lang w:val="en-US" w:eastAsia="zh-CN" w:bidi="ar"/>
              </w:rPr>
              <w:t>等提级改造建设。加强现有重点路网的大修及养护，实施龙美至潘换、东泉至柳东、凤山头塘至三塘的大修工程，推动一批双车道改造建设。围绕重点旅游景区</w:t>
            </w:r>
            <w:r>
              <w:rPr>
                <w:rFonts w:hint="default" w:ascii="宋体" w:hAnsi="宋体" w:eastAsia="宋体" w:cs="宋体"/>
                <w:i w:val="0"/>
                <w:iCs w:val="0"/>
                <w:color w:val="auto"/>
                <w:kern w:val="0"/>
                <w:sz w:val="21"/>
                <w:szCs w:val="21"/>
                <w:highlight w:val="none"/>
                <w:u w:val="none"/>
                <w:lang w:eastAsia="zh-CN" w:bidi="ar"/>
              </w:rPr>
              <w:t>，</w:t>
            </w:r>
            <w:r>
              <w:rPr>
                <w:rFonts w:hint="eastAsia" w:ascii="宋体" w:hAnsi="宋体" w:eastAsia="宋体" w:cs="宋体"/>
                <w:i w:val="0"/>
                <w:iCs w:val="0"/>
                <w:color w:val="auto"/>
                <w:kern w:val="0"/>
                <w:sz w:val="21"/>
                <w:szCs w:val="21"/>
                <w:highlight w:val="none"/>
                <w:u w:val="none"/>
                <w:lang w:val="en-US" w:eastAsia="zh-CN" w:bidi="ar"/>
              </w:rPr>
              <w:t>实施</w:t>
            </w:r>
            <w:r>
              <w:rPr>
                <w:rFonts w:hint="eastAsia" w:ascii="宋体" w:hAnsi="宋体" w:cs="宋体"/>
                <w:i w:val="0"/>
                <w:iCs w:val="0"/>
                <w:color w:val="auto"/>
                <w:kern w:val="0"/>
                <w:sz w:val="21"/>
                <w:szCs w:val="21"/>
                <w:highlight w:val="none"/>
                <w:u w:val="none"/>
                <w:lang w:val="en-US" w:eastAsia="zh-CN"/>
              </w:rPr>
              <w:t>柳城县红马山景区旅游公路（G209—景区门口）、柳城县崖山休闲农庄旅游公路、知青城至县道公路等</w:t>
            </w:r>
            <w:r>
              <w:rPr>
                <w:rFonts w:hint="eastAsia" w:ascii="宋体" w:hAnsi="宋体" w:eastAsia="宋体" w:cs="宋体"/>
                <w:i w:val="0"/>
                <w:iCs w:val="0"/>
                <w:color w:val="auto"/>
                <w:kern w:val="0"/>
                <w:sz w:val="21"/>
                <w:szCs w:val="21"/>
                <w:highlight w:val="none"/>
                <w:u w:val="none"/>
                <w:lang w:val="en-US" w:eastAsia="zh-CN" w:bidi="ar"/>
              </w:rPr>
              <w:t>一批景区与干线公路连接的旅游公路建设。</w:t>
            </w:r>
          </w:p>
        </w:tc>
      </w:tr>
      <w:tr w14:paraId="2D976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17" w:type="dxa"/>
            <w:gridSpan w:val="2"/>
            <w:tcBorders>
              <w:top w:val="single" w:color="000000" w:sz="4" w:space="0"/>
              <w:left w:val="single" w:color="000000" w:sz="4" w:space="0"/>
              <w:bottom w:val="single" w:color="000000" w:sz="4" w:space="0"/>
              <w:right w:val="single" w:color="000000" w:sz="4" w:space="0"/>
            </w:tcBorders>
            <w:noWrap/>
            <w:vAlign w:val="center"/>
          </w:tcPr>
          <w:p w14:paraId="05030151">
            <w:pPr>
              <w:keepNext w:val="0"/>
              <w:keepLines w:val="0"/>
              <w:pageBreakBefore w:val="0"/>
              <w:widowControl/>
              <w:suppressLineNumbers w:val="0"/>
              <w:kinsoku/>
              <w:wordWrap/>
              <w:overflowPunct/>
              <w:topLinePunct w:val="0"/>
              <w:autoSpaceDE/>
              <w:autoSpaceDN/>
              <w:bidi w:val="0"/>
              <w:adjustRightInd/>
              <w:snapToGrid/>
              <w:spacing w:line="288"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水运</w:t>
            </w:r>
          </w:p>
        </w:tc>
        <w:tc>
          <w:tcPr>
            <w:tcW w:w="6116" w:type="dxa"/>
            <w:tcBorders>
              <w:top w:val="single" w:color="000000" w:sz="4" w:space="0"/>
              <w:left w:val="single" w:color="000000" w:sz="4" w:space="0"/>
              <w:bottom w:val="single" w:color="000000" w:sz="4" w:space="0"/>
              <w:right w:val="single" w:color="000000" w:sz="4" w:space="0"/>
            </w:tcBorders>
            <w:noWrap/>
            <w:vAlign w:val="center"/>
          </w:tcPr>
          <w:p w14:paraId="7E6999A4">
            <w:pPr>
              <w:keepNext w:val="0"/>
              <w:keepLines w:val="0"/>
              <w:pageBreakBefore w:val="0"/>
              <w:widowControl/>
              <w:suppressLineNumbers w:val="0"/>
              <w:kinsoku/>
              <w:wordWrap/>
              <w:overflowPunct/>
              <w:topLinePunct w:val="0"/>
              <w:autoSpaceDE/>
              <w:autoSpaceDN/>
              <w:bidi w:val="0"/>
              <w:adjustRightInd/>
              <w:snapToGrid/>
              <w:spacing w:line="288" w:lineRule="auto"/>
              <w:ind w:firstLine="420" w:firstLineChars="2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围绕柳州市提升西江经济带龙头城市地位的战略目标，构建与平陆运河有效衔接水路运输，配合实施大埔电站船闸扩建工程，柳江－融江（省界至柳州）航道整治工程，实现省界至凤山三江口全线达到Ⅲ级航道标准，提升融江通航能力和船闸过闸能力，高质量建设西南出海北线通道。加强县城、凤山、社冲、龙头等重点区域货运码头和旅游码头建设，</w:t>
            </w:r>
            <w:r>
              <w:rPr>
                <w:rFonts w:hint="eastAsia" w:ascii="宋体" w:hAnsi="宋体" w:eastAsia="宋体" w:cs="宋体"/>
                <w:i w:val="0"/>
                <w:iCs w:val="0"/>
                <w:color w:val="000000" w:themeColor="text1"/>
                <w:kern w:val="0"/>
                <w:sz w:val="21"/>
                <w:szCs w:val="21"/>
                <w:highlight w:val="none"/>
                <w:u w:val="none"/>
                <w:lang w:val="en-US" w:eastAsia="zh-CN"/>
                <w14:textFill>
                  <w14:solidFill>
                    <w14:schemeClr w14:val="tx1"/>
                  </w14:solidFill>
                </w14:textFill>
              </w:rPr>
              <w:t>促进内河货运和旅游航运发展。</w:t>
            </w:r>
          </w:p>
        </w:tc>
      </w:tr>
    </w:tbl>
    <w:p w14:paraId="2ED517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10"/>
          <w:sz w:val="32"/>
          <w:szCs w:val="32"/>
          <w:highlight w:val="none"/>
          <w:lang w:val="en-US" w:eastAsia="zh-CN"/>
        </w:rPr>
      </w:pPr>
      <w:r>
        <w:rPr>
          <w:rFonts w:hint="eastAsia" w:ascii="仿宋_GB2312" w:hAnsi="仿宋_GB2312" w:eastAsia="仿宋_GB2312" w:cs="仿宋_GB2312"/>
          <w:b/>
          <w:bCs/>
          <w:color w:val="auto"/>
          <w:kern w:val="10"/>
          <w:sz w:val="32"/>
          <w:szCs w:val="32"/>
          <w:highlight w:val="none"/>
          <w:lang w:val="en-US" w:eastAsia="zh-CN"/>
        </w:rPr>
        <w:t>完善水利基础设施</w:t>
      </w:r>
      <w:r>
        <w:rPr>
          <w:rFonts w:hint="eastAsia" w:ascii="仿宋_GB2312" w:hAnsi="仿宋_GB2312" w:eastAsia="仿宋_GB2312" w:cs="仿宋_GB2312"/>
          <w:b/>
          <w:bCs/>
          <w:color w:val="auto"/>
          <w:kern w:val="10"/>
          <w:sz w:val="32"/>
          <w:szCs w:val="32"/>
          <w:highlight w:val="none"/>
          <w:lang w:val="en-US" w:eastAsia="zh-Hans"/>
        </w:rPr>
        <w:t>建设</w:t>
      </w:r>
      <w:r>
        <w:rPr>
          <w:rFonts w:hint="default" w:ascii="仿宋_GB2312" w:hAnsi="仿宋_GB2312" w:eastAsia="仿宋_GB2312" w:cs="仿宋_GB2312"/>
          <w:b/>
          <w:bCs/>
          <w:color w:val="auto"/>
          <w:kern w:val="10"/>
          <w:sz w:val="32"/>
          <w:szCs w:val="32"/>
          <w:highlight w:val="none"/>
          <w:lang w:eastAsia="zh-CN"/>
        </w:rPr>
        <w:t>。</w:t>
      </w:r>
      <w:r>
        <w:rPr>
          <w:rFonts w:hint="eastAsia" w:ascii="仿宋_GB2312" w:hAnsi="仿宋_GB2312" w:eastAsia="仿宋_GB2312" w:cs="仿宋_GB2312"/>
          <w:b w:val="0"/>
          <w:bCs w:val="0"/>
          <w:color w:val="auto"/>
          <w:kern w:val="10"/>
          <w:sz w:val="32"/>
          <w:szCs w:val="32"/>
          <w:highlight w:val="none"/>
          <w:lang w:val="en-US" w:eastAsia="zh-CN"/>
        </w:rPr>
        <w:t>加强水资源优化配置，推进水</w:t>
      </w:r>
    </w:p>
    <w:p w14:paraId="716684C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kern w:val="10"/>
          <w:sz w:val="32"/>
          <w:szCs w:val="32"/>
          <w:highlight w:val="none"/>
          <w:lang w:val="en-US" w:eastAsia="zh-CN"/>
        </w:rPr>
      </w:pPr>
      <w:r>
        <w:rPr>
          <w:rFonts w:hint="eastAsia" w:ascii="仿宋_GB2312" w:hAnsi="仿宋_GB2312" w:eastAsia="仿宋_GB2312" w:cs="仿宋_GB2312"/>
          <w:b w:val="0"/>
          <w:bCs w:val="0"/>
          <w:color w:val="auto"/>
          <w:kern w:val="10"/>
          <w:sz w:val="32"/>
          <w:szCs w:val="32"/>
          <w:highlight w:val="none"/>
          <w:lang w:val="en-US" w:eastAsia="zh-CN"/>
        </w:rPr>
        <w:t>库、引水工程、供水工程建设，提高水资源保障能力。加强防洪抗旱减灾体系建设，实施河道治理、水库除险加固、山洪灾害防治等工程，提升防洪抗旱能力。加强农田水利建设，完善灌溉排水体系，提升农业灌溉保障能力。加强水资源节约与保护，推进节水型社会建设，提高水资源利用效率。加快推进新建河西中型灌区工程，全力配合沙埔河水库及灌区工程建设，争取“十五五”期河西、河东农业灌溉实现旱涝保收。全速推进城乡供水一体化和集镇水厂改造提升工程建设进度，大幅提升农村自来水普及率和规模化供水比例。</w:t>
      </w:r>
    </w:p>
    <w:p w14:paraId="05E6E6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000000" w:themeColor="text1"/>
          <w:kern w:val="1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10"/>
          <w:sz w:val="32"/>
          <w:szCs w:val="32"/>
          <w:highlight w:val="none"/>
          <w:lang w:val="en-US" w:eastAsia="zh-CN"/>
          <w14:textFill>
            <w14:solidFill>
              <w14:schemeClr w14:val="tx1"/>
            </w14:solidFill>
          </w14:textFill>
        </w:rPr>
        <w:t>升级能源基础设施</w:t>
      </w:r>
      <w:r>
        <w:rPr>
          <w:rFonts w:hint="default" w:ascii="仿宋_GB2312" w:hAnsi="仿宋_GB2312" w:eastAsia="仿宋_GB2312" w:cs="仿宋_GB2312"/>
          <w:b/>
          <w:bCs/>
          <w:color w:val="000000" w:themeColor="text1"/>
          <w:kern w:val="1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10"/>
          <w:sz w:val="32"/>
          <w:szCs w:val="32"/>
          <w:highlight w:val="none"/>
          <w:lang w:val="en-US" w:eastAsia="zh-CN"/>
          <w14:textFill>
            <w14:solidFill>
              <w14:schemeClr w14:val="tx1"/>
            </w14:solidFill>
          </w14:textFill>
        </w:rPr>
        <w:t>加强电力基础设施建设，推进输变电工程建设和电网升级改造，提高电网供电可靠性和供电能力。发展可再生能源，推广太阳能、风能、水能等清洁能源，优化能源结构。加强燃气基础设施建设，推进天然气管道铺设，扩大天然气覆盖范围。加强能源储备设施建设，提高能源应急保障能力。</w:t>
      </w:r>
    </w:p>
    <w:p w14:paraId="0EE561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000000" w:themeColor="text1"/>
          <w:kern w:val="1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10"/>
          <w:sz w:val="32"/>
          <w:szCs w:val="32"/>
          <w:highlight w:val="none"/>
          <w:lang w:val="en-US" w:eastAsia="zh-CN"/>
          <w14:textFill>
            <w14:solidFill>
              <w14:schemeClr w14:val="tx1"/>
            </w14:solidFill>
          </w14:textFill>
        </w:rPr>
        <w:t>推进</w:t>
      </w:r>
      <w:r>
        <w:rPr>
          <w:rFonts w:hint="eastAsia" w:ascii="仿宋_GB2312" w:hAnsi="仿宋_GB2312" w:eastAsia="仿宋_GB2312" w:cs="仿宋_GB2312"/>
          <w:b/>
          <w:bCs/>
          <w:color w:val="000000" w:themeColor="text1"/>
          <w:kern w:val="10"/>
          <w:sz w:val="32"/>
          <w:szCs w:val="32"/>
          <w:highlight w:val="none"/>
          <w:lang w:val="en-US" w:eastAsia="zh-Hans"/>
          <w14:textFill>
            <w14:solidFill>
              <w14:schemeClr w14:val="tx1"/>
            </w14:solidFill>
          </w14:textFill>
        </w:rPr>
        <w:t>信息化</w:t>
      </w:r>
      <w:r>
        <w:rPr>
          <w:rFonts w:hint="eastAsia" w:ascii="仿宋_GB2312" w:hAnsi="仿宋_GB2312" w:eastAsia="仿宋_GB2312" w:cs="仿宋_GB2312"/>
          <w:b/>
          <w:bCs/>
          <w:color w:val="000000" w:themeColor="text1"/>
          <w:kern w:val="10"/>
          <w:sz w:val="32"/>
          <w:szCs w:val="32"/>
          <w:highlight w:val="none"/>
          <w:lang w:val="en-US" w:eastAsia="zh-CN"/>
          <w14:textFill>
            <w14:solidFill>
              <w14:schemeClr w14:val="tx1"/>
            </w14:solidFill>
          </w14:textFill>
        </w:rPr>
        <w:t>基础设施建设</w:t>
      </w:r>
      <w:r>
        <w:rPr>
          <w:rFonts w:hint="default" w:ascii="仿宋_GB2312" w:hAnsi="仿宋_GB2312" w:eastAsia="仿宋_GB2312" w:cs="仿宋_GB2312"/>
          <w:b/>
          <w:bCs/>
          <w:color w:val="000000" w:themeColor="text1"/>
          <w:kern w:val="1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10"/>
          <w:sz w:val="32"/>
          <w:szCs w:val="32"/>
          <w:highlight w:val="none"/>
          <w:lang w:val="en-US" w:eastAsia="zh-CN"/>
          <w14:textFill>
            <w14:solidFill>
              <w14:schemeClr w14:val="tx1"/>
            </w14:solidFill>
          </w14:textFill>
        </w:rPr>
        <w:t>加快5G网络建设，实现县域5G网络全覆盖，推进5G在工业、农业、服务业、智慧城市等领域的应用。加强数据中心建设，培育数据资源，发展数据产业。推进物联网建设，实现城乡基础设施、公共服务设施等物联网覆盖。</w:t>
      </w:r>
    </w:p>
    <w:p w14:paraId="3D3EFDEF">
      <w:pPr>
        <w:pStyle w:val="23"/>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drawing>
          <wp:inline distT="0" distB="0" distL="114300" distR="114300">
            <wp:extent cx="5273040" cy="3724275"/>
            <wp:effectExtent l="0" t="0" r="10160" b="9525"/>
            <wp:docPr id="8" name="图片 8" descr="1121768213097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21768213097_.pic"/>
                    <pic:cNvPicPr>
                      <a:picLocks noChangeAspect="1"/>
                    </pic:cNvPicPr>
                  </pic:nvPicPr>
                  <pic:blipFill>
                    <a:blip r:embed="rId12"/>
                    <a:stretch>
                      <a:fillRect/>
                    </a:stretch>
                  </pic:blipFill>
                  <pic:spPr>
                    <a:xfrm>
                      <a:off x="0" y="0"/>
                      <a:ext cx="5273040" cy="3724275"/>
                    </a:xfrm>
                    <a:prstGeom prst="rect">
                      <a:avLst/>
                    </a:prstGeom>
                  </pic:spPr>
                </pic:pic>
              </a:graphicData>
            </a:graphic>
          </wp:inline>
        </w:drawing>
      </w:r>
    </w:p>
    <w:bookmarkEnd w:id="49"/>
    <w:p w14:paraId="5DE80BA7">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50" w:name="_Toc1045612535"/>
      <w:r>
        <w:rPr>
          <w:rFonts w:hint="eastAsia" w:ascii="楷体" w:hAnsi="楷体" w:eastAsia="楷体" w:cs="楷体"/>
          <w:color w:val="000000" w:themeColor="text1"/>
          <w:highlight w:val="none"/>
          <w:lang w:val="en-US" w:eastAsia="zh-Hans"/>
          <w14:textFill>
            <w14:solidFill>
              <w14:schemeClr w14:val="tx1"/>
            </w14:solidFill>
          </w14:textFill>
        </w:rPr>
        <w:t>第三节 加强对外开放合作</w:t>
      </w:r>
      <w:r>
        <w:rPr>
          <w:rFonts w:hint="default" w:ascii="楷体" w:hAnsi="楷体" w:eastAsia="楷体" w:cs="楷体"/>
          <w:color w:val="000000" w:themeColor="text1"/>
          <w:highlight w:val="none"/>
          <w:lang w:val="en-US" w:eastAsia="zh-Hans"/>
          <w14:textFill>
            <w14:solidFill>
              <w14:schemeClr w14:val="tx1"/>
            </w14:solidFill>
          </w14:textFill>
        </w:rPr>
        <w:t>，</w:t>
      </w:r>
      <w:r>
        <w:rPr>
          <w:rFonts w:hint="eastAsia" w:ascii="楷体" w:hAnsi="楷体" w:eastAsia="楷体" w:cs="楷体"/>
          <w:color w:val="000000" w:themeColor="text1"/>
          <w:highlight w:val="none"/>
          <w:lang w:val="en-US" w:eastAsia="zh-Hans"/>
          <w14:textFill>
            <w14:solidFill>
              <w14:schemeClr w14:val="tx1"/>
            </w14:solidFill>
          </w14:textFill>
        </w:rPr>
        <w:t>深化拓展合作领域</w:t>
      </w:r>
      <w:bookmarkEnd w:id="48"/>
      <w:bookmarkEnd w:id="50"/>
    </w:p>
    <w:p w14:paraId="6BEFB3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000000" w:themeColor="text1"/>
          <w:sz w:val="32"/>
          <w:szCs w:val="24"/>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主动融入区域发展大局</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加强与周边县域的合作交流，在产业发展、基础设施建设、生态环境保护、公共服务等方面开展务实合作，实现优势互补、共同发展。加强与</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柳州</w:t>
      </w:r>
      <w:r>
        <w:rPr>
          <w:rFonts w:hint="eastAsia" w:ascii="仿宋_GB2312" w:hAnsi="仿宋_GB2312" w:eastAsia="仿宋_GB2312" w:cs="仿宋_GB2312"/>
          <w:color w:val="000000" w:themeColor="text1"/>
          <w:sz w:val="32"/>
          <w:szCs w:val="32"/>
          <w:highlight w:val="none"/>
          <w14:textFill>
            <w14:solidFill>
              <w14:schemeClr w14:val="tx1"/>
            </w14:solidFill>
          </w14:textFill>
        </w:rPr>
        <w:t>市的对接合作，融入市“半小时经济圈”，争取更多政策、项目、资金支持</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实现交通互联互通、产业协同发展、公共服务共建共享。</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按照自治区</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推动海洋经济高质量发展，建设海洋强区</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以及高水平共建西部陆海新通道的战略规划</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积极发展海洋工程装备、引入海洋生物</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医药等制造业，打造高端绿色化工新材料产业集群</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与柳州市联动打造一批集物流、商贸等为一体的新通道服务业上游产业。</w:t>
      </w:r>
      <w:r>
        <w:rPr>
          <w:rFonts w:hint="eastAsia" w:ascii="仿宋_GB2312" w:hAnsi="仿宋_GB2312" w:eastAsia="仿宋_GB2312" w:cs="仿宋_GB2312"/>
          <w:color w:val="000000" w:themeColor="text1"/>
          <w:sz w:val="32"/>
          <w:szCs w:val="24"/>
          <w:highlight w:val="none"/>
          <w14:textFill>
            <w14:solidFill>
              <w14:schemeClr w14:val="tx1"/>
            </w14:solidFill>
          </w14:textFill>
        </w:rPr>
        <w:t>积极融入</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自治区</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“一区两地一园一通道”</w:t>
      </w:r>
      <w:r>
        <w:rPr>
          <w:rFonts w:hint="eastAsia" w:ascii="仿宋_GB2312" w:hAnsi="仿宋_GB2312" w:eastAsia="仿宋_GB2312" w:cs="仿宋_GB2312"/>
          <w:color w:val="000000" w:themeColor="text1"/>
          <w:sz w:val="32"/>
          <w:szCs w:val="24"/>
          <w:highlight w:val="none"/>
          <w14:textFill>
            <w14:solidFill>
              <w14:schemeClr w14:val="tx1"/>
            </w14:solidFill>
          </w14:textFill>
        </w:rPr>
        <w:t>建设和市场消费需求，深化多领域贸易合作。依托珠江—西江经济带开放发展</w:t>
      </w:r>
      <w:r>
        <w:rPr>
          <w:rFonts w:hint="default" w:ascii="仿宋_GB2312" w:hAnsi="仿宋_GB2312" w:eastAsia="仿宋_GB2312" w:cs="仿宋_GB2312"/>
          <w:color w:val="000000" w:themeColor="text1"/>
          <w:sz w:val="32"/>
          <w:szCs w:val="24"/>
          <w:highlight w:val="none"/>
          <w14:textFill>
            <w14:solidFill>
              <w14:schemeClr w14:val="tx1"/>
            </w14:solidFill>
          </w14:textFill>
        </w:rPr>
        <w:t>、</w:t>
      </w:r>
      <w:r>
        <w:rPr>
          <w:rFonts w:hint="eastAsia" w:ascii="仿宋_GB2312" w:hAnsi="仿宋_GB2312" w:eastAsia="仿宋_GB2312" w:cs="仿宋_GB2312"/>
          <w:color w:val="000000" w:themeColor="text1"/>
          <w:sz w:val="32"/>
          <w:szCs w:val="24"/>
          <w:highlight w:val="none"/>
          <w14:textFill>
            <w14:solidFill>
              <w14:schemeClr w14:val="tx1"/>
            </w14:solidFill>
          </w14:textFill>
        </w:rPr>
        <w:t>平陆运河经济带和高铁经济带建设，加快人才培养、公共服务、对外开放、市场体系等方面协作与分工。拓展与粤港澳大湾区</w:t>
      </w:r>
      <w:r>
        <w:rPr>
          <w:rFonts w:hint="eastAsia" w:ascii="仿宋_GB2312" w:hAnsi="仿宋_GB2312" w:eastAsia="仿宋_GB2312" w:cs="仿宋_GB2312"/>
          <w:color w:val="000000" w:themeColor="text1"/>
          <w:sz w:val="32"/>
          <w:szCs w:val="32"/>
          <w:highlight w:val="none"/>
          <w14:textFill>
            <w14:solidFill>
              <w14:schemeClr w14:val="tx1"/>
            </w14:solidFill>
          </w14:textFill>
        </w:rPr>
        <w:t>、西部陆海新通道</w:t>
      </w:r>
      <w:r>
        <w:rPr>
          <w:rFonts w:hint="eastAsia" w:ascii="仿宋_GB2312" w:hAnsi="仿宋_GB2312" w:eastAsia="仿宋_GB2312" w:cs="仿宋_GB2312"/>
          <w:color w:val="000000" w:themeColor="text1"/>
          <w:sz w:val="32"/>
          <w:szCs w:val="24"/>
          <w:highlight w:val="none"/>
          <w14:textFill>
            <w14:solidFill>
              <w14:schemeClr w14:val="tx1"/>
            </w14:solidFill>
          </w14:textFill>
        </w:rPr>
        <w:t>经贸合作，积极引进粤港澳大湾区现代商贸、物流、金融、科技、咨询等领域投资</w:t>
      </w:r>
      <w:r>
        <w:rPr>
          <w:rFonts w:hint="eastAsia" w:ascii="仿宋_GB2312" w:hAnsi="仿宋_GB2312" w:eastAsia="仿宋_GB2312" w:cs="仿宋_GB2312"/>
          <w:color w:val="000000" w:themeColor="text1"/>
          <w:sz w:val="32"/>
          <w:szCs w:val="32"/>
          <w:highlight w:val="none"/>
          <w14:textFill>
            <w14:solidFill>
              <w14:schemeClr w14:val="tx1"/>
            </w14:solidFill>
          </w14:textFill>
        </w:rPr>
        <w:t>，承接产业转移，吸引资金、技术、人才等要素集聚。</w:t>
      </w:r>
      <w:r>
        <w:rPr>
          <w:rFonts w:hint="eastAsia" w:ascii="仿宋_GB2312" w:hAnsi="仿宋_GB2312" w:eastAsia="仿宋_GB2312" w:cs="仿宋_GB2312"/>
          <w:color w:val="000000" w:themeColor="text1"/>
          <w:sz w:val="32"/>
          <w:szCs w:val="24"/>
          <w:highlight w:val="none"/>
          <w14:textFill>
            <w14:solidFill>
              <w14:schemeClr w14:val="tx1"/>
            </w14:solidFill>
          </w14:textFill>
        </w:rPr>
        <w:t>探索培育粤港澳大湾区资本与</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24"/>
          <w:highlight w:val="none"/>
          <w14:textFill>
            <w14:solidFill>
              <w14:schemeClr w14:val="tx1"/>
            </w14:solidFill>
          </w14:textFill>
        </w:rPr>
        <w:t>产业金融、产业技术成果转换和人才升级的离岸合作创新模式，推动更多优质项目和创新平台向</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24"/>
          <w:highlight w:val="none"/>
          <w14:textFill>
            <w14:solidFill>
              <w14:schemeClr w14:val="tx1"/>
            </w14:solidFill>
          </w14:textFill>
        </w:rPr>
        <w:t>集聚</w:t>
      </w:r>
      <w:r>
        <w:rPr>
          <w:rFonts w:hint="default" w:ascii="仿宋_GB2312" w:hAnsi="仿宋_GB2312" w:eastAsia="仿宋_GB2312" w:cs="仿宋_GB2312"/>
          <w:color w:val="000000" w:themeColor="text1"/>
          <w:sz w:val="32"/>
          <w:szCs w:val="24"/>
          <w:highlight w:val="none"/>
          <w14:textFill>
            <w14:solidFill>
              <w14:schemeClr w14:val="tx1"/>
            </w14:solidFill>
          </w14:textFill>
        </w:rPr>
        <w:t>。</w:t>
      </w:r>
      <w:r>
        <w:rPr>
          <w:rFonts w:hint="eastAsia" w:ascii="仿宋_GB2312" w:hAnsi="仿宋_GB2312" w:eastAsia="仿宋_GB2312" w:cs="仿宋_GB2312"/>
          <w:color w:val="000000" w:themeColor="text1"/>
          <w:sz w:val="32"/>
          <w:szCs w:val="24"/>
          <w:highlight w:val="none"/>
          <w14:textFill>
            <w14:solidFill>
              <w14:schemeClr w14:val="tx1"/>
            </w14:solidFill>
          </w14:textFill>
        </w:rPr>
        <w:t>充分利用中国—东盟博览会、中国西部国际博览会和中国西部国际投资贸易洽谈会等合作平台功能，</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尝试引入</w:t>
      </w:r>
      <w:r>
        <w:rPr>
          <w:rFonts w:hint="eastAsia" w:ascii="仿宋_GB2312" w:hAnsi="仿宋_GB2312" w:eastAsia="仿宋_GB2312" w:cs="仿宋_GB2312"/>
          <w:color w:val="000000" w:themeColor="text1"/>
          <w:sz w:val="32"/>
          <w:szCs w:val="24"/>
          <w:highlight w:val="none"/>
          <w14:textFill>
            <w14:solidFill>
              <w14:schemeClr w14:val="tx1"/>
            </w14:solidFill>
          </w14:textFill>
        </w:rPr>
        <w:t>中国—东盟人工智能安全示范中心配套</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设备</w:t>
      </w:r>
      <w:r>
        <w:rPr>
          <w:rFonts w:hint="eastAsia" w:ascii="仿宋_GB2312" w:hAnsi="仿宋_GB2312" w:eastAsia="仿宋_GB2312" w:cs="仿宋_GB2312"/>
          <w:color w:val="000000" w:themeColor="text1"/>
          <w:sz w:val="32"/>
          <w:szCs w:val="24"/>
          <w:highlight w:val="none"/>
          <w14:textFill>
            <w14:solidFill>
              <w14:schemeClr w14:val="tx1"/>
            </w14:solidFill>
          </w14:textFill>
        </w:rPr>
        <w:t>建设</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企业</w:t>
      </w:r>
      <w:r>
        <w:rPr>
          <w:rFonts w:hint="eastAsia" w:ascii="仿宋_GB2312" w:hAnsi="仿宋_GB2312" w:eastAsia="仿宋_GB2312" w:cs="仿宋_GB2312"/>
          <w:color w:val="000000" w:themeColor="text1"/>
          <w:sz w:val="32"/>
          <w:szCs w:val="24"/>
          <w:highlight w:val="none"/>
          <w14:textFill>
            <w14:solidFill>
              <w14:schemeClr w14:val="tx1"/>
            </w14:solidFill>
          </w14:textFill>
        </w:rPr>
        <w:t>，发展人工智能安全产</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品生产</w:t>
      </w:r>
      <w:r>
        <w:rPr>
          <w:rFonts w:hint="default" w:ascii="仿宋_GB2312" w:hAnsi="仿宋_GB2312" w:eastAsia="仿宋_GB2312" w:cs="仿宋_GB2312"/>
          <w:color w:val="000000" w:themeColor="text1"/>
          <w:sz w:val="32"/>
          <w:szCs w:val="24"/>
          <w:highlight w:val="none"/>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Hans"/>
          <w14:textFill>
            <w14:solidFill>
              <w14:schemeClr w14:val="tx1"/>
            </w14:solidFill>
          </w14:textFill>
        </w:rPr>
        <w:t>同时</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加强与周边国家商贸合作。</w:t>
      </w:r>
    </w:p>
    <w:p w14:paraId="5C4E5FBA">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rPr>
          <w:rFonts w:hint="eastAsia" w:ascii="仿宋_GB2312" w:hAnsi="仿宋_GB2312" w:eastAsia="仿宋_GB2312" w:cs="仿宋_GB2312"/>
          <w:b/>
          <w:color w:val="000000" w:themeColor="text1"/>
          <w:sz w:val="32"/>
          <w:szCs w:val="24"/>
          <w:highlight w:val="none"/>
          <w14:textFill>
            <w14:solidFill>
              <w14:schemeClr w14:val="tx1"/>
            </w14:solidFill>
          </w14:textFill>
        </w:rPr>
      </w:pPr>
      <w:r>
        <w:rPr>
          <w:rFonts w:hint="eastAsia" w:ascii="仿宋_GB2312" w:hAnsi="仿宋_GB2312" w:eastAsia="仿宋_GB2312" w:cs="仿宋_GB2312"/>
          <w:b/>
          <w:color w:val="000000" w:themeColor="text1"/>
          <w:sz w:val="32"/>
          <w:szCs w:val="24"/>
          <w:highlight w:val="none"/>
          <w14:textFill>
            <w14:solidFill>
              <w14:schemeClr w14:val="tx1"/>
            </w14:solidFill>
          </w14:textFill>
        </w:rPr>
        <w:t>提升“引进来”质量水平。</w:t>
      </w:r>
      <w:r>
        <w:rPr>
          <w:rFonts w:hint="eastAsia" w:ascii="仿宋_GB2312" w:hAnsi="仿宋_GB2312" w:eastAsia="仿宋_GB2312" w:cs="仿宋_GB2312"/>
          <w:color w:val="000000" w:themeColor="text1"/>
          <w:sz w:val="32"/>
          <w:szCs w:val="24"/>
          <w:highlight w:val="none"/>
          <w14:textFill>
            <w14:solidFill>
              <w14:schemeClr w14:val="tx1"/>
            </w14:solidFill>
          </w14:textFill>
        </w:rPr>
        <w:t>坚持“大招商、招大商”战略，以自治区</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重点产业链</w:t>
      </w:r>
      <w:r>
        <w:rPr>
          <w:rFonts w:hint="eastAsia" w:ascii="仿宋_GB2312" w:hAnsi="仿宋_GB2312" w:eastAsia="仿宋_GB2312" w:cs="仿宋_GB2312"/>
          <w:color w:val="000000" w:themeColor="text1"/>
          <w:sz w:val="32"/>
          <w:szCs w:val="24"/>
          <w:highlight w:val="none"/>
          <w14:textFill>
            <w14:solidFill>
              <w14:schemeClr w14:val="tx1"/>
            </w14:solidFill>
          </w14:textFill>
        </w:rPr>
        <w:t>培育工程为契机，抢抓产业转移机遇，加大龙头企业、</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重点</w:t>
      </w:r>
      <w:r>
        <w:rPr>
          <w:rFonts w:hint="eastAsia" w:ascii="仿宋_GB2312" w:hAnsi="仿宋_GB2312" w:eastAsia="仿宋_GB2312" w:cs="仿宋_GB2312"/>
          <w:color w:val="000000" w:themeColor="text1"/>
          <w:sz w:val="32"/>
          <w:szCs w:val="24"/>
          <w:highlight w:val="none"/>
          <w14:textFill>
            <w14:solidFill>
              <w14:schemeClr w14:val="tx1"/>
            </w14:solidFill>
          </w14:textFill>
        </w:rPr>
        <w:t>项目、核心团队引进力度。</w:t>
      </w:r>
      <w:r>
        <w:rPr>
          <w:rFonts w:hint="eastAsia" w:ascii="仿宋_GB2312" w:hAnsi="仿宋_GB2312" w:eastAsia="仿宋_GB2312" w:cs="仿宋_GB2312"/>
          <w:color w:val="000000" w:themeColor="text1"/>
          <w:sz w:val="32"/>
          <w:szCs w:val="32"/>
          <w:highlight w:val="none"/>
          <w14:textFill>
            <w14:solidFill>
              <w14:schemeClr w14:val="tx1"/>
            </w14:solidFill>
          </w14:textFill>
        </w:rPr>
        <w:t>创新招商引资方式，采取产业链招商、以商招商、专业招商、代理招商等多种方式，提高招商引资实效。围绕精细化工、新材料、生物医药及大健康、现代农业、现代服务业等重点产业，编制招商引资目录，精准开展招商引资。优化招商引资政策，完善招商引资激励机制，吸引更多大项目、好项目落户</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color w:val="000000" w:themeColor="text1"/>
          <w:sz w:val="32"/>
          <w:szCs w:val="24"/>
          <w:highlight w:val="none"/>
          <w14:textFill>
            <w14:solidFill>
              <w14:schemeClr w14:val="tx1"/>
            </w14:solidFill>
          </w14:textFill>
        </w:rPr>
        <w:t>完善外商投资</w:t>
      </w:r>
      <w:r>
        <w:rPr>
          <w:rFonts w:hint="eastAsia" w:ascii="仿宋_GB2312" w:hAnsi="仿宋_GB2312" w:eastAsia="仿宋_GB2312" w:cs="仿宋_GB2312"/>
          <w:color w:val="000000" w:themeColor="text1"/>
          <w:sz w:val="32"/>
          <w:szCs w:val="24"/>
          <w:highlight w:val="none"/>
          <w:lang w:eastAsia="zh-CN"/>
          <w14:textFill>
            <w14:solidFill>
              <w14:schemeClr w14:val="tx1"/>
            </w14:solidFill>
          </w14:textFill>
        </w:rPr>
        <w:t>准入前国民待遇加负面清单管理制度</w:t>
      </w:r>
      <w:r>
        <w:rPr>
          <w:rFonts w:hint="eastAsia" w:ascii="仿宋_GB2312" w:hAnsi="仿宋_GB2312" w:eastAsia="仿宋_GB2312" w:cs="仿宋_GB2312"/>
          <w:color w:val="000000" w:themeColor="text1"/>
          <w:sz w:val="32"/>
          <w:szCs w:val="24"/>
          <w:highlight w:val="none"/>
          <w14:textFill>
            <w14:solidFill>
              <w14:schemeClr w14:val="tx1"/>
            </w14:solidFill>
          </w14:textFill>
        </w:rPr>
        <w:t>，扩宽外来投资领域，招大引强，突出“产业链”招商。立足</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24"/>
          <w:highlight w:val="none"/>
          <w14:textFill>
            <w14:solidFill>
              <w14:schemeClr w14:val="tx1"/>
            </w14:solidFill>
          </w14:textFill>
        </w:rPr>
        <w:t>比较优势，围绕大健康产业开展精准招商专项行动。</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加强招商引资环境建设，为投资者提供优质高效的服务，营造亲商、安商、富商的良好氛围。</w:t>
      </w:r>
    </w:p>
    <w:p w14:paraId="2EF122F2">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rPr>
          <w:rFonts w:hint="default" w:ascii="仿宋_GB2312" w:hAnsi="仿宋_GB2312" w:eastAsia="仿宋_GB2312" w:cs="仿宋_GB2312"/>
          <w:color w:val="000000" w:themeColor="text1"/>
          <w:sz w:val="32"/>
          <w:szCs w:val="24"/>
          <w:highlight w:val="none"/>
          <w14:textFill>
            <w14:solidFill>
              <w14:schemeClr w14:val="tx1"/>
            </w14:solidFill>
          </w14:textFill>
        </w:rPr>
      </w:pPr>
      <w:r>
        <w:rPr>
          <w:rFonts w:hint="eastAsia" w:ascii="仿宋_GB2312" w:hAnsi="仿宋_GB2312" w:eastAsia="仿宋_GB2312" w:cs="仿宋_GB2312"/>
          <w:b/>
          <w:color w:val="000000" w:themeColor="text1"/>
          <w:sz w:val="32"/>
          <w:szCs w:val="24"/>
          <w:highlight w:val="none"/>
          <w14:textFill>
            <w14:solidFill>
              <w14:schemeClr w14:val="tx1"/>
            </w14:solidFill>
          </w14:textFill>
        </w:rPr>
        <w:t>推动“走出去”突破性发展。</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实施</w:t>
      </w:r>
      <w:r>
        <w:rPr>
          <w:rFonts w:hint="eastAsia" w:ascii="仿宋_GB2312" w:hAnsi="仿宋_GB2312" w:eastAsia="仿宋_GB2312" w:cs="仿宋_GB2312"/>
          <w:color w:val="000000" w:themeColor="text1"/>
          <w:sz w:val="32"/>
          <w:szCs w:val="24"/>
          <w:highlight w:val="none"/>
          <w:lang w:val="en-US" w:eastAsia="zh-Hans"/>
          <w14:textFill>
            <w14:solidFill>
              <w14:schemeClr w14:val="tx1"/>
            </w14:solidFill>
          </w14:textFill>
        </w:rPr>
        <w:t>自治区</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向海图强经济发展格局</w:t>
      </w:r>
      <w:r>
        <w:rPr>
          <w:rFonts w:hint="eastAsia" w:ascii="仿宋_GB2312" w:hAnsi="仿宋_GB2312" w:eastAsia="仿宋_GB2312" w:cs="仿宋_GB2312"/>
          <w:color w:val="000000" w:themeColor="text1"/>
          <w:sz w:val="32"/>
          <w:szCs w:val="24"/>
          <w:highlight w:val="none"/>
          <w:lang w:val="en-US" w:eastAsia="zh-Hans"/>
          <w14:textFill>
            <w14:solidFill>
              <w14:schemeClr w14:val="tx1"/>
            </w14:solidFill>
          </w14:textFill>
        </w:rPr>
        <w:t>战略</w:t>
      </w:r>
      <w:r>
        <w:rPr>
          <w:rFonts w:hint="default" w:ascii="仿宋_GB2312" w:hAnsi="仿宋_GB2312" w:eastAsia="仿宋_GB2312" w:cs="仿宋_GB2312"/>
          <w:color w:val="000000" w:themeColor="text1"/>
          <w:sz w:val="32"/>
          <w:szCs w:val="24"/>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24"/>
          <w:highlight w:val="none"/>
          <w14:textFill>
            <w14:solidFill>
              <w14:schemeClr w14:val="tx1"/>
            </w14:solidFill>
          </w14:textFill>
        </w:rPr>
        <w:t>加强统筹引导，利用互联网和电子商务平台，促进商品、服务和要素自由流动</w:t>
      </w:r>
      <w:r>
        <w:rPr>
          <w:rFonts w:hint="default" w:ascii="仿宋_GB2312" w:hAnsi="仿宋_GB2312" w:eastAsia="仿宋_GB2312" w:cs="仿宋_GB2312"/>
          <w:color w:val="000000" w:themeColor="text1"/>
          <w:sz w:val="32"/>
          <w:szCs w:val="24"/>
          <w:highlight w:val="none"/>
          <w14:textFill>
            <w14:solidFill>
              <w14:schemeClr w14:val="tx1"/>
            </w14:solidFill>
          </w14:textFill>
        </w:rPr>
        <w:t>，</w:t>
      </w:r>
      <w:r>
        <w:rPr>
          <w:rFonts w:hint="eastAsia" w:ascii="仿宋_GB2312" w:hAnsi="仿宋_GB2312" w:eastAsia="仿宋_GB2312" w:cs="仿宋_GB2312"/>
          <w:color w:val="000000" w:themeColor="text1"/>
          <w:sz w:val="32"/>
          <w:szCs w:val="24"/>
          <w:highlight w:val="none"/>
          <w14:textFill>
            <w14:solidFill>
              <w14:schemeClr w14:val="tx1"/>
            </w14:solidFill>
          </w14:textFill>
        </w:rPr>
        <w:t>鼓励</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24"/>
          <w:highlight w:val="none"/>
          <w14:textFill>
            <w14:solidFill>
              <w14:schemeClr w14:val="tx1"/>
            </w14:solidFill>
          </w14:textFill>
        </w:rPr>
        <w:t>有实力企业“走出去”，实现生产制造、营销渠道等更多方面参与</w:t>
      </w:r>
      <w:r>
        <w:rPr>
          <w:rFonts w:hint="eastAsia" w:ascii="仿宋_GB2312" w:hAnsi="仿宋_GB2312" w:eastAsia="仿宋_GB2312" w:cs="仿宋_GB2312"/>
          <w:color w:val="000000" w:themeColor="text1"/>
          <w:sz w:val="32"/>
          <w:szCs w:val="24"/>
          <w:highlight w:val="none"/>
          <w:lang w:eastAsia="zh-Hans"/>
          <w14:textFill>
            <w14:solidFill>
              <w14:schemeClr w14:val="tx1"/>
            </w14:solidFill>
          </w14:textFill>
        </w:rPr>
        <w:t>国内</w:t>
      </w:r>
      <w:r>
        <w:rPr>
          <w:rFonts w:hint="eastAsia" w:ascii="仿宋_GB2312" w:hAnsi="仿宋_GB2312" w:eastAsia="仿宋_GB2312" w:cs="仿宋_GB2312"/>
          <w:color w:val="000000" w:themeColor="text1"/>
          <w:sz w:val="32"/>
          <w:szCs w:val="24"/>
          <w:highlight w:val="none"/>
          <w14:textFill>
            <w14:solidFill>
              <w14:schemeClr w14:val="tx1"/>
            </w14:solidFill>
          </w14:textFill>
        </w:rPr>
        <w:t>国际并购与合作。</w:t>
      </w:r>
      <w:r>
        <w:rPr>
          <w:rFonts w:hint="eastAsia" w:ascii="仿宋_GB2312" w:hAnsi="仿宋_GB2312" w:eastAsia="仿宋_GB2312" w:cs="仿宋_GB2312"/>
          <w:color w:val="000000" w:themeColor="text1"/>
          <w:sz w:val="32"/>
          <w:szCs w:val="32"/>
          <w:highlight w:val="none"/>
          <w14:textFill>
            <w14:solidFill>
              <w14:schemeClr w14:val="tx1"/>
            </w14:solidFill>
          </w14:textFill>
        </w:rPr>
        <w:t>拓展国际市场，加强与“一带一路”沿线国家和地区的贸易合作，扩大对外贸易市场份额。</w:t>
      </w:r>
      <w:r>
        <w:rPr>
          <w:rFonts w:hint="eastAsia" w:ascii="仿宋_GB2312" w:hAnsi="仿宋_GB2312" w:eastAsia="仿宋_GB2312" w:cs="仿宋_GB2312"/>
          <w:color w:val="000000" w:themeColor="text1"/>
          <w:sz w:val="32"/>
          <w:szCs w:val="24"/>
          <w:highlight w:val="none"/>
          <w14:textFill>
            <w14:solidFill>
              <w14:schemeClr w14:val="tx1"/>
            </w14:solidFill>
          </w14:textFill>
        </w:rPr>
        <w:t>加大市场开拓力度，鼓励企业拓展国际市场，促进贸易结构和贸易方式调整，调整出口市场结构，扩大出口规模。</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出口产品结构，提高优质农产品、特色工业品、文化产品等出口比重。加强出口品牌建设，培育一批具有国际竞争力的出口品牌。完善对外贸易服务体系，加强海关、税务、外汇、物流等部门协作，为企业对外贸易提供便利化服务。</w:t>
      </w:r>
      <w:r>
        <w:rPr>
          <w:rFonts w:hint="eastAsia" w:ascii="仿宋_GB2312" w:hAnsi="仿宋_GB2312" w:eastAsia="仿宋_GB2312" w:cs="仿宋_GB2312"/>
          <w:color w:val="000000" w:themeColor="text1"/>
          <w:sz w:val="32"/>
          <w:szCs w:val="24"/>
          <w:highlight w:val="none"/>
          <w14:textFill>
            <w14:solidFill>
              <w14:schemeClr w14:val="tx1"/>
            </w14:solidFill>
          </w14:textFill>
        </w:rPr>
        <w:t>开辟“绿色通道”，鼓励有实力的企业开展境外直接投资</w:t>
      </w:r>
      <w:r>
        <w:rPr>
          <w:rFonts w:hint="default" w:ascii="仿宋_GB2312" w:hAnsi="仿宋_GB2312" w:eastAsia="仿宋_GB2312" w:cs="仿宋_GB2312"/>
          <w:color w:val="000000" w:themeColor="text1"/>
          <w:sz w:val="32"/>
          <w:szCs w:val="24"/>
          <w:highlight w:val="none"/>
          <w14:textFill>
            <w14:solidFill>
              <w14:schemeClr w14:val="tx1"/>
            </w14:solidFill>
          </w14:textFill>
        </w:rPr>
        <w:t>。</w:t>
      </w:r>
      <w:bookmarkEnd w:id="42"/>
    </w:p>
    <w:p w14:paraId="04E06B2A">
      <w:pPr>
        <w:pStyle w:val="21"/>
        <w:rPr>
          <w:rFonts w:hint="eastAsia"/>
          <w:lang w:val="en-US" w:eastAsia="zh-Hans"/>
        </w:rPr>
      </w:pPr>
    </w:p>
    <w:bookmarkEnd w:id="40"/>
    <w:p w14:paraId="52375A52">
      <w:pPr>
        <w:rPr>
          <w:rFonts w:hint="eastAsia" w:ascii="黑体" w:hAnsi="黑体" w:eastAsia="黑体" w:cs="黑体"/>
          <w:sz w:val="32"/>
          <w:szCs w:val="40"/>
          <w:lang w:val="en-US" w:eastAsia="zh-Hans"/>
        </w:rPr>
      </w:pPr>
      <w:r>
        <w:rPr>
          <w:rFonts w:hint="eastAsia" w:ascii="黑体" w:hAnsi="黑体" w:eastAsia="黑体" w:cs="黑体"/>
          <w:sz w:val="32"/>
          <w:szCs w:val="40"/>
          <w:lang w:val="en-US" w:eastAsia="zh-Hans"/>
        </w:rPr>
        <w:br w:type="page"/>
      </w:r>
    </w:p>
    <w:p w14:paraId="280D9B52">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Hans"/>
        </w:rPr>
      </w:pPr>
      <w:bookmarkStart w:id="51" w:name="_Toc751192344"/>
      <w:r>
        <w:rPr>
          <w:rFonts w:hint="eastAsia" w:ascii="黑体" w:hAnsi="黑体" w:eastAsia="黑体" w:cs="黑体"/>
          <w:sz w:val="32"/>
          <w:szCs w:val="40"/>
          <w:lang w:val="en-US" w:eastAsia="zh-Hans"/>
        </w:rPr>
        <w:t>强化科技创新引领高质量发展，培育新质生产力</w:t>
      </w:r>
      <w:bookmarkEnd w:id="51"/>
    </w:p>
    <w:p w14:paraId="7055E2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auto"/>
          <w:sz w:val="32"/>
          <w:szCs w:val="32"/>
          <w:highlight w:val="none"/>
          <w:lang w:eastAsia="zh-CN"/>
        </w:rPr>
        <w:t>坚持科技是第一生产力、人才是第一资源、创新是第一动力，抢抓新一轮科技革命和产业变革</w:t>
      </w:r>
      <w:r>
        <w:rPr>
          <w:rFonts w:hint="default" w:ascii="Times New Roman" w:hAnsi="Times New Roman" w:eastAsia="仿宋_GB2312" w:cs="Times New Roman"/>
          <w:color w:val="auto"/>
          <w:sz w:val="32"/>
          <w:szCs w:val="32"/>
          <w:highlight w:val="none"/>
          <w:lang w:val="en-US" w:eastAsia="zh-CN"/>
        </w:rPr>
        <w:t>机遇</w:t>
      </w:r>
      <w:r>
        <w:rPr>
          <w:rFonts w:hint="default" w:ascii="Times New Roman" w:hAnsi="Times New Roman" w:eastAsia="仿宋_GB2312" w:cs="Times New Roman"/>
          <w:color w:val="auto"/>
          <w:sz w:val="32"/>
          <w:szCs w:val="32"/>
          <w:highlight w:val="none"/>
          <w:lang w:eastAsia="zh-CN"/>
        </w:rPr>
        <w:t>，深入实施创新驱动发展战略，完善县域创新体系，推动发展由要素驱动向创新驱动转变，为高质量发展提供核心支撑。</w:t>
      </w:r>
      <w:bookmarkStart w:id="52" w:name="_Toc3794"/>
    </w:p>
    <w:p w14:paraId="0C65C4F3">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Hans"/>
          <w14:textFill>
            <w14:solidFill>
              <w14:schemeClr w14:val="tx1"/>
            </w14:solidFill>
          </w14:textFill>
        </w:rPr>
      </w:pPr>
      <w:bookmarkStart w:id="53" w:name="_Toc429057547"/>
      <w:bookmarkStart w:id="54" w:name="_Toc233364895"/>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深化改革创新</w:t>
      </w:r>
      <w:bookmarkEnd w:id="52"/>
      <w:r>
        <w:rPr>
          <w:rFonts w:hint="default" w:ascii="楷体" w:hAnsi="楷体" w:eastAsia="楷体" w:cs="楷体"/>
          <w:color w:val="000000" w:themeColor="text1"/>
          <w:highlight w:val="none"/>
          <w:lang w:val="en-US" w:eastAsia="zh-Hans"/>
          <w14:textFill>
            <w14:solidFill>
              <w14:schemeClr w14:val="tx1"/>
            </w14:solidFill>
          </w14:textFill>
        </w:rPr>
        <w:t>，</w:t>
      </w:r>
      <w:r>
        <w:rPr>
          <w:rFonts w:hint="eastAsia" w:ascii="楷体" w:hAnsi="楷体" w:eastAsia="楷体" w:cs="楷体"/>
          <w:color w:val="000000" w:themeColor="text1"/>
          <w:highlight w:val="none"/>
          <w:lang w:val="en-US" w:eastAsia="zh-Hans"/>
          <w14:textFill>
            <w14:solidFill>
              <w14:schemeClr w14:val="tx1"/>
            </w14:solidFill>
          </w14:textFill>
        </w:rPr>
        <w:t>驱动高质量发展</w:t>
      </w:r>
      <w:bookmarkEnd w:id="53"/>
      <w:bookmarkEnd w:id="54"/>
    </w:p>
    <w:p w14:paraId="3CDC6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深化各领域改革创新，以改革创新驱动高质量发展。科学把握政府债务风险，优化和拓展投融资模式，积极争取区市县投融资平台共建共享，增强柳城建设资金投量。创新投融资模式，加快水利、教育、</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医疗</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卫生</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养老</w:t>
      </w:r>
      <w:r>
        <w:rPr>
          <w:rFonts w:hint="eastAsia" w:ascii="仿宋_GB2312" w:hAnsi="仿宋_GB2312" w:eastAsia="仿宋_GB2312" w:cs="仿宋_GB2312"/>
          <w:color w:val="000000" w:themeColor="text1"/>
          <w:sz w:val="32"/>
          <w:szCs w:val="32"/>
          <w:highlight w:val="none"/>
          <w14:textFill>
            <w14:solidFill>
              <w14:schemeClr w14:val="tx1"/>
            </w14:solidFill>
          </w14:textFill>
        </w:rPr>
        <w:t>等民生基础设施建设，以及工业园区、现代农业等产业项目的包装策划和落地建设。鼓励和引导社会资本参与区域开发投资，全面激活区域建设投资开发</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土地要素保障制度改革，加快国有土地收储与开发，盘活土地资源，创新供地方式，采取长期租赁、先租后让、租让结合、弹性年期出让等方式供应。推行市场化、法治化产能退出机制，促进企业优胜劣汰。实施严格的园区投资强度和建筑容积率双控制度，推行园区企业不良用地倒逼机制和退出机制，推进“二次招商”，提高园区土地利用效率。聚焦企业关注的用地、用电、用水、用气、物流等关键点，持续深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去产能、去库存、去杠杆、降成本、补短板</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，严格落实上级有关减税降费政策，让企业实实在在地享受到改革带来的红利。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严格</w:t>
      </w:r>
      <w:r>
        <w:rPr>
          <w:rFonts w:hint="eastAsia" w:ascii="仿宋_GB2312" w:hAnsi="仿宋_GB2312" w:eastAsia="仿宋_GB2312" w:cs="仿宋_GB2312"/>
          <w:color w:val="000000" w:themeColor="text1"/>
          <w:sz w:val="32"/>
          <w:szCs w:val="32"/>
          <w:highlight w:val="none"/>
          <w14:textFill>
            <w14:solidFill>
              <w14:schemeClr w14:val="tx1"/>
            </w14:solidFill>
          </w14:textFill>
        </w:rPr>
        <w:t>能源消耗和主要污染物排放强度调控，</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严格落实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总量</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控制</w:t>
      </w:r>
      <w:r>
        <w:rPr>
          <w:rFonts w:hint="eastAsia" w:ascii="仿宋_GB2312" w:hAnsi="仿宋_GB2312" w:eastAsia="仿宋_GB2312" w:cs="仿宋_GB2312"/>
          <w:color w:val="000000" w:themeColor="text1"/>
          <w:sz w:val="32"/>
          <w:szCs w:val="32"/>
          <w:highlight w:val="none"/>
          <w14:textFill>
            <w14:solidFill>
              <w14:schemeClr w14:val="tx1"/>
            </w14:solidFill>
          </w14:textFill>
        </w:rPr>
        <w:t>管理。深化税收征管制度改革，构建“无风险不打扰、有违法要追究、全过程强智控”的税务执法新体系，“线下服务无死角、线上服务不打烊、定制服务广覆盖”的税费服务新体系，以“双随机、一公开”监管和“互联网+监管”为基本手段、以重点监管为补充、以“信用+风险”监管为基础的税务监管新体系，建成智慧税务</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系统</w:t>
      </w:r>
      <w:r>
        <w:rPr>
          <w:rFonts w:hint="eastAsia" w:ascii="仿宋_GB2312" w:hAnsi="仿宋_GB2312" w:eastAsia="仿宋_GB2312" w:cs="仿宋_GB2312"/>
          <w:color w:val="000000" w:themeColor="text1"/>
          <w:sz w:val="32"/>
          <w:szCs w:val="32"/>
          <w:highlight w:val="none"/>
          <w14:textFill>
            <w14:solidFill>
              <w14:schemeClr w14:val="tx1"/>
            </w14:solidFill>
          </w14:textFill>
        </w:rPr>
        <w:t>，全方位提高税务执法、服务</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监管能力。</w:t>
      </w:r>
      <w:bookmarkStart w:id="55" w:name="_Toc26447"/>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p>
    <w:p w14:paraId="3C576A83">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56" w:name="_Toc858650843"/>
      <w:r>
        <w:rPr>
          <w:rFonts w:hint="eastAsia" w:ascii="楷体" w:hAnsi="楷体" w:eastAsia="楷体" w:cs="楷体"/>
          <w:color w:val="000000" w:themeColor="text1"/>
          <w:highlight w:val="none"/>
          <w:lang w:val="en-US" w:eastAsia="zh-Hans"/>
          <w14:textFill>
            <w14:solidFill>
              <w14:schemeClr w14:val="tx1"/>
            </w14:solidFill>
          </w14:textFill>
        </w:rPr>
        <w:t>第二节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推动科技创新和产业创新深度融合</w:t>
      </w:r>
      <w:bookmarkEnd w:id="56"/>
    </w:p>
    <w:p w14:paraId="6EA41AB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深入实施科技创</w:t>
      </w:r>
      <w:r>
        <w:rPr>
          <w:rFonts w:hint="eastAsia" w:ascii="仿宋_GB2312" w:hAnsi="仿宋_GB2312" w:eastAsia="仿宋_GB2312" w:cs="仿宋_GB2312"/>
          <w:b/>
          <w:bCs/>
          <w:color w:val="000000" w:themeColor="text1"/>
          <w:kern w:val="2"/>
          <w:sz w:val="32"/>
          <w:szCs w:val="32"/>
          <w:highlight w:val="none"/>
          <w:lang w:val="en-US" w:eastAsia="zh-Hans" w:bidi="ar-SA"/>
          <w14:textFill>
            <w14:solidFill>
              <w14:schemeClr w14:val="tx1"/>
            </w14:solidFill>
          </w14:textFill>
        </w:rPr>
        <w:t>新行动</w:t>
      </w:r>
      <w:r>
        <w:rPr>
          <w:rFonts w:hint="default" w:ascii="仿宋_GB2312" w:hAnsi="仿宋_GB2312" w:eastAsia="仿宋_GB2312" w:cs="仿宋_GB2312"/>
          <w:b/>
          <w:bCs/>
          <w:color w:val="000000" w:themeColor="text1"/>
          <w:kern w:val="2"/>
          <w:sz w:val="32"/>
          <w:szCs w:val="32"/>
          <w:highlight w:val="none"/>
          <w:lang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实施科技创新支撑产业高质量发展行动，加大对</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精细化工、金属精加工、</w:t>
      </w:r>
      <w:r>
        <w:rPr>
          <w:rFonts w:hint="default"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食品医药（农产品加工）</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、木材加工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四大</w:t>
      </w:r>
      <w:r>
        <w:rPr>
          <w:rFonts w:hint="eastAsia" w:ascii="Times New Roman" w:hAnsi="Times New Roman" w:eastAsia="仿宋_GB2312" w:cs="Times New Roman"/>
          <w:color w:val="000000" w:themeColor="text1"/>
          <w:sz w:val="32"/>
          <w:szCs w:val="32"/>
          <w:highlight w:val="none"/>
          <w:lang w:val="en-US" w:eastAsia="zh-Hans"/>
          <w14:textFill>
            <w14:solidFill>
              <w14:schemeClr w14:val="tx1"/>
            </w14:solidFill>
          </w14:textFill>
        </w:rPr>
        <w:t>传统支柱</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产业</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领域科技研发的投入，组织产业链创新重大专项，集中力量突破一批关键核心技术。</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实施企业技改工程，引导重点行业企业运用新装备、新技术、新工艺、新业态、新模式改造提升传统产业。</w:t>
      </w:r>
      <w:r>
        <w:rPr>
          <w:rFonts w:hint="default" w:ascii="Times New Roman" w:hAnsi="Times New Roman" w:eastAsia="仿宋_GB2312" w:cs="Times New Roman"/>
          <w:color w:val="auto"/>
          <w:sz w:val="32"/>
          <w:szCs w:val="32"/>
          <w:highlight w:val="none"/>
          <w:lang w:eastAsia="zh-CN"/>
        </w:rPr>
        <w:t>强化企业创新主体地位，</w:t>
      </w:r>
      <w:r>
        <w:rPr>
          <w:rFonts w:hint="default" w:ascii="Times New Roman" w:hAnsi="Times New Roman" w:eastAsia="仿宋_GB2312" w:cs="Times New Roman"/>
          <w:color w:val="auto"/>
          <w:sz w:val="32"/>
          <w:szCs w:val="32"/>
          <w:highlight w:val="none"/>
          <w:lang w:val="en-US" w:eastAsia="zh-CN"/>
        </w:rPr>
        <w:t>推动创新链产业链深度融合，</w:t>
      </w:r>
      <w:r>
        <w:rPr>
          <w:rFonts w:hint="default" w:ascii="Times New Roman" w:hAnsi="Times New Roman" w:eastAsia="仿宋_GB2312" w:cs="Times New Roman"/>
          <w:color w:val="auto"/>
          <w:sz w:val="32"/>
          <w:szCs w:val="32"/>
          <w:highlight w:val="none"/>
          <w:lang w:eastAsia="zh-CN"/>
        </w:rPr>
        <w:t>促进各类创新要素向企业集聚。实施“科技型中小企业—高新技术企业—瞪羚企业—科技领军企业”</w:t>
      </w:r>
      <w:r>
        <w:rPr>
          <w:rFonts w:hint="default" w:ascii="Times New Roman" w:hAnsi="Times New Roman" w:eastAsia="仿宋_GB2312" w:cs="Times New Roman"/>
          <w:color w:val="auto"/>
          <w:sz w:val="32"/>
          <w:szCs w:val="32"/>
          <w:highlight w:val="none"/>
          <w:lang w:val="en-US" w:eastAsia="zh-CN"/>
        </w:rPr>
        <w:t>梯度培育计划，</w:t>
      </w:r>
      <w:r>
        <w:rPr>
          <w:rFonts w:hint="default" w:ascii="Times New Roman" w:hAnsi="Times New Roman" w:eastAsia="仿宋_GB2312" w:cs="Times New Roman"/>
          <w:color w:val="auto"/>
          <w:sz w:val="32"/>
          <w:szCs w:val="32"/>
          <w:highlight w:val="none"/>
          <w:lang w:eastAsia="zh-CN"/>
        </w:rPr>
        <w:t>力争到2030年全县高新技术企业、科技型中小企业数量实现倍增。</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实施科技成果转化三年行动，建立健全全链条科技成果转化体系，打造科创</w:t>
      </w:r>
      <w:r>
        <w:rPr>
          <w:rFonts w:hint="eastAsia" w:ascii="仿宋_GB2312" w:hAnsi="仿宋_GB2312" w:eastAsia="仿宋_GB2312" w:cs="仿宋_GB2312"/>
          <w:color w:val="000000" w:themeColor="text1"/>
          <w:kern w:val="2"/>
          <w:sz w:val="32"/>
          <w:szCs w:val="32"/>
          <w:highlight w:val="none"/>
          <w:lang w:val="en-US" w:eastAsia="zh-Hans" w:bidi="ar-SA"/>
          <w14:textFill>
            <w14:solidFill>
              <w14:schemeClr w14:val="tx1"/>
            </w14:solidFill>
          </w14:textFill>
        </w:rPr>
        <w:t>柳州</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先行试验区。吸引企业、高校和科研院所等参与重大场景建设和科技成果转化与产业化。</w:t>
      </w:r>
      <w:r>
        <w:rPr>
          <w:rFonts w:hint="eastAsia" w:ascii="仿宋_GB2312" w:hAnsi="仿宋_GB2312" w:eastAsia="仿宋_GB2312" w:cs="仿宋_GB2312"/>
          <w:color w:val="000000" w:themeColor="text1"/>
          <w:sz w:val="32"/>
          <w:szCs w:val="32"/>
          <w:highlight w:val="none"/>
          <w14:textFill>
            <w14:solidFill>
              <w14:schemeClr w14:val="tx1"/>
            </w14:solidFill>
          </w14:textFill>
        </w:rPr>
        <w:t>鼓励</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有能力的</w:t>
      </w:r>
      <w:r>
        <w:rPr>
          <w:rFonts w:hint="eastAsia" w:ascii="仿宋_GB2312" w:hAnsi="仿宋_GB2312" w:eastAsia="仿宋_GB2312" w:cs="仿宋_GB2312"/>
          <w:color w:val="000000" w:themeColor="text1"/>
          <w:sz w:val="32"/>
          <w:szCs w:val="32"/>
          <w:highlight w:val="none"/>
          <w14:textFill>
            <w14:solidFill>
              <w14:schemeClr w14:val="tx1"/>
            </w14:solidFill>
          </w14:textFill>
        </w:rPr>
        <w:t>企业积极带动上下游产业链，全面引领和推动企业创业创新创造。</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建</w:t>
      </w:r>
      <w:r>
        <w:rPr>
          <w:rFonts w:hint="eastAsia" w:ascii="仿宋_GB2312" w:hAnsi="仿宋_GB2312" w:eastAsia="仿宋_GB2312" w:cs="仿宋_GB2312"/>
          <w:color w:val="000000" w:themeColor="text1"/>
          <w:kern w:val="2"/>
          <w:sz w:val="32"/>
          <w:szCs w:val="32"/>
          <w:highlight w:val="none"/>
          <w:lang w:val="en-US" w:eastAsia="zh-Hans" w:bidi="ar-SA"/>
          <w14:textFill>
            <w14:solidFill>
              <w14:schemeClr w14:val="tx1"/>
            </w14:solidFill>
          </w14:textFill>
        </w:rPr>
        <w:t>立</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科技成果转化基金群，强化“投贷保担补”协同支持</w:t>
      </w:r>
      <w:r>
        <w:rPr>
          <w:rFonts w:hint="eastAsia" w:ascii="仿宋_GB2312" w:hAnsi="仿宋_GB2312" w:eastAsia="仿宋_GB2312" w:cs="仿宋_GB2312"/>
          <w:color w:val="000000" w:themeColor="text1"/>
          <w:sz w:val="32"/>
          <w:szCs w:val="32"/>
          <w:highlight w:val="none"/>
          <w14:textFill>
            <w14:solidFill>
              <w14:schemeClr w14:val="tx1"/>
            </w14:solidFill>
          </w14:textFill>
        </w:rPr>
        <w:t>，加速科技成果向产</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业</w:t>
      </w:r>
      <w:r>
        <w:rPr>
          <w:rFonts w:hint="eastAsia" w:ascii="仿宋_GB2312" w:hAnsi="仿宋_GB2312" w:eastAsia="仿宋_GB2312" w:cs="仿宋_GB2312"/>
          <w:color w:val="000000" w:themeColor="text1"/>
          <w:sz w:val="32"/>
          <w:szCs w:val="32"/>
          <w:highlight w:val="none"/>
          <w14:textFill>
            <w14:solidFill>
              <w14:schemeClr w14:val="tx1"/>
            </w14:solidFill>
          </w14:textFill>
        </w:rPr>
        <w:t>转化</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p>
    <w:p w14:paraId="207F01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以创新支撑产业高质量发展。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以创新驱动引领</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产</w:t>
      </w:r>
      <w:r>
        <w:rPr>
          <w:rFonts w:hint="eastAsia" w:ascii="仿宋_GB2312" w:hAnsi="仿宋_GB2312" w:eastAsia="仿宋_GB2312" w:cs="仿宋_GB2312"/>
          <w:color w:val="000000" w:themeColor="text1"/>
          <w:sz w:val="32"/>
          <w:szCs w:val="32"/>
          <w:highlight w:val="none"/>
          <w14:textFill>
            <w14:solidFill>
              <w14:schemeClr w14:val="tx1"/>
            </w14:solidFill>
          </w14:textFill>
        </w:rPr>
        <w:t>业高质量发展，加快新旧动能转换，推动传统产业“二次创业”和特色产业、新兴产业创新发展，促进产业链价值链向高端跃升，加快数字化、网络化、智能化在各领域的运用，精心打造具有柳城独特魅力和发展前景的核心产业。推动工业、农业、现代服务业深度融合，构建配套体系完善的专业化产业园，形成推动产业高质量发展的混合动能。谋划“双十”产业项目建设，构建项目全过程管理机制，加快建成一批总投资10亿元以上、年产值10亿元以上的重大产业项目和投资亿元以上的新产业、新技术应用重点项目。</w:t>
      </w:r>
    </w:p>
    <w:p w14:paraId="17DE42C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仿宋_GB2312" w:hAnsi="仿宋_GB2312" w:eastAsia="仿宋_GB2312" w:cs="仿宋_GB2312"/>
          <w:color w:val="000000" w:themeColor="text1"/>
          <w:kern w:val="2"/>
          <w:sz w:val="32"/>
          <w:szCs w:val="32"/>
          <w:highlight w:val="none"/>
          <w:lang w:eastAsia="zh-CN" w:bidi="ar-SA"/>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打造产学研用一体</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化模式</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加强产学研用协同创新体系建设，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推动</w:t>
      </w:r>
      <w:r>
        <w:rPr>
          <w:rFonts w:hint="eastAsia" w:ascii="仿宋_GB2312" w:hAnsi="仿宋_GB2312" w:eastAsia="仿宋_GB2312" w:cs="仿宋_GB2312"/>
          <w:color w:val="000000" w:themeColor="text1"/>
          <w:sz w:val="32"/>
          <w:szCs w:val="32"/>
          <w:highlight w:val="none"/>
          <w14:textFill>
            <w14:solidFill>
              <w14:schemeClr w14:val="tx1"/>
            </w14:solidFill>
          </w14:textFill>
        </w:rPr>
        <w:t>企业与科研院所、高校组建产业技术创新联盟和独立运营的新型研发机构，着力打造甘蔗研究中心、精细化工、高端木业、健康食品等创新基地、研发基地。建立重大科技成果转化项目吸引机制，吸引一批已结题、未转化的国家项目、自治区项目在柳城产业化应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设立科技成果转化引导基金，把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科技成果转化</w:t>
      </w:r>
      <w:r>
        <w:rPr>
          <w:rFonts w:hint="eastAsia" w:ascii="仿宋_GB2312" w:hAnsi="仿宋_GB2312" w:eastAsia="仿宋_GB2312" w:cs="仿宋_GB2312"/>
          <w:color w:val="000000" w:themeColor="text1"/>
          <w:sz w:val="32"/>
          <w:szCs w:val="32"/>
          <w:highlight w:val="none"/>
          <w14:textFill>
            <w14:solidFill>
              <w14:schemeClr w14:val="tx1"/>
            </w14:solidFill>
          </w14:textFill>
        </w:rPr>
        <w:t>和产业化作为考核评价创新活动的衡量标准，推动创新链、产业链、人才链、政策链、资金链深度融合</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p>
    <w:p w14:paraId="5E97D44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firstLine="667" w:firstLineChars="200"/>
        <w:textAlignment w:val="auto"/>
        <w:rPr>
          <w:rFonts w:hint="default" w:ascii="Times New Roman" w:hAnsi="Times New Roman" w:eastAsia="仿宋_GB2312" w:cs="Times New Roman"/>
          <w:color w:val="auto"/>
          <w:spacing w:val="6"/>
          <w:sz w:val="32"/>
          <w:szCs w:val="32"/>
          <w:highlight w:val="none"/>
          <w:lang w:val="en-US" w:eastAsia="zh-CN"/>
        </w:rPr>
      </w:pPr>
      <w:r>
        <w:rPr>
          <w:rFonts w:hint="eastAsia" w:ascii="Times New Roman" w:hAnsi="Times New Roman" w:eastAsia="仿宋_GB2312" w:cs="Times New Roman"/>
          <w:b/>
          <w:bCs/>
          <w:color w:val="auto"/>
          <w:spacing w:val="6"/>
          <w:sz w:val="32"/>
          <w:szCs w:val="32"/>
          <w:highlight w:val="none"/>
          <w:lang w:val="en-US" w:eastAsia="zh-Hans"/>
        </w:rPr>
        <w:t>推进</w:t>
      </w:r>
      <w:r>
        <w:rPr>
          <w:rFonts w:hint="default" w:ascii="Times New Roman" w:hAnsi="Times New Roman" w:eastAsia="仿宋_GB2312" w:cs="Times New Roman"/>
          <w:b/>
          <w:bCs/>
          <w:color w:val="auto"/>
          <w:spacing w:val="6"/>
          <w:sz w:val="32"/>
          <w:szCs w:val="32"/>
          <w:highlight w:val="none"/>
          <w:lang w:val="en-US" w:eastAsia="zh-CN"/>
        </w:rPr>
        <w:t>“人工智能+”行动</w:t>
      </w:r>
      <w:r>
        <w:rPr>
          <w:rFonts w:hint="default" w:ascii="Times New Roman" w:hAnsi="Times New Roman" w:eastAsia="仿宋_GB2312" w:cs="Times New Roman"/>
          <w:color w:val="auto"/>
          <w:spacing w:val="6"/>
          <w:sz w:val="32"/>
          <w:szCs w:val="32"/>
          <w:highlight w:val="none"/>
          <w:lang w:eastAsia="zh-CN"/>
        </w:rPr>
        <w:t>。支持</w:t>
      </w:r>
      <w:r>
        <w:rPr>
          <w:rFonts w:hint="default" w:ascii="Times New Roman" w:hAnsi="Times New Roman" w:eastAsia="仿宋_GB2312" w:cs="Times New Roman"/>
          <w:color w:val="auto"/>
          <w:spacing w:val="6"/>
          <w:sz w:val="32"/>
          <w:szCs w:val="32"/>
          <w:highlight w:val="none"/>
          <w:lang w:val="en-US" w:eastAsia="zh-CN"/>
        </w:rPr>
        <w:t>企业</w:t>
      </w:r>
      <w:r>
        <w:rPr>
          <w:rFonts w:hint="default" w:ascii="Times New Roman" w:hAnsi="Times New Roman" w:eastAsia="仿宋_GB2312" w:cs="Times New Roman"/>
          <w:color w:val="auto"/>
          <w:spacing w:val="6"/>
          <w:sz w:val="32"/>
          <w:szCs w:val="32"/>
          <w:highlight w:val="none"/>
          <w:lang w:eastAsia="zh-CN"/>
        </w:rPr>
        <w:t>建设智能车间</w:t>
      </w:r>
      <w:r>
        <w:rPr>
          <w:rFonts w:hint="default" w:ascii="Times New Roman" w:hAnsi="Times New Roman" w:eastAsia="仿宋_GB2312" w:cs="Times New Roman"/>
          <w:color w:val="auto"/>
          <w:spacing w:val="6"/>
          <w:sz w:val="32"/>
          <w:szCs w:val="32"/>
          <w:highlight w:val="none"/>
          <w:lang w:val="en-US" w:eastAsia="zh-CN"/>
        </w:rPr>
        <w:t>与</w:t>
      </w:r>
      <w:r>
        <w:rPr>
          <w:rFonts w:hint="default" w:ascii="Times New Roman" w:hAnsi="Times New Roman" w:eastAsia="仿宋_GB2312" w:cs="Times New Roman"/>
          <w:color w:val="auto"/>
          <w:spacing w:val="6"/>
          <w:sz w:val="32"/>
          <w:szCs w:val="32"/>
          <w:highlight w:val="none"/>
          <w:lang w:eastAsia="zh-CN"/>
        </w:rPr>
        <w:t>智慧工厂，提升生产管控、设备运维和能源管理智能化水平。</w:t>
      </w:r>
      <w:r>
        <w:rPr>
          <w:rFonts w:hint="eastAsia" w:ascii="Times New Roman" w:hAnsi="Times New Roman" w:eastAsia="仿宋_GB2312" w:cs="Times New Roman"/>
          <w:color w:val="auto"/>
          <w:spacing w:val="6"/>
          <w:sz w:val="32"/>
          <w:szCs w:val="32"/>
          <w:highlight w:val="none"/>
          <w:lang w:val="en-US" w:eastAsia="zh-CN"/>
        </w:rPr>
        <w:t>推进</w:t>
      </w:r>
      <w:r>
        <w:rPr>
          <w:rFonts w:hint="default" w:ascii="Times New Roman" w:hAnsi="Times New Roman" w:eastAsia="仿宋_GB2312" w:cs="Times New Roman"/>
          <w:color w:val="auto"/>
          <w:spacing w:val="6"/>
          <w:sz w:val="32"/>
          <w:szCs w:val="32"/>
          <w:highlight w:val="none"/>
          <w:lang w:val="en-US" w:eastAsia="zh-CN"/>
        </w:rPr>
        <w:t>木材加工园区</w:t>
      </w:r>
      <w:r>
        <w:rPr>
          <w:rFonts w:hint="eastAsia" w:ascii="仿宋_GB2312" w:hAnsi="仿宋_GB2312" w:eastAsia="仿宋_GB2312" w:cs="仿宋_GB2312"/>
          <w:color w:val="auto"/>
          <w:spacing w:val="6"/>
          <w:sz w:val="32"/>
          <w:szCs w:val="32"/>
          <w:highlight w:val="none"/>
          <w:lang w:eastAsia="zh-CN"/>
        </w:rPr>
        <w:t>“智慧工厂”</w:t>
      </w:r>
      <w:r>
        <w:rPr>
          <w:rFonts w:hint="eastAsia" w:ascii="Times New Roman" w:hAnsi="Times New Roman" w:eastAsia="仿宋_GB2312" w:cs="Times New Roman"/>
          <w:color w:val="auto"/>
          <w:spacing w:val="6"/>
          <w:sz w:val="32"/>
          <w:szCs w:val="32"/>
          <w:highlight w:val="none"/>
          <w:lang w:eastAsia="zh-CN"/>
        </w:rPr>
        <w:t>建设</w:t>
      </w:r>
      <w:r>
        <w:rPr>
          <w:rFonts w:hint="default" w:ascii="Times New Roman" w:hAnsi="Times New Roman" w:eastAsia="仿宋_GB2312" w:cs="Times New Roman"/>
          <w:color w:val="auto"/>
          <w:spacing w:val="6"/>
          <w:sz w:val="32"/>
          <w:szCs w:val="32"/>
          <w:highlight w:val="none"/>
          <w:lang w:eastAsia="zh-CN"/>
        </w:rPr>
        <w:t>，推动全链条数字化、智能化管理，应用AI视觉识别与优化算法，提高出材率和生产效率。在精细化工园区推广AI监测系统，实现对危化品生产、存储的动态监控与风险预警，提升安全生产监管水平。依托甘蔗研究中心，开发</w:t>
      </w:r>
      <w:r>
        <w:rPr>
          <w:rFonts w:hint="default" w:ascii="Times New Roman" w:hAnsi="Times New Roman" w:eastAsia="仿宋_GB2312" w:cs="Times New Roman"/>
          <w:color w:val="auto"/>
          <w:spacing w:val="6"/>
          <w:sz w:val="32"/>
          <w:szCs w:val="32"/>
          <w:highlight w:val="none"/>
          <w:lang w:val="en-US" w:eastAsia="zh-CN"/>
        </w:rPr>
        <w:t>并</w:t>
      </w:r>
      <w:r>
        <w:rPr>
          <w:rFonts w:hint="default" w:ascii="Times New Roman" w:hAnsi="Times New Roman" w:eastAsia="仿宋_GB2312" w:cs="Times New Roman"/>
          <w:color w:val="auto"/>
          <w:spacing w:val="6"/>
          <w:sz w:val="32"/>
          <w:szCs w:val="32"/>
          <w:highlight w:val="none"/>
          <w:lang w:eastAsia="zh-CN"/>
        </w:rPr>
        <w:t>推广“AI+甘蔗种植”模型</w:t>
      </w:r>
      <w:r>
        <w:rPr>
          <w:rFonts w:hint="eastAsia" w:ascii="Times New Roman" w:hAnsi="Times New Roman" w:eastAsia="仿宋_GB2312" w:cs="Times New Roman"/>
          <w:color w:val="auto"/>
          <w:spacing w:val="6"/>
          <w:sz w:val="32"/>
          <w:szCs w:val="32"/>
          <w:highlight w:val="none"/>
          <w:lang w:eastAsia="zh-CN"/>
        </w:rPr>
        <w:t>，推动新品种研发</w:t>
      </w:r>
      <w:r>
        <w:rPr>
          <w:rFonts w:hint="default" w:ascii="Times New Roman" w:hAnsi="Times New Roman" w:eastAsia="仿宋_GB2312" w:cs="Times New Roman"/>
          <w:color w:val="auto"/>
          <w:spacing w:val="6"/>
          <w:sz w:val="32"/>
          <w:szCs w:val="32"/>
          <w:highlight w:val="none"/>
          <w:lang w:eastAsia="zh-CN"/>
        </w:rPr>
        <w:t>。探索</w:t>
      </w:r>
      <w:r>
        <w:rPr>
          <w:rFonts w:hint="eastAsia" w:ascii="Times New Roman" w:hAnsi="Times New Roman" w:eastAsia="仿宋_GB2312" w:cs="Times New Roman"/>
          <w:color w:val="auto"/>
          <w:spacing w:val="6"/>
          <w:sz w:val="32"/>
          <w:szCs w:val="32"/>
          <w:highlight w:val="none"/>
          <w:lang w:eastAsia="zh-CN"/>
        </w:rPr>
        <w:t>人工智能</w:t>
      </w:r>
      <w:r>
        <w:rPr>
          <w:rFonts w:hint="default" w:ascii="Times New Roman" w:hAnsi="Times New Roman" w:eastAsia="仿宋_GB2312" w:cs="Times New Roman"/>
          <w:color w:val="auto"/>
          <w:spacing w:val="6"/>
          <w:sz w:val="32"/>
          <w:szCs w:val="32"/>
          <w:highlight w:val="none"/>
          <w:lang w:eastAsia="zh-CN"/>
        </w:rPr>
        <w:t>在智慧城管、智慧交通、应急管理等城市治理场景</w:t>
      </w:r>
      <w:r>
        <w:rPr>
          <w:rFonts w:hint="default" w:ascii="Times New Roman" w:hAnsi="Times New Roman" w:eastAsia="仿宋_GB2312" w:cs="Times New Roman"/>
          <w:color w:val="auto"/>
          <w:spacing w:val="6"/>
          <w:sz w:val="32"/>
          <w:szCs w:val="32"/>
          <w:highlight w:val="none"/>
          <w:lang w:val="en-US" w:eastAsia="zh-CN"/>
        </w:rPr>
        <w:t>的</w:t>
      </w:r>
      <w:r>
        <w:rPr>
          <w:rFonts w:hint="default" w:ascii="Times New Roman" w:hAnsi="Times New Roman" w:eastAsia="仿宋_GB2312" w:cs="Times New Roman"/>
          <w:color w:val="auto"/>
          <w:spacing w:val="6"/>
          <w:sz w:val="32"/>
          <w:szCs w:val="32"/>
          <w:highlight w:val="none"/>
          <w:lang w:eastAsia="zh-CN"/>
        </w:rPr>
        <w:t>应用。</w:t>
      </w:r>
      <w:r>
        <w:rPr>
          <w:rFonts w:hint="default" w:ascii="Times New Roman" w:hAnsi="Times New Roman" w:eastAsia="仿宋_GB2312" w:cs="Times New Roman"/>
          <w:color w:val="auto"/>
          <w:spacing w:val="6"/>
          <w:sz w:val="32"/>
          <w:szCs w:val="32"/>
          <w:highlight w:val="none"/>
          <w:lang w:val="en-US" w:eastAsia="zh-CN"/>
        </w:rPr>
        <w:t>拓展人工智能在文旅、</w:t>
      </w:r>
      <w:r>
        <w:rPr>
          <w:rFonts w:hint="eastAsia" w:ascii="Times New Roman" w:hAnsi="Times New Roman" w:eastAsia="仿宋_GB2312" w:cs="Times New Roman"/>
          <w:color w:val="auto"/>
          <w:spacing w:val="6"/>
          <w:sz w:val="32"/>
          <w:szCs w:val="32"/>
          <w:highlight w:val="none"/>
          <w:lang w:val="en-US" w:eastAsia="zh-Hans"/>
        </w:rPr>
        <w:t>农业</w:t>
      </w:r>
      <w:r>
        <w:rPr>
          <w:rFonts w:hint="default" w:ascii="Times New Roman" w:hAnsi="Times New Roman" w:eastAsia="仿宋_GB2312" w:cs="Times New Roman"/>
          <w:color w:val="auto"/>
          <w:spacing w:val="6"/>
          <w:sz w:val="32"/>
          <w:szCs w:val="32"/>
          <w:highlight w:val="none"/>
          <w:lang w:eastAsia="zh-Hans"/>
        </w:rPr>
        <w:t>、</w:t>
      </w:r>
      <w:r>
        <w:rPr>
          <w:rFonts w:hint="default" w:ascii="Times New Roman" w:hAnsi="Times New Roman" w:eastAsia="仿宋_GB2312" w:cs="Times New Roman"/>
          <w:color w:val="auto"/>
          <w:spacing w:val="6"/>
          <w:sz w:val="32"/>
          <w:szCs w:val="32"/>
          <w:highlight w:val="none"/>
          <w:lang w:val="en-US" w:eastAsia="zh-CN"/>
        </w:rPr>
        <w:t>教育等重点领域的融合应用，推动产业智能化升级。</w:t>
      </w:r>
    </w:p>
    <w:p w14:paraId="66AC70B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57" w:name="_Toc254610461"/>
      <w:bookmarkStart w:id="58" w:name="_Toc2067589450"/>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三</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建设高素质人才队伍</w:t>
      </w:r>
      <w:bookmarkEnd w:id="55"/>
      <w:r>
        <w:rPr>
          <w:rFonts w:hint="default" w:ascii="楷体" w:hAnsi="楷体" w:eastAsia="楷体" w:cs="楷体"/>
          <w:color w:val="000000" w:themeColor="text1"/>
          <w:highlight w:val="none"/>
          <w:lang w:val="en-US" w:eastAsia="zh-Hans"/>
          <w14:textFill>
            <w14:solidFill>
              <w14:schemeClr w14:val="tx1"/>
            </w14:solidFill>
          </w14:textFill>
        </w:rPr>
        <w:t>，</w:t>
      </w:r>
      <w:r>
        <w:rPr>
          <w:rFonts w:hint="eastAsia" w:ascii="楷体" w:hAnsi="楷体" w:eastAsia="楷体" w:cs="楷体"/>
          <w:color w:val="000000" w:themeColor="text1"/>
          <w:highlight w:val="none"/>
          <w:lang w:val="en-US" w:eastAsia="zh-Hans"/>
          <w14:textFill>
            <w14:solidFill>
              <w14:schemeClr w14:val="tx1"/>
            </w14:solidFill>
          </w14:textFill>
        </w:rPr>
        <w:t>打牢创新根基</w:t>
      </w:r>
      <w:bookmarkEnd w:id="57"/>
      <w:bookmarkEnd w:id="58"/>
    </w:p>
    <w:p w14:paraId="5835BC8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firstLine="640" w:firstLineChars="200"/>
        <w:textAlignment w:val="auto"/>
        <w:rPr>
          <w:rFonts w:hint="eastAsia"/>
        </w:rPr>
      </w:pPr>
      <w:r>
        <w:rPr>
          <w:rFonts w:hint="default" w:ascii="Times New Roman" w:hAnsi="Times New Roman" w:eastAsia="仿宋_GB2312" w:cs="Times New Roman"/>
          <w:color w:val="auto"/>
          <w:sz w:val="32"/>
          <w:szCs w:val="32"/>
          <w:highlight w:val="none"/>
          <w:lang w:eastAsia="zh-CN"/>
        </w:rPr>
        <w:t>深入实施人才强县战略，制定急需紧缺人才目录，精准引进和定向培养一批高层次科技创新人才、高水平经营管理人才和高素质技能人才。</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完善柔性引才机制，进一步打破户籍、地域、身份、学历、人事关系等制约，为人才流动、高效配置提供通道。加快培育制糖、制药、精细化工、木业等重点行业、重点领域、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战略性新兴产业</w:t>
      </w:r>
      <w:r>
        <w:rPr>
          <w:rFonts w:hint="eastAsia" w:ascii="仿宋_GB2312" w:hAnsi="仿宋_GB2312" w:eastAsia="仿宋_GB2312" w:cs="仿宋_GB2312"/>
          <w:color w:val="000000" w:themeColor="text1"/>
          <w:sz w:val="32"/>
          <w:szCs w:val="32"/>
          <w:highlight w:val="none"/>
          <w14:textFill>
            <w14:solidFill>
              <w14:schemeClr w14:val="tx1"/>
            </w14:solidFill>
          </w14:textFill>
        </w:rPr>
        <w:t>人才。</w:t>
      </w:r>
      <w:r>
        <w:rPr>
          <w:rFonts w:hint="default" w:ascii="Times New Roman" w:hAnsi="Times New Roman" w:eastAsia="仿宋_GB2312" w:cs="Times New Roman"/>
          <w:color w:val="auto"/>
          <w:sz w:val="32"/>
          <w:szCs w:val="32"/>
          <w:highlight w:val="none"/>
          <w:lang w:eastAsia="zh-CN"/>
        </w:rPr>
        <w:t>深化与广西科技大学、柳州职业技术</w:t>
      </w:r>
      <w:r>
        <w:rPr>
          <w:rFonts w:hint="eastAsia" w:ascii="Times New Roman" w:hAnsi="Times New Roman" w:eastAsia="仿宋_GB2312" w:cs="Times New Roman"/>
          <w:color w:val="auto"/>
          <w:sz w:val="32"/>
          <w:szCs w:val="32"/>
          <w:highlight w:val="none"/>
          <w:lang w:eastAsia="zh-CN"/>
        </w:rPr>
        <w:t>大学</w:t>
      </w:r>
      <w:r>
        <w:rPr>
          <w:rFonts w:hint="default" w:ascii="Times New Roman" w:hAnsi="Times New Roman" w:eastAsia="仿宋_GB2312" w:cs="Times New Roman"/>
          <w:color w:val="auto"/>
          <w:sz w:val="32"/>
          <w:szCs w:val="32"/>
          <w:highlight w:val="none"/>
          <w:lang w:eastAsia="zh-CN"/>
        </w:rPr>
        <w:t>等</w:t>
      </w:r>
      <w:r>
        <w:rPr>
          <w:rFonts w:hint="eastAsia" w:ascii="Times New Roman" w:hAnsi="Times New Roman" w:eastAsia="仿宋_GB2312" w:cs="Times New Roman"/>
          <w:color w:val="auto"/>
          <w:sz w:val="32"/>
          <w:szCs w:val="32"/>
          <w:highlight w:val="none"/>
          <w:lang w:eastAsia="zh-CN"/>
        </w:rPr>
        <w:t>高校</w:t>
      </w:r>
      <w:r>
        <w:rPr>
          <w:rFonts w:hint="default" w:ascii="Times New Roman" w:hAnsi="Times New Roman" w:eastAsia="仿宋_GB2312" w:cs="Times New Roman"/>
          <w:color w:val="auto"/>
          <w:sz w:val="32"/>
          <w:szCs w:val="32"/>
          <w:highlight w:val="none"/>
          <w:lang w:eastAsia="zh-CN"/>
        </w:rPr>
        <w:t>合作，共建实训基地，订单式培养产业急需的技能型人才。</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深化产业工人队伍建设改革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auto"/>
          <w:sz w:val="32"/>
          <w:szCs w:val="32"/>
          <w:highlight w:val="none"/>
          <w:lang w:val="en-US" w:eastAsia="zh-CN"/>
        </w:rPr>
        <w:t>加强本土人才队伍建设，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健全产业工人发展体系，维护产业工人合法权益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auto"/>
          <w:sz w:val="32"/>
          <w:szCs w:val="32"/>
          <w:highlight w:val="none"/>
          <w:lang w:val="en-US" w:eastAsia="zh-CN"/>
        </w:rPr>
        <w:t>在农业、工业等重点领域培养造就更多劳模工匠。</w:t>
      </w:r>
      <w:r>
        <w:rPr>
          <w:rFonts w:hint="default" w:ascii="Times New Roman" w:hAnsi="Times New Roman" w:eastAsia="仿宋_GB2312" w:cs="Times New Roman"/>
          <w:color w:val="auto"/>
          <w:sz w:val="32"/>
          <w:szCs w:val="32"/>
          <w:highlight w:val="none"/>
          <w:lang w:eastAsia="zh-CN"/>
        </w:rPr>
        <w:t>建立健全以创新能力、质量、实效、贡献为导向的人才评价体系</w:t>
      </w:r>
      <w:r>
        <w:rPr>
          <w:rFonts w:hint="eastAsia" w:ascii="Times New Roman" w:hAnsi="Times New Roman" w:eastAsia="仿宋_GB2312" w:cs="Times New Roman"/>
          <w:color w:val="auto"/>
          <w:sz w:val="32"/>
          <w:szCs w:val="32"/>
          <w:highlight w:val="none"/>
          <w:lang w:eastAsia="zh-CN"/>
        </w:rPr>
        <w:t>和多元化的激励体系</w:t>
      </w:r>
      <w:r>
        <w:rPr>
          <w:rFonts w:hint="default" w:ascii="Times New Roman" w:hAnsi="Times New Roman" w:eastAsia="仿宋_GB2312" w:cs="Times New Roman"/>
          <w:color w:val="auto"/>
          <w:sz w:val="32"/>
          <w:szCs w:val="32"/>
          <w:highlight w:val="none"/>
          <w:lang w:eastAsia="zh-CN"/>
        </w:rPr>
        <w:t>，破除“四唯”倾向，不断提升人才创新动力。优化人才服务保障，在住房安居、子女教育、配偶就业、医疗</w:t>
      </w:r>
      <w:r>
        <w:rPr>
          <w:rFonts w:hint="default" w:ascii="Times New Roman" w:hAnsi="Times New Roman" w:eastAsia="仿宋_GB2312" w:cs="Times New Roman"/>
          <w:color w:val="auto"/>
          <w:sz w:val="32"/>
          <w:szCs w:val="32"/>
          <w:highlight w:val="none"/>
          <w:lang w:val="en-US" w:eastAsia="zh-CN"/>
        </w:rPr>
        <w:t>健康</w:t>
      </w:r>
      <w:r>
        <w:rPr>
          <w:rFonts w:hint="default" w:ascii="Times New Roman" w:hAnsi="Times New Roman" w:eastAsia="仿宋_GB2312" w:cs="Times New Roman"/>
          <w:color w:val="auto"/>
          <w:sz w:val="32"/>
          <w:szCs w:val="32"/>
          <w:highlight w:val="none"/>
          <w:lang w:eastAsia="zh-CN"/>
        </w:rPr>
        <w:t>等方面提供系统支持，营造尊重人才、求贤若渴的社会环境。</w:t>
      </w:r>
    </w:p>
    <w:p w14:paraId="75A5197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59" w:name="_Toc18439"/>
      <w:bookmarkStart w:id="60" w:name="_Toc1542994043"/>
      <w:bookmarkStart w:id="61" w:name="_Toc1450593203"/>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四</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深入持久</w:t>
      </w:r>
      <w:bookmarkEnd w:id="59"/>
      <w:bookmarkEnd w:id="60"/>
      <w:r>
        <w:rPr>
          <w:rFonts w:hint="default" w:ascii="楷体" w:hAnsi="楷体" w:eastAsia="楷体" w:cs="楷体"/>
          <w:color w:val="000000" w:themeColor="text1"/>
          <w:highlight w:val="none"/>
          <w:lang w:val="en-US" w:eastAsia="zh-CN"/>
          <w14:textFill>
            <w14:solidFill>
              <w14:schemeClr w14:val="tx1"/>
            </w14:solidFill>
          </w14:textFill>
        </w:rPr>
        <w:t>优化创新发展生态</w:t>
      </w:r>
      <w:bookmarkEnd w:id="61"/>
    </w:p>
    <w:p w14:paraId="79B8A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cs="黑体"/>
          <w:color w:val="000000" w:themeColor="text1"/>
          <w:sz w:val="32"/>
          <w:szCs w:val="40"/>
          <w:highlight w:val="none"/>
          <w:lang w:val="en-US" w:eastAsia="zh-Han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强“双创”平台体系建设，精心谋划创建一批“双创”基地，探索推进企业技术中心、工程技术研究中心建设路径。鼓励龙头企业牵头发展孵化机构联盟，支持行业骨干企业、社会力量建设孵化器。加快众创空间、科技孵化器、公共服务平台等创业创新载体向专业化、精细化方向升级。加强科学技术普及，</w:t>
      </w:r>
      <w:r>
        <w:rPr>
          <w:rFonts w:hint="default" w:ascii="Times New Roman" w:hAnsi="Times New Roman" w:eastAsia="仿宋_GB2312" w:cs="Times New Roman"/>
          <w:color w:val="auto"/>
          <w:sz w:val="32"/>
          <w:szCs w:val="32"/>
          <w:highlight w:val="none"/>
          <w:lang w:val="en-US" w:eastAsia="zh-CN"/>
        </w:rPr>
        <w:t>完善科技创新体制机制，</w:t>
      </w:r>
      <w:r>
        <w:rPr>
          <w:rFonts w:hint="eastAsia" w:ascii="仿宋_GB2312" w:hAnsi="仿宋_GB2312" w:eastAsia="仿宋_GB2312" w:cs="仿宋_GB2312"/>
          <w:color w:val="000000" w:themeColor="text1"/>
          <w:sz w:val="32"/>
          <w:szCs w:val="32"/>
          <w:highlight w:val="none"/>
          <w14:textFill>
            <w14:solidFill>
              <w14:schemeClr w14:val="tx1"/>
            </w14:solidFill>
          </w14:textFill>
        </w:rPr>
        <w:t>培育创新文化，</w:t>
      </w:r>
      <w:r>
        <w:rPr>
          <w:rFonts w:hint="default" w:ascii="Times New Roman" w:hAnsi="Times New Roman" w:eastAsia="仿宋_GB2312" w:cs="Times New Roman"/>
          <w:color w:val="auto"/>
          <w:sz w:val="32"/>
          <w:szCs w:val="32"/>
          <w:highlight w:val="none"/>
          <w:lang w:val="en-US" w:eastAsia="zh-CN"/>
        </w:rPr>
        <w:t>持续</w:t>
      </w:r>
      <w:r>
        <w:rPr>
          <w:rFonts w:hint="default" w:ascii="Times New Roman" w:hAnsi="Times New Roman" w:eastAsia="仿宋_GB2312" w:cs="Times New Roman"/>
          <w:color w:val="auto"/>
          <w:sz w:val="32"/>
          <w:szCs w:val="32"/>
          <w:highlight w:val="none"/>
          <w:lang w:eastAsia="zh-CN"/>
        </w:rPr>
        <w:t>加大财政</w:t>
      </w:r>
      <w:r>
        <w:rPr>
          <w:rFonts w:hint="default" w:ascii="Times New Roman" w:hAnsi="Times New Roman" w:eastAsia="仿宋_GB2312" w:cs="Times New Roman"/>
          <w:color w:val="auto"/>
          <w:sz w:val="32"/>
          <w:szCs w:val="32"/>
          <w:highlight w:val="none"/>
          <w:lang w:val="en-US" w:eastAsia="zh-CN"/>
        </w:rPr>
        <w:t>资金</w:t>
      </w:r>
      <w:r>
        <w:rPr>
          <w:rFonts w:hint="default" w:ascii="Times New Roman" w:hAnsi="Times New Roman" w:eastAsia="仿宋_GB2312" w:cs="Times New Roman"/>
          <w:color w:val="auto"/>
          <w:sz w:val="32"/>
          <w:szCs w:val="32"/>
          <w:highlight w:val="none"/>
          <w:lang w:eastAsia="zh-CN"/>
        </w:rPr>
        <w:t>投入，引导金融资本、社会资本更多投向科技创新领域。探索设立</w:t>
      </w:r>
      <w:r>
        <w:rPr>
          <w:rFonts w:hint="default" w:ascii="Times New Roman" w:hAnsi="Times New Roman" w:eastAsia="仿宋_GB2312" w:cs="Times New Roman"/>
          <w:color w:val="auto"/>
          <w:sz w:val="32"/>
          <w:szCs w:val="32"/>
          <w:highlight w:val="none"/>
          <w:lang w:val="en-US" w:eastAsia="zh-CN"/>
        </w:rPr>
        <w:t>县级</w:t>
      </w:r>
      <w:r>
        <w:rPr>
          <w:rFonts w:hint="default" w:ascii="Times New Roman" w:hAnsi="Times New Roman" w:eastAsia="仿宋_GB2312" w:cs="Times New Roman"/>
          <w:color w:val="auto"/>
          <w:sz w:val="32"/>
          <w:szCs w:val="32"/>
          <w:highlight w:val="none"/>
          <w:lang w:eastAsia="zh-CN"/>
        </w:rPr>
        <w:t>科技成果转化引导基金，支持重大科技成果在柳城落地转化。</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柳城科学技术奖励评定办法，重点向重大产业技术攻关、技术成果应用转化的科研成果倾斜。实施高新技术企业倍增计划、科技型中小企业成长计划，打造一批高新技术企业。加快知识产权质押融资、专利保险、投贷联动等科技金融产品创新，支持科技金融专营机构发展。</w:t>
      </w:r>
      <w:r>
        <w:rPr>
          <w:rFonts w:hint="default" w:ascii="Times New Roman" w:hAnsi="Times New Roman" w:eastAsia="仿宋_GB2312" w:cs="Times New Roman"/>
          <w:color w:val="auto"/>
          <w:sz w:val="32"/>
          <w:szCs w:val="32"/>
          <w:highlight w:val="none"/>
          <w:lang w:eastAsia="zh-CN"/>
        </w:rPr>
        <w:t>全面加强知识产权创造、运用、保护、管理和服务能力，依法严厉打击侵权行为。大力弘扬科学家精神、工匠精神、企业家精神，营造鼓励创新、宽容失败的</w:t>
      </w:r>
      <w:r>
        <w:rPr>
          <w:rFonts w:hint="default" w:ascii="Times New Roman" w:hAnsi="Times New Roman" w:eastAsia="仿宋_GB2312" w:cs="Times New Roman"/>
          <w:color w:val="auto"/>
          <w:sz w:val="32"/>
          <w:szCs w:val="32"/>
          <w:highlight w:val="none"/>
          <w:lang w:val="en-US" w:eastAsia="zh-CN"/>
        </w:rPr>
        <w:t>社会</w:t>
      </w:r>
      <w:r>
        <w:rPr>
          <w:rFonts w:hint="default" w:ascii="Times New Roman" w:hAnsi="Times New Roman" w:eastAsia="仿宋_GB2312" w:cs="Times New Roman"/>
          <w:color w:val="auto"/>
          <w:sz w:val="32"/>
          <w:szCs w:val="32"/>
          <w:highlight w:val="none"/>
          <w:lang w:eastAsia="zh-CN"/>
        </w:rPr>
        <w:t>氛围。深入实施科普惠民工程，提升全民科学素养，激发全社会创新创造热情。</w:t>
      </w:r>
      <w:bookmarkStart w:id="62" w:name="_Toc88359529"/>
    </w:p>
    <w:p w14:paraId="494BCC18">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br w:type="page"/>
      </w:r>
    </w:p>
    <w:p w14:paraId="160CF758">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color w:val="auto"/>
          <w:sz w:val="32"/>
          <w:szCs w:val="40"/>
          <w:lang w:val="en-US" w:eastAsia="zh-CN"/>
        </w:rPr>
      </w:pPr>
      <w:bookmarkStart w:id="63" w:name="_Toc1885602077"/>
      <w:r>
        <w:rPr>
          <w:rFonts w:hint="eastAsia" w:ascii="黑体" w:hAnsi="黑体" w:eastAsia="黑体" w:cs="黑体"/>
          <w:color w:val="auto"/>
          <w:sz w:val="32"/>
          <w:szCs w:val="40"/>
          <w:lang w:val="en-US" w:eastAsia="zh-CN"/>
        </w:rPr>
        <w:t>发挥经济体制改革牵引作用，激发内生发展动力</w:t>
      </w:r>
      <w:bookmarkEnd w:id="62"/>
      <w:bookmarkEnd w:id="63"/>
    </w:p>
    <w:p w14:paraId="4F8E32B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kern w:val="2"/>
          <w:sz w:val="32"/>
          <w:szCs w:val="32"/>
          <w:highlight w:val="none"/>
          <w:lang w:val="en-US" w:eastAsia="zh-CN" w:bidi="ar-SA"/>
        </w:rPr>
        <w:t>紧紧抓住深化经济体制改革“牛鼻子”，加快破除制约高质量发展的体制机制障碍，实现市场有效有序、政府有为有度</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eastAsia="zh-Hans" w:bidi="ar-SA"/>
        </w:rPr>
        <w:t>企业</w:t>
      </w:r>
      <w:r>
        <w:rPr>
          <w:rFonts w:hint="eastAsia" w:ascii="仿宋_GB2312" w:hAnsi="仿宋_GB2312" w:eastAsia="仿宋_GB2312" w:cs="仿宋_GB2312"/>
          <w:color w:val="auto"/>
          <w:kern w:val="2"/>
          <w:sz w:val="32"/>
          <w:szCs w:val="32"/>
          <w:highlight w:val="none"/>
          <w:lang w:eastAsia="zh-CN" w:bidi="ar-SA"/>
        </w:rPr>
        <w:t>有张有弛</w:t>
      </w:r>
      <w:r>
        <w:rPr>
          <w:rFonts w:hint="eastAsia" w:ascii="仿宋_GB2312" w:hAnsi="仿宋_GB2312" w:eastAsia="仿宋_GB2312" w:cs="仿宋_GB2312"/>
          <w:color w:val="auto"/>
          <w:kern w:val="2"/>
          <w:sz w:val="32"/>
          <w:szCs w:val="32"/>
          <w:highlight w:val="none"/>
          <w:lang w:val="en-US" w:eastAsia="zh-CN" w:bidi="ar-SA"/>
        </w:rPr>
        <w:t>，持续增强经济发展动力和活力。</w:t>
      </w:r>
    </w:p>
    <w:p w14:paraId="33DAD47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auto"/>
          <w:highlight w:val="none"/>
          <w:lang w:val="en-US" w:eastAsia="zh-Hans"/>
        </w:rPr>
      </w:pPr>
      <w:bookmarkStart w:id="64" w:name="_Toc1147403826"/>
      <w:bookmarkStart w:id="65" w:name="_Toc897929360"/>
      <w:r>
        <w:rPr>
          <w:rFonts w:hint="eastAsia" w:ascii="楷体" w:hAnsi="楷体" w:eastAsia="楷体" w:cs="楷体"/>
          <w:color w:val="auto"/>
          <w:highlight w:val="none"/>
          <w:lang w:val="en-US" w:eastAsia="zh-Hans"/>
        </w:rPr>
        <w:t>第一节</w:t>
      </w:r>
      <w:r>
        <w:rPr>
          <w:rFonts w:hint="eastAsia" w:ascii="楷体" w:hAnsi="楷体" w:eastAsia="楷体" w:cs="楷体"/>
          <w:color w:val="auto"/>
          <w:highlight w:val="none"/>
          <w:lang w:val="en-US" w:eastAsia="zh-CN"/>
        </w:rPr>
        <w:t xml:space="preserve"> </w:t>
      </w:r>
      <w:r>
        <w:rPr>
          <w:rFonts w:hint="eastAsia" w:ascii="楷体" w:hAnsi="楷体" w:eastAsia="楷体" w:cs="楷体"/>
          <w:color w:val="auto"/>
          <w:highlight w:val="none"/>
          <w:lang w:val="en-US" w:eastAsia="zh-Hans"/>
        </w:rPr>
        <w:t>激发各类</w:t>
      </w:r>
      <w:r>
        <w:rPr>
          <w:rFonts w:hint="eastAsia" w:ascii="楷体" w:hAnsi="楷体" w:eastAsia="楷体" w:cs="楷体"/>
          <w:color w:val="auto"/>
          <w:highlight w:val="none"/>
          <w:lang w:val="en-US" w:eastAsia="zh-CN"/>
        </w:rPr>
        <w:t>经营</w:t>
      </w:r>
      <w:r>
        <w:rPr>
          <w:rFonts w:hint="eastAsia" w:ascii="楷体" w:hAnsi="楷体" w:eastAsia="楷体" w:cs="楷体"/>
          <w:color w:val="auto"/>
          <w:highlight w:val="none"/>
          <w:lang w:val="en-US" w:eastAsia="zh-Hans"/>
        </w:rPr>
        <w:t>主体活力</w:t>
      </w:r>
      <w:bookmarkEnd w:id="64"/>
      <w:r>
        <w:rPr>
          <w:rFonts w:hint="default" w:ascii="楷体" w:hAnsi="楷体" w:eastAsia="楷体" w:cs="楷体"/>
          <w:color w:val="auto"/>
          <w:highlight w:val="none"/>
          <w:lang w:val="en-US" w:eastAsia="zh-Hans"/>
        </w:rPr>
        <w:t>，</w:t>
      </w:r>
      <w:r>
        <w:rPr>
          <w:rFonts w:hint="eastAsia" w:ascii="楷体" w:hAnsi="楷体" w:eastAsia="楷体" w:cs="楷体"/>
          <w:color w:val="auto"/>
          <w:highlight w:val="none"/>
          <w:lang w:val="en-US" w:eastAsia="zh-Hans"/>
        </w:rPr>
        <w:t>推动经济持续健康发展</w:t>
      </w:r>
      <w:bookmarkEnd w:id="65"/>
    </w:p>
    <w:p w14:paraId="5D9F2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坚持和落实“两个毫不动摇”，促进各种所有制经济优势互补、共同发展。不断激发</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rPr>
        <w:t>主体潜力和活力，进一步</w:t>
      </w:r>
      <w:r>
        <w:rPr>
          <w:rFonts w:hint="eastAsia" w:ascii="仿宋_GB2312" w:hAnsi="仿宋_GB2312" w:eastAsia="仿宋_GB2312" w:cs="仿宋_GB2312"/>
          <w:color w:val="auto"/>
          <w:sz w:val="32"/>
          <w:szCs w:val="32"/>
          <w:highlight w:val="none"/>
          <w:lang w:eastAsia="zh-Hans"/>
        </w:rPr>
        <w:t>激发</w:t>
      </w:r>
      <w:r>
        <w:rPr>
          <w:rFonts w:hint="eastAsia" w:ascii="仿宋_GB2312" w:hAnsi="仿宋_GB2312" w:eastAsia="仿宋_GB2312" w:cs="仿宋_GB2312"/>
          <w:color w:val="auto"/>
          <w:sz w:val="32"/>
          <w:szCs w:val="32"/>
          <w:highlight w:val="none"/>
          <w:lang w:val="en-US" w:eastAsia="zh-Hans"/>
        </w:rPr>
        <w:t>各类</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lang w:val="en-US" w:eastAsia="zh-Hans"/>
        </w:rPr>
        <w:t>主体活力</w:t>
      </w:r>
      <w:r>
        <w:rPr>
          <w:rFonts w:hint="eastAsia" w:ascii="仿宋_GB2312" w:hAnsi="仿宋_GB2312" w:eastAsia="仿宋_GB2312" w:cs="仿宋_GB2312"/>
          <w:color w:val="auto"/>
          <w:sz w:val="32"/>
          <w:szCs w:val="32"/>
          <w:highlight w:val="none"/>
        </w:rPr>
        <w:t>，推动全县经济持续健康发展。</w:t>
      </w:r>
    </w:p>
    <w:p w14:paraId="53BA99A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大力发展</w:t>
      </w:r>
      <w:r>
        <w:rPr>
          <w:rFonts w:hint="eastAsia" w:ascii="仿宋_GB2312" w:hAnsi="仿宋_GB2312" w:eastAsia="仿宋_GB2312" w:cs="仿宋_GB2312"/>
          <w:b/>
          <w:bCs/>
          <w:color w:val="auto"/>
          <w:sz w:val="32"/>
          <w:szCs w:val="32"/>
          <w:highlight w:val="none"/>
          <w:lang w:val="en-US" w:eastAsia="zh-CN"/>
        </w:rPr>
        <w:t>民营</w:t>
      </w:r>
      <w:r>
        <w:rPr>
          <w:rFonts w:hint="eastAsia" w:ascii="仿宋_GB2312" w:hAnsi="仿宋_GB2312" w:eastAsia="仿宋_GB2312" w:cs="仿宋_GB2312"/>
          <w:b/>
          <w:bCs/>
          <w:color w:val="auto"/>
          <w:sz w:val="32"/>
          <w:szCs w:val="32"/>
          <w:highlight w:val="none"/>
        </w:rPr>
        <w:t>经济。</w:t>
      </w:r>
      <w:r>
        <w:rPr>
          <w:rFonts w:hint="eastAsia" w:ascii="仿宋_GB2312" w:hAnsi="仿宋_GB2312" w:eastAsia="仿宋_GB2312" w:cs="仿宋_GB2312"/>
          <w:color w:val="auto"/>
          <w:sz w:val="32"/>
          <w:szCs w:val="32"/>
          <w:highlight w:val="none"/>
        </w:rPr>
        <w:t>落实促进</w:t>
      </w:r>
      <w:r>
        <w:rPr>
          <w:rFonts w:hint="eastAsia" w:ascii="仿宋_GB2312" w:hAnsi="仿宋_GB2312" w:eastAsia="仿宋_GB2312" w:cs="仿宋_GB2312"/>
          <w:color w:val="auto"/>
          <w:sz w:val="32"/>
          <w:szCs w:val="32"/>
          <w:highlight w:val="none"/>
          <w:lang w:val="en-US" w:eastAsia="zh-CN"/>
        </w:rPr>
        <w:t>民营</w:t>
      </w:r>
      <w:r>
        <w:rPr>
          <w:rFonts w:hint="eastAsia" w:ascii="仿宋_GB2312" w:hAnsi="仿宋_GB2312" w:eastAsia="仿宋_GB2312" w:cs="仿宋_GB2312"/>
          <w:color w:val="auto"/>
          <w:sz w:val="32"/>
          <w:szCs w:val="32"/>
          <w:highlight w:val="none"/>
        </w:rPr>
        <w:t>经济跨越发展的政策措施，推动出台民营经济促进条例，吸引和扩大民营经济投资，切实保障平等使用生产要素、公平参与市场竞争、有效保护合法权益。鼓励</w:t>
      </w:r>
      <w:r>
        <w:rPr>
          <w:rFonts w:hint="eastAsia" w:ascii="仿宋_GB2312" w:hAnsi="仿宋_GB2312" w:eastAsia="仿宋_GB2312" w:cs="仿宋_GB2312"/>
          <w:color w:val="auto"/>
          <w:sz w:val="32"/>
          <w:szCs w:val="32"/>
          <w:highlight w:val="none"/>
          <w:lang w:val="en-US" w:eastAsia="zh-CN"/>
        </w:rPr>
        <w:t>民营</w:t>
      </w:r>
      <w:r>
        <w:rPr>
          <w:rFonts w:hint="eastAsia" w:ascii="仿宋_GB2312" w:hAnsi="仿宋_GB2312" w:eastAsia="仿宋_GB2312" w:cs="仿宋_GB2312"/>
          <w:color w:val="auto"/>
          <w:sz w:val="32"/>
          <w:szCs w:val="32"/>
          <w:highlight w:val="none"/>
        </w:rPr>
        <w:t>企业向</w:t>
      </w:r>
      <w:r>
        <w:rPr>
          <w:rFonts w:hint="eastAsia" w:ascii="仿宋_GB2312" w:hAnsi="仿宋_GB2312" w:eastAsia="仿宋_GB2312" w:cs="仿宋_GB2312"/>
          <w:color w:val="auto"/>
          <w:sz w:val="32"/>
          <w:szCs w:val="32"/>
          <w:highlight w:val="none"/>
          <w:lang w:val="en-US" w:eastAsia="zh-CN"/>
        </w:rPr>
        <w:t>工业</w:t>
      </w:r>
      <w:r>
        <w:rPr>
          <w:rFonts w:hint="eastAsia" w:ascii="仿宋_GB2312" w:hAnsi="仿宋_GB2312" w:eastAsia="仿宋_GB2312" w:cs="仿宋_GB2312"/>
          <w:color w:val="auto"/>
          <w:sz w:val="32"/>
          <w:szCs w:val="32"/>
          <w:highlight w:val="none"/>
        </w:rPr>
        <w:t>园区集聚发展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支持企业通过上市融资、股权交易、发行债券、基金融资等方式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扩大融资渠道和规模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不断做大做强。建立健全民营企业信用状况综合评价体系。大力发展新型混合所有制经济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国有资本、集体资本、非公有资本相互融合、优势互补、共同发展。支持中小企业和个体工商户发展。强化产权执法司法保护，切实加强对查封、扣押、冻结等强制措施的司法监督。弘扬企业家精神，深入开展一流企业创建</w:t>
      </w:r>
      <w:r>
        <w:rPr>
          <w:rFonts w:hint="eastAsia" w:ascii="仿宋_GB2312" w:hAnsi="仿宋_GB2312" w:eastAsia="仿宋_GB2312" w:cs="仿宋_GB2312"/>
          <w:color w:val="auto"/>
          <w:sz w:val="32"/>
          <w:szCs w:val="32"/>
          <w:highlight w:val="none"/>
          <w:lang w:eastAsia="zh-Hans"/>
        </w:rPr>
        <w:t>工作</w:t>
      </w:r>
      <w:r>
        <w:rPr>
          <w:rFonts w:hint="eastAsia" w:ascii="仿宋_GB2312" w:hAnsi="仿宋_GB2312" w:eastAsia="仿宋_GB2312" w:cs="仿宋_GB2312"/>
          <w:color w:val="auto"/>
          <w:sz w:val="32"/>
          <w:szCs w:val="32"/>
          <w:highlight w:val="none"/>
        </w:rPr>
        <w:t>。</w:t>
      </w:r>
    </w:p>
    <w:p w14:paraId="17BA6E1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000000" w:themeColor="text1"/>
          <w:highlight w:val="none"/>
          <w14:textFill>
            <w14:solidFill>
              <w14:schemeClr w14:val="tx1"/>
            </w14:solidFill>
          </w14:textFill>
        </w:rPr>
      </w:pPr>
      <w:r>
        <w:rPr>
          <w:rFonts w:hint="eastAsia" w:ascii="仿宋_GB2312" w:hAnsi="仿宋_GB2312" w:eastAsia="仿宋_GB2312" w:cs="仿宋_GB2312"/>
          <w:b/>
          <w:bCs/>
          <w:color w:val="auto"/>
          <w:sz w:val="32"/>
          <w:szCs w:val="32"/>
          <w:highlight w:val="none"/>
        </w:rPr>
        <w:t>深化国资国企改革。</w:t>
      </w:r>
      <w:r>
        <w:rPr>
          <w:rFonts w:hint="eastAsia" w:ascii="仿宋_GB2312" w:hAnsi="仿宋_GB2312" w:eastAsia="仿宋_GB2312" w:cs="仿宋_GB2312"/>
          <w:color w:val="auto"/>
          <w:sz w:val="32"/>
          <w:szCs w:val="32"/>
          <w:highlight w:val="none"/>
        </w:rPr>
        <w:t>深入推进国有企业改革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构建高效、规范的国有资本运营和投资管理体制机制。完善现代企业制度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加快健全国有企业法人治理结构</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深化企业的劳动、人事、分配“三项制度”改革。建立科学合理的激励约束机制，鼓励国有企业提升自主创新能力，公平参与市场竞争，鼓励发展新产</w:t>
      </w:r>
      <w:r>
        <w:rPr>
          <w:rFonts w:hint="eastAsia" w:ascii="仿宋_GB2312" w:hAnsi="仿宋_GB2312" w:eastAsia="仿宋_GB2312" w:cs="仿宋_GB2312"/>
          <w:color w:val="000000" w:themeColor="text1"/>
          <w:sz w:val="32"/>
          <w:szCs w:val="32"/>
          <w:highlight w:val="none"/>
          <w14:textFill>
            <w14:solidFill>
              <w14:schemeClr w14:val="tx1"/>
            </w14:solidFill>
          </w14:textFill>
        </w:rPr>
        <w:t>业新业态新模式，增强发展活力。深化国有企业混合所有制改革，探索鼓励政府平台公司</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优势资源与民营企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业和</w:t>
      </w:r>
      <w:r>
        <w:rPr>
          <w:rFonts w:hint="eastAsia" w:ascii="仿宋_GB2312" w:hAnsi="仿宋_GB2312" w:eastAsia="仿宋_GB2312" w:cs="仿宋_GB2312"/>
          <w:color w:val="000000" w:themeColor="text1"/>
          <w:sz w:val="32"/>
          <w:szCs w:val="32"/>
          <w:highlight w:val="none"/>
          <w14:textFill>
            <w14:solidFill>
              <w14:schemeClr w14:val="tx1"/>
            </w14:solidFill>
          </w14:textFill>
        </w:rPr>
        <w:t>社会资本精准对接，推动国有企业资源要素重新整合开发利用，做强做优做大国有资本。健全以管资本为主的国有资产监管体制机制，完善国有资本经营预算管理，建立更加公开透明的国有企业信息公开制度，防止国有资本流失，确保国有资产保值增值。</w:t>
      </w:r>
    </w:p>
    <w:p w14:paraId="4FB2B32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66" w:name="_Toc1131166051"/>
      <w:bookmarkStart w:id="67" w:name="_Toc12953522"/>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二</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持续深化要素市场化配置</w:t>
      </w:r>
      <w:r>
        <w:rPr>
          <w:rFonts w:hint="default" w:ascii="楷体" w:hAnsi="楷体" w:eastAsia="楷体" w:cs="楷体"/>
          <w:color w:val="000000" w:themeColor="text1"/>
          <w:highlight w:val="none"/>
          <w:lang w:val="en-US" w:eastAsia="zh-Hans"/>
          <w14:textFill>
            <w14:solidFill>
              <w14:schemeClr w14:val="tx1"/>
            </w14:solidFill>
          </w14:textFill>
        </w:rPr>
        <w:t>，</w:t>
      </w:r>
      <w:r>
        <w:rPr>
          <w:rFonts w:hint="eastAsia" w:ascii="楷体" w:hAnsi="楷体" w:eastAsia="楷体" w:cs="楷体"/>
          <w:color w:val="000000" w:themeColor="text1"/>
          <w:highlight w:val="none"/>
          <w:lang w:val="en-US" w:eastAsia="zh-Hans"/>
          <w14:textFill>
            <w14:solidFill>
              <w14:schemeClr w14:val="tx1"/>
            </w14:solidFill>
          </w14:textFill>
        </w:rPr>
        <w:t>增强高质量发展动力</w:t>
      </w:r>
      <w:bookmarkEnd w:id="66"/>
      <w:bookmarkEnd w:id="67"/>
    </w:p>
    <w:p w14:paraId="0F53EBC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深化</w:t>
      </w:r>
      <w:r>
        <w:rPr>
          <w:rFonts w:hint="eastAsia" w:ascii="仿宋_GB2312" w:hAnsi="仿宋_GB2312" w:eastAsia="仿宋_GB2312" w:cs="仿宋_GB2312"/>
          <w:b/>
          <w:bCs/>
          <w:color w:val="auto"/>
          <w:kern w:val="2"/>
          <w:sz w:val="32"/>
          <w:szCs w:val="32"/>
          <w:highlight w:val="none"/>
          <w:lang w:val="en-US" w:eastAsia="zh-Hans" w:bidi="ar-SA"/>
        </w:rPr>
        <w:t>生产</w:t>
      </w:r>
      <w:r>
        <w:rPr>
          <w:rFonts w:hint="eastAsia" w:ascii="仿宋_GB2312" w:hAnsi="仿宋_GB2312" w:eastAsia="仿宋_GB2312" w:cs="仿宋_GB2312"/>
          <w:b/>
          <w:bCs/>
          <w:color w:val="auto"/>
          <w:kern w:val="2"/>
          <w:sz w:val="32"/>
          <w:szCs w:val="32"/>
          <w:highlight w:val="none"/>
          <w:lang w:val="en-US" w:eastAsia="zh-CN" w:bidi="ar-SA"/>
        </w:rPr>
        <w:t>要素配置改革</w:t>
      </w:r>
      <w:r>
        <w:rPr>
          <w:rFonts w:hint="default" w:ascii="仿宋_GB2312" w:hAnsi="仿宋_GB2312" w:eastAsia="仿宋_GB2312" w:cs="仿宋_GB2312"/>
          <w:b/>
          <w:bCs/>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健全生产要素由市场评价贡献、按贡献决定报酬的机制。加快公共和企业数据资源开发利用，推进数据资产化。建立健全城乡统一的建设用地市场，深化“标准地”改革，有序推进混合产业用地供给。建立健全重大工程项目要素联审保障机制。推进能源、交通等领域价格改革。编制资产负债表，盘活用好低效用地、闲置房产、存量基础设施。推进行政事业单位存量国有资产盘活共享。推动司法判决执行与破产制度有机衔接，依法有效盘活被查封冻结财产。</w:t>
      </w:r>
    </w:p>
    <w:p w14:paraId="055CBE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深化财税</w:t>
      </w:r>
      <w:r>
        <w:rPr>
          <w:rFonts w:hint="eastAsia" w:ascii="仿宋_GB2312" w:hAnsi="仿宋_GB2312" w:eastAsia="仿宋_GB2312" w:cs="仿宋_GB2312"/>
          <w:b/>
          <w:bCs/>
          <w:color w:val="auto"/>
          <w:sz w:val="32"/>
          <w:szCs w:val="32"/>
          <w:highlight w:val="none"/>
          <w:lang w:eastAsia="zh-Hans"/>
        </w:rPr>
        <w:t>金融</w:t>
      </w:r>
      <w:r>
        <w:rPr>
          <w:rFonts w:hint="eastAsia" w:ascii="仿宋_GB2312" w:hAnsi="仿宋_GB2312" w:eastAsia="仿宋_GB2312" w:cs="仿宋_GB2312"/>
          <w:b/>
          <w:bCs/>
          <w:color w:val="auto"/>
          <w:sz w:val="32"/>
          <w:szCs w:val="32"/>
          <w:highlight w:val="none"/>
        </w:rPr>
        <w:t>改革。</w:t>
      </w:r>
      <w:r>
        <w:rPr>
          <w:rFonts w:hint="eastAsia" w:ascii="仿宋_GB2312" w:hAnsi="仿宋_GB2312" w:eastAsia="仿宋_GB2312" w:cs="仿宋_GB2312"/>
          <w:color w:val="auto"/>
          <w:sz w:val="32"/>
          <w:szCs w:val="32"/>
          <w:highlight w:val="none"/>
        </w:rPr>
        <w:t>完善财政体制，优化财政支出结构，加大对民生、生态、产业等重点领域的投入力度。加强财政预算管理，推进预算公开透明，提高财政资金使用效率。深化税收征管体制改革，落实税收优惠政策，减轻企业税收负担。加强政府债务管理，防范化解政府债务风险。深化投融资体制改革，放宽市场准入，鼓励社会资本参与基础设施建设、公共服务供给等领域。完善政府投资管理体制，提高政府投资决策科学化、民主化水平。</w:t>
      </w:r>
      <w:r>
        <w:rPr>
          <w:rFonts w:hint="eastAsia" w:ascii="仿宋_GB2312" w:hAnsi="仿宋_GB2312" w:eastAsia="仿宋_GB2312" w:cs="仿宋_GB2312"/>
          <w:color w:val="auto"/>
          <w:sz w:val="32"/>
          <w:szCs w:val="32"/>
          <w:highlight w:val="none"/>
          <w:lang w:eastAsia="zh-CN"/>
        </w:rPr>
        <w:t>促进</w:t>
      </w:r>
      <w:r>
        <w:rPr>
          <w:rFonts w:hint="eastAsia" w:ascii="仿宋_GB2312" w:hAnsi="仿宋_GB2312" w:eastAsia="仿宋_GB2312" w:cs="仿宋_GB2312"/>
          <w:color w:val="auto"/>
          <w:sz w:val="32"/>
          <w:szCs w:val="32"/>
          <w:highlight w:val="none"/>
        </w:rPr>
        <w:t>融资平台公司市场化转型，提升融资平台公司融资能力和运营效率。拓宽融资渠道，支持企业通过股权融资、债券融资等方式筹集资金。</w:t>
      </w:r>
    </w:p>
    <w:p w14:paraId="3975BF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kern w:val="0"/>
          <w:sz w:val="32"/>
          <w:szCs w:val="32"/>
          <w:highlight w:val="none"/>
          <w:lang w:val="en-US" w:eastAsia="zh-Hans" w:bidi="ar-SA"/>
        </w:rPr>
      </w:pPr>
      <w:r>
        <w:rPr>
          <w:rFonts w:hint="eastAsia" w:ascii="仿宋_GB2312" w:hAnsi="仿宋_GB2312" w:eastAsia="仿宋_GB2312" w:cs="仿宋_GB2312"/>
          <w:b/>
          <w:bCs/>
          <w:color w:val="auto"/>
          <w:sz w:val="32"/>
          <w:szCs w:val="32"/>
          <w:highlight w:val="none"/>
        </w:rPr>
        <w:t>持续优化营商环境。</w:t>
      </w:r>
      <w:r>
        <w:rPr>
          <w:rFonts w:hint="eastAsia" w:ascii="仿宋_GB2312" w:hAnsi="仿宋_GB2312" w:eastAsia="仿宋_GB2312" w:cs="仿宋_GB2312"/>
          <w:color w:val="auto"/>
          <w:sz w:val="32"/>
          <w:szCs w:val="32"/>
          <w:highlight w:val="none"/>
        </w:rPr>
        <w:t>深化“放管服”改革，推进简政放权、放管结合、优化服务，降低制度性交易成本。完善行政审批制度，推行“一网通办”“一窗通办”，提高行政审批效率。加强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人工智能+</w:t>
      </w:r>
      <w:r>
        <w:rPr>
          <w:rFonts w:hint="eastAsia" w:ascii="仿宋_GB2312" w:hAnsi="仿宋_GB2312" w:eastAsia="仿宋_GB2312" w:cs="仿宋_GB2312"/>
          <w:color w:val="auto"/>
          <w:sz w:val="32"/>
          <w:szCs w:val="32"/>
          <w:highlight w:val="none"/>
        </w:rPr>
        <w:t>政务服务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标准化建设，提升政务服务质量和水平。加强市场监管，健全以“双随机、一公开”监管为基本手段、以重点监管为补充、以信用监管为基础的新型监管机制，营造公平竞争的市场环境。保护各类</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rPr>
        <w:t>主体产权和合法权益，激发</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rPr>
        <w:t>主体活力。</w:t>
      </w:r>
    </w:p>
    <w:p w14:paraId="7AAC83C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jc w:val="center"/>
        <w:textAlignment w:val="auto"/>
        <w:rPr>
          <w:rFonts w:hint="default" w:ascii="楷体" w:hAnsi="楷体" w:eastAsia="楷体" w:cs="楷体"/>
          <w:b/>
          <w:bCs/>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bCs/>
          <w:color w:val="000000" w:themeColor="text1"/>
          <w:kern w:val="0"/>
          <w:sz w:val="32"/>
          <w:szCs w:val="32"/>
          <w:highlight w:val="none"/>
          <w:lang w:val="en-US" w:eastAsia="zh-Hans" w:bidi="ar-SA"/>
          <w14:textFill>
            <w14:solidFill>
              <w14:schemeClr w14:val="tx1"/>
            </w14:solidFill>
          </w14:textFill>
        </w:rPr>
        <w:t>第三节</w:t>
      </w:r>
      <w:r>
        <w:rPr>
          <w:rFonts w:hint="default" w:ascii="楷体" w:hAnsi="楷体" w:eastAsia="楷体" w:cs="楷体"/>
          <w:b/>
          <w:bCs/>
          <w:color w:val="000000" w:themeColor="text1"/>
          <w:kern w:val="0"/>
          <w:sz w:val="32"/>
          <w:szCs w:val="32"/>
          <w:highlight w:val="none"/>
          <w:lang w:eastAsia="zh-Hans" w:bidi="ar-SA"/>
          <w14:textFill>
            <w14:solidFill>
              <w14:schemeClr w14:val="tx1"/>
            </w14:solidFill>
          </w14:textFill>
        </w:rPr>
        <w:t xml:space="preserve"> </w:t>
      </w:r>
      <w:r>
        <w:rPr>
          <w:rFonts w:hint="default" w:ascii="楷体" w:hAnsi="楷体" w:eastAsia="楷体" w:cs="楷体"/>
          <w:b/>
          <w:bCs/>
          <w:color w:val="000000" w:themeColor="text1"/>
          <w:kern w:val="0"/>
          <w:sz w:val="32"/>
          <w:szCs w:val="32"/>
          <w:highlight w:val="none"/>
          <w:lang w:val="en-US" w:eastAsia="zh-CN" w:bidi="ar-SA"/>
          <w14:textFill>
            <w14:solidFill>
              <w14:schemeClr w14:val="tx1"/>
            </w14:solidFill>
          </w14:textFill>
        </w:rPr>
        <w:t>激发内需消费潜力，培育经济新动能</w:t>
      </w:r>
    </w:p>
    <w:p w14:paraId="35604CB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大力提振消费</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精准把握消费升级趋势，深入实施提振消费专项行动，推动消费结构向文旅休闲、体育健康、银发经济、数字消费、绿色消费等高品质、服务化方向升级。统筹抓好促就业、增收入、稳预期，合理提高公共服务支出占财政支出比重，增强居民消费能力。加大直达消费者的普惠政策力度，增加政府资金用于民生保障支出。健全促进消费长效机制，完善适应消费新业态、新模式、新场景的管理制度，落实带薪错峰休假制度。强化消费者权益保护，营造放心消费环境。</w:t>
      </w:r>
    </w:p>
    <w:p w14:paraId="34EB266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firstLine="643" w:firstLineChars="200"/>
        <w:textAlignment w:val="auto"/>
        <w:rPr>
          <w:rFonts w:hint="eastAsia"/>
          <w:lang w:val="en-US" w:eastAsia="zh-CN"/>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扩大投资</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适应人口结构变化和城镇化趋势，统筹推进基础设施和公共服务设施建设。鼓励企业加大设备更新和技术改造投资，支持社会资本投向战略性新兴产业和未来产业。紧盯专项债、中央和自治区预算内资金、政策性银行等重大资金支持的方向和领域，抢抓政策机遇，扎实推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两重两新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双百双新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等重大项目建设。</w:t>
      </w:r>
    </w:p>
    <w:p w14:paraId="6C25264B">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CN"/>
        </w:rPr>
      </w:pPr>
      <w:bookmarkStart w:id="68" w:name="_Toc1982575913"/>
      <w:r>
        <w:rPr>
          <w:rFonts w:hint="eastAsia" w:ascii="黑体" w:hAnsi="黑体" w:eastAsia="黑体" w:cs="黑体"/>
          <w:sz w:val="32"/>
          <w:szCs w:val="40"/>
          <w:lang w:val="en-US" w:eastAsia="zh-CN"/>
        </w:rPr>
        <w:t>推动新型城镇化建设，</w:t>
      </w:r>
      <w:r>
        <w:rPr>
          <w:rFonts w:hint="eastAsia" w:ascii="黑体" w:hAnsi="黑体" w:eastAsia="黑体" w:cs="黑体"/>
          <w:sz w:val="32"/>
          <w:szCs w:val="40"/>
          <w:lang w:val="en-US" w:eastAsia="zh-Hans"/>
        </w:rPr>
        <w:t>统筹推进</w:t>
      </w:r>
      <w:r>
        <w:rPr>
          <w:rFonts w:hint="eastAsia" w:ascii="黑体" w:hAnsi="黑体" w:eastAsia="黑体" w:cs="黑体"/>
          <w:sz w:val="32"/>
          <w:szCs w:val="40"/>
          <w:lang w:val="en-US" w:eastAsia="zh-CN"/>
        </w:rPr>
        <w:t>城乡融合发展</w:t>
      </w:r>
      <w:bookmarkEnd w:id="68"/>
    </w:p>
    <w:p w14:paraId="3E0BA3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highlight w:val="none"/>
          <w14:textFill>
            <w14:solidFill>
              <w14:schemeClr w14:val="tx1"/>
            </w14:solidFill>
          </w14:textFill>
        </w:rPr>
      </w:pPr>
      <w:bookmarkStart w:id="69" w:name="_Toc11643"/>
      <w:bookmarkStart w:id="70" w:name="_Toc10599"/>
      <w:bookmarkStart w:id="71" w:name="_Toc51676848"/>
      <w:r>
        <w:rPr>
          <w:rFonts w:hint="eastAsia" w:ascii="仿宋_GB2312" w:hAnsi="仿宋_GB2312" w:eastAsia="仿宋_GB2312" w:cs="仿宋_GB2312"/>
          <w:color w:val="000000" w:themeColor="text1"/>
          <w:sz w:val="32"/>
          <w:szCs w:val="32"/>
          <w:highlight w:val="none"/>
          <w14:textFill>
            <w14:solidFill>
              <w14:schemeClr w14:val="tx1"/>
            </w14:solidFill>
          </w14:textFill>
        </w:rPr>
        <w:t>以新型城镇化、城乡发展一体化战略机遇为契机，进一步优化城镇格局，实施“强县城”战略，大力推进城东新区建设，加快打造特色城镇，</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持续</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提升城市管理水平，走出一条经济实力较强、功能优势互补、区域特色鲜明的新型城镇化发展道路。</w:t>
      </w:r>
    </w:p>
    <w:p w14:paraId="1F8696EB">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72" w:name="_Toc1368383060"/>
      <w:bookmarkStart w:id="73" w:name="_Toc797102939"/>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完善县域国土空间规划</w:t>
      </w:r>
      <w:r>
        <w:rPr>
          <w:rFonts w:hint="eastAsia" w:ascii="楷体" w:hAnsi="楷体" w:eastAsia="楷体" w:cs="楷体"/>
          <w:color w:val="000000" w:themeColor="text1"/>
          <w:highlight w:val="none"/>
          <w:lang w:val="en-US" w:eastAsia="zh-Hans"/>
          <w14:textFill>
            <w14:solidFill>
              <w14:schemeClr w14:val="tx1"/>
            </w14:solidFill>
          </w14:textFill>
        </w:rPr>
        <w:t>布局</w:t>
      </w:r>
      <w:bookmarkEnd w:id="72"/>
      <w:bookmarkEnd w:id="73"/>
    </w:p>
    <w:p w14:paraId="3055B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科学划定生态保护红线、永久基本农田、城镇开发边界三条控制线，优化国土空间开发保护格局。合理布局城镇、农业、生态三大空间，促进城乡空间协调发展。加强县城中心城区建设，提升中心城区集聚能力和辐射带动能力；培育重点镇，发展特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auto"/>
          <w:sz w:val="32"/>
          <w:szCs w:val="32"/>
          <w:highlight w:val="none"/>
        </w:rPr>
        <w:t>打造城乡融合发展</w:t>
      </w:r>
      <w:r>
        <w:rPr>
          <w:rFonts w:hint="eastAsia" w:ascii="仿宋_GB2312" w:hAnsi="仿宋_GB2312" w:eastAsia="仿宋_GB2312" w:cs="仿宋_GB2312"/>
          <w:color w:val="auto"/>
          <w:sz w:val="32"/>
          <w:szCs w:val="32"/>
          <w:highlight w:val="none"/>
          <w:lang w:eastAsia="zh-Hans"/>
        </w:rPr>
        <w:t>新示范</w:t>
      </w:r>
      <w:r>
        <w:rPr>
          <w:rFonts w:hint="eastAsia" w:ascii="仿宋_GB2312" w:hAnsi="仿宋_GB2312" w:eastAsia="仿宋_GB2312" w:cs="仿宋_GB2312"/>
          <w:color w:val="auto"/>
          <w:sz w:val="32"/>
          <w:szCs w:val="32"/>
          <w:highlight w:val="none"/>
        </w:rPr>
        <w:t>。</w:t>
      </w:r>
    </w:p>
    <w:p w14:paraId="33DF26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color w:val="000000" w:themeColor="text1"/>
          <w:sz w:val="32"/>
          <w:szCs w:val="22"/>
          <w:highlight w:val="none"/>
          <w14:textFill>
            <w14:solidFill>
              <w14:schemeClr w14:val="tx1"/>
            </w14:solidFill>
          </w14:textFill>
        </w:rPr>
        <w:t>依托主要交通干线，加快形成以县城为核心、以沙埔镇和凤山镇为两翼、以重点城镇和特色乡镇为支撑点、以水陆交通枢纽为纽带的“一核两翼多支点</w:t>
      </w:r>
      <w:r>
        <w:rPr>
          <w:rFonts w:hint="default" w:ascii="仿宋_GB2312" w:hAnsi="仿宋_GB2312" w:eastAsia="仿宋_GB2312" w:cs="仿宋_GB2312"/>
          <w:color w:val="000000" w:themeColor="text1"/>
          <w:sz w:val="32"/>
          <w:szCs w:val="22"/>
          <w:highlight w:val="none"/>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两轴两圈</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两线</w:t>
      </w:r>
      <w:r>
        <w:rPr>
          <w:rFonts w:hint="eastAsia" w:ascii="仿宋_GB2312" w:hAnsi="仿宋_GB2312" w:eastAsia="仿宋_GB2312" w:cs="仿宋_GB2312"/>
          <w:color w:val="000000" w:themeColor="text1"/>
          <w:sz w:val="32"/>
          <w:szCs w:val="22"/>
          <w:highlight w:val="none"/>
          <w14:textFill>
            <w14:solidFill>
              <w14:schemeClr w14:val="tx1"/>
            </w14:solidFill>
          </w14:textFill>
        </w:rPr>
        <w:t>”城镇空间格局，积极推进与柳州市区同城化发展进程。</w:t>
      </w:r>
    </w:p>
    <w:p w14:paraId="21A9E0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b/>
          <w:bCs/>
          <w:color w:val="000000" w:themeColor="text1"/>
          <w:sz w:val="32"/>
          <w:szCs w:val="22"/>
          <w:highlight w:val="none"/>
          <w14:textFill>
            <w14:solidFill>
              <w14:schemeClr w14:val="tx1"/>
            </w14:solidFill>
          </w14:textFill>
        </w:rPr>
        <w:t>“一核”：</w:t>
      </w:r>
      <w:r>
        <w:rPr>
          <w:rFonts w:hint="eastAsia" w:ascii="仿宋_GB2312" w:hAnsi="仿宋_GB2312" w:eastAsia="仿宋_GB2312" w:cs="仿宋_GB2312"/>
          <w:color w:val="000000" w:themeColor="text1"/>
          <w:sz w:val="32"/>
          <w:szCs w:val="22"/>
          <w:highlight w:val="none"/>
          <w14:textFill>
            <w14:solidFill>
              <w14:schemeClr w14:val="tx1"/>
            </w14:solidFill>
          </w14:textFill>
        </w:rPr>
        <w:t>即以县城大埔镇为核心，是全县政治、经济、文化、交通中心，按照“一江两岸、东扩中优西移、重点向东”的总体思路，实施“强县城”战略，重点开发城东新区，改造提升老城区，加大融江两岸的开发力度，加快推进河西产城融合，加强人口和产业集聚，</w:t>
      </w:r>
      <w:r>
        <w:rPr>
          <w:rFonts w:hint="eastAsia" w:ascii="仿宋_GB2312" w:hAnsi="仿宋_GB2312" w:eastAsia="仿宋_GB2312" w:cs="仿宋_GB2312"/>
          <w:snapToGrid w:val="0"/>
          <w:color w:val="000000" w:themeColor="text1"/>
          <w:sz w:val="32"/>
          <w:szCs w:val="32"/>
          <w:highlight w:val="none"/>
          <w14:textFill>
            <w14:solidFill>
              <w14:schemeClr w14:val="tx1"/>
            </w14:solidFill>
          </w14:textFill>
        </w:rPr>
        <w:t>加强城市管理，提升城市形象</w:t>
      </w:r>
      <w:r>
        <w:rPr>
          <w:rFonts w:hint="eastAsia" w:ascii="仿宋_GB2312" w:hAnsi="仿宋_GB2312" w:eastAsia="仿宋_GB2312" w:cs="仿宋_GB2312"/>
          <w:color w:val="000000" w:themeColor="text1"/>
          <w:sz w:val="32"/>
          <w:szCs w:val="22"/>
          <w:highlight w:val="none"/>
          <w14:textFill>
            <w14:solidFill>
              <w14:schemeClr w14:val="tx1"/>
            </w14:solidFill>
          </w14:textFill>
        </w:rPr>
        <w:t>。</w:t>
      </w:r>
    </w:p>
    <w:p w14:paraId="7964C6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b/>
          <w:bCs/>
          <w:color w:val="000000" w:themeColor="text1"/>
          <w:sz w:val="32"/>
          <w:szCs w:val="22"/>
          <w:highlight w:val="none"/>
          <w14:textFill>
            <w14:solidFill>
              <w14:schemeClr w14:val="tx1"/>
            </w14:solidFill>
          </w14:textFill>
        </w:rPr>
        <w:t>“两翼”：</w:t>
      </w:r>
      <w:r>
        <w:rPr>
          <w:rFonts w:hint="eastAsia" w:ascii="仿宋_GB2312" w:hAnsi="仿宋_GB2312" w:eastAsia="仿宋_GB2312" w:cs="仿宋_GB2312"/>
          <w:color w:val="000000" w:themeColor="text1"/>
          <w:sz w:val="32"/>
          <w:szCs w:val="22"/>
          <w:highlight w:val="none"/>
          <w14:textFill>
            <w14:solidFill>
              <w14:schemeClr w14:val="tx1"/>
            </w14:solidFill>
          </w14:textFill>
        </w:rPr>
        <w:t>即以沙埔镇和凤山镇为两翼，南融东进，加快与柳州市同城化</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发展步伐</w:t>
      </w:r>
      <w:r>
        <w:rPr>
          <w:rFonts w:hint="eastAsia" w:ascii="仿宋_GB2312" w:hAnsi="仿宋_GB2312" w:eastAsia="仿宋_GB2312" w:cs="仿宋_GB2312"/>
          <w:color w:val="000000" w:themeColor="text1"/>
          <w:sz w:val="32"/>
          <w:szCs w:val="22"/>
          <w:highlight w:val="none"/>
          <w14:textFill>
            <w14:solidFill>
              <w14:schemeClr w14:val="tx1"/>
            </w14:solidFill>
          </w14:textFill>
        </w:rPr>
        <w:t>。沙埔镇依托交通区位优势，打造柳州都市圈北翼的工业扩散地和物资集散地，承接县城向东扩张战略，沿鸡公山至城东新区城市大道打造经济走廊。凤山镇作为“百里柳江第一镇”，依托历史文化和生态环境禀赋，打造生态文化旅游特色</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22"/>
          <w:highlight w:val="none"/>
          <w14:textFill>
            <w14:solidFill>
              <w14:schemeClr w14:val="tx1"/>
            </w14:solidFill>
          </w14:textFill>
        </w:rPr>
        <w:t>镇。围绕船业工业引进上、下游企业，打造承接船舶工业专业园区。</w:t>
      </w:r>
    </w:p>
    <w:p w14:paraId="134BDC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b/>
          <w:bCs/>
          <w:color w:val="000000" w:themeColor="text1"/>
          <w:sz w:val="32"/>
          <w:szCs w:val="22"/>
          <w:highlight w:val="none"/>
          <w14:textFill>
            <w14:solidFill>
              <w14:schemeClr w14:val="tx1"/>
            </w14:solidFill>
          </w14:textFill>
        </w:rPr>
        <w:t>“多支点”：</w:t>
      </w:r>
      <w:r>
        <w:rPr>
          <w:rFonts w:hint="eastAsia" w:ascii="仿宋_GB2312" w:hAnsi="仿宋_GB2312" w:eastAsia="仿宋_GB2312" w:cs="仿宋_GB2312"/>
          <w:color w:val="000000" w:themeColor="text1"/>
          <w:sz w:val="32"/>
          <w:szCs w:val="22"/>
          <w:highlight w:val="none"/>
          <w14:textFill>
            <w14:solidFill>
              <w14:schemeClr w14:val="tx1"/>
            </w14:solidFill>
          </w14:textFill>
        </w:rPr>
        <w:t>即以六塘镇、马山镇、东泉镇、太平镇为重点城镇，以龙头镇、冲脉镇、寨隆镇、社冲乡、古砦乡为特色乡镇，加快各乡镇以及柳城华侨管理区、伏虎华侨管理区建设，夯实城乡融合发展的支撑点。六塘镇和马山镇重点依托工业园区分布发展精细化工产业和木材加工产业；东泉镇打造宜居宜业宜商的商旅</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22"/>
          <w:highlight w:val="none"/>
          <w14:textFill>
            <w14:solidFill>
              <w14:schemeClr w14:val="tx1"/>
            </w14:solidFill>
          </w14:textFill>
        </w:rPr>
        <w:t>镇，加快推进柳城华侨管理区体制改革和农旅融合发展；太平镇以农为主，打造农文旅特色</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22"/>
          <w:highlight w:val="none"/>
          <w14:textFill>
            <w14:solidFill>
              <w14:schemeClr w14:val="tx1"/>
            </w14:solidFill>
          </w14:textFill>
        </w:rPr>
        <w:t>镇；古砦乡以仫佬族文化为底，大力发展生态文化旅游业；龙头镇以农为主，打造农文旅融合发展的“柳北滨江</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22"/>
          <w:highlight w:val="none"/>
          <w14:textFill>
            <w14:solidFill>
              <w14:schemeClr w14:val="tx1"/>
            </w14:solidFill>
          </w14:textFill>
        </w:rPr>
        <w:t>镇”</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加快推进伏虎华侨农场体制改革，</w:t>
      </w:r>
      <w:r>
        <w:rPr>
          <w:rFonts w:hint="eastAsia" w:ascii="仿宋_GB2312" w:hAnsi="仿宋_GB2312" w:eastAsia="仿宋_GB2312" w:cs="仿宋_GB2312"/>
          <w:color w:val="000000" w:themeColor="text1"/>
          <w:kern w:val="0"/>
          <w:sz w:val="32"/>
          <w:szCs w:val="32"/>
          <w:highlight w:val="none"/>
          <w:u w:val="none"/>
          <w:shd w:val="clear" w:color="auto" w:fill="FFFFFF"/>
          <w:lang w:val="en-US" w:eastAsia="zh-CN" w:bidi="ar"/>
          <w14:textFill>
            <w14:solidFill>
              <w14:schemeClr w14:val="tx1"/>
            </w14:solidFill>
          </w14:textFill>
        </w:rPr>
        <w:t>以茶促旅，以旅带茶，推动伏华茶旅融合发展，把伏华-龙头打造成为融江旅游带上的“明珠”；</w:t>
      </w:r>
      <w:r>
        <w:rPr>
          <w:rFonts w:hint="eastAsia" w:ascii="仿宋_GB2312" w:hAnsi="仿宋_GB2312" w:eastAsia="仿宋_GB2312" w:cs="仿宋_GB2312"/>
          <w:color w:val="000000" w:themeColor="text1"/>
          <w:sz w:val="32"/>
          <w:szCs w:val="22"/>
          <w:highlight w:val="none"/>
          <w14:textFill>
            <w14:solidFill>
              <w14:schemeClr w14:val="tx1"/>
            </w14:solidFill>
          </w14:textFill>
        </w:rPr>
        <w:t>冲脉镇、寨隆镇、社冲乡以发展优质高效农业为主，拓展农旅融合。</w:t>
      </w:r>
    </w:p>
    <w:p w14:paraId="7FE591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b/>
          <w:bCs/>
          <w:color w:val="000000" w:themeColor="text1"/>
          <w:sz w:val="32"/>
          <w:szCs w:val="22"/>
          <w:highlight w:val="none"/>
          <w14:textFill>
            <w14:solidFill>
              <w14:schemeClr w14:val="tx1"/>
            </w14:solidFill>
          </w14:textFill>
        </w:rPr>
        <w:t>“两轴”：</w:t>
      </w:r>
      <w:r>
        <w:rPr>
          <w:rFonts w:hint="eastAsia" w:ascii="仿宋_GB2312" w:hAnsi="仿宋_GB2312" w:eastAsia="仿宋_GB2312" w:cs="仿宋_GB2312"/>
          <w:color w:val="000000" w:themeColor="text1"/>
          <w:sz w:val="32"/>
          <w:szCs w:val="22"/>
          <w:highlight w:val="none"/>
          <w14:textFill>
            <w14:solidFill>
              <w14:schemeClr w14:val="tx1"/>
            </w14:solidFill>
          </w14:textFill>
        </w:rPr>
        <w:t>即六塘</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马山（冲脉-寨隆）</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大埔</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沙埔</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东泉（太平）的东西发展轴和社冲</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凤山</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大埔</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古砦</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14:textFill>
            <w14:solidFill>
              <w14:schemeClr w14:val="tx1"/>
            </w14:solidFill>
          </w14:textFill>
        </w:rPr>
        <w:t>龙头的南北发展轴。东西发展轴主要依托交通主干道，引导产业集聚，培育发展一批综合型、加工型特色产业，促进产城融合发展。南北发展轴主要依托特色历史文化生态旅游资源，大力发展农文旅融合产业，辐射带动城镇化发展。</w:t>
      </w:r>
    </w:p>
    <w:p w14:paraId="7AD97D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22"/>
          <w:highlight w:val="none"/>
          <w14:textFill>
            <w14:solidFill>
              <w14:schemeClr w14:val="tx1"/>
            </w14:solidFill>
          </w14:textFill>
        </w:rPr>
      </w:pPr>
      <w:r>
        <w:rPr>
          <w:rFonts w:hint="eastAsia" w:ascii="仿宋_GB2312" w:hAnsi="仿宋_GB2312" w:eastAsia="仿宋_GB2312" w:cs="仿宋_GB2312"/>
          <w:b/>
          <w:bCs/>
          <w:color w:val="000000" w:themeColor="text1"/>
          <w:sz w:val="32"/>
          <w:szCs w:val="22"/>
          <w:highlight w:val="none"/>
          <w14:textFill>
            <w14:solidFill>
              <w14:schemeClr w14:val="tx1"/>
            </w14:solidFill>
          </w14:textFill>
        </w:rPr>
        <w:t>“两圈”：</w:t>
      </w:r>
      <w:r>
        <w:rPr>
          <w:rFonts w:hint="eastAsia" w:ascii="仿宋_GB2312" w:hAnsi="仿宋_GB2312" w:eastAsia="仿宋_GB2312" w:cs="仿宋_GB2312"/>
          <w:color w:val="000000" w:themeColor="text1"/>
          <w:sz w:val="32"/>
          <w:szCs w:val="22"/>
          <w:highlight w:val="none"/>
          <w14:textFill>
            <w14:solidFill>
              <w14:schemeClr w14:val="tx1"/>
            </w14:solidFill>
          </w14:textFill>
        </w:rPr>
        <w:t>即县城至各乡镇“半小时经济圈”和柳城至柳州“一小时经济圈”。</w:t>
      </w:r>
    </w:p>
    <w:p w14:paraId="112FB4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b/>
          <w:bCs/>
          <w:color w:val="000000" w:themeColor="text1"/>
          <w:sz w:val="32"/>
          <w:szCs w:val="32"/>
          <w:highlight w:val="none"/>
          <w:lang w:eastAsia="zh-CN"/>
          <w14:textFill>
            <w14:solidFill>
              <w14:schemeClr w14:val="tx1"/>
            </w14:solidFill>
          </w14:textFill>
        </w:rPr>
        <w:t>“两线”：</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即</w:t>
      </w:r>
      <w:r>
        <w:rPr>
          <w:rFonts w:hint="eastAsia" w:ascii="仿宋_GB2312" w:eastAsia="仿宋_GB2312"/>
          <w:b w:val="0"/>
          <w:bCs w:val="0"/>
          <w:color w:val="000000" w:themeColor="text1"/>
          <w:sz w:val="32"/>
          <w:szCs w:val="32"/>
          <w:highlight w:val="none"/>
          <w:lang w:eastAsia="zh-CN"/>
          <w14:textFill>
            <w14:solidFill>
              <w14:schemeClr w14:val="tx1"/>
            </w14:solidFill>
          </w14:textFill>
        </w:rPr>
        <w:t>以</w:t>
      </w:r>
      <w:r>
        <w:rPr>
          <w:rFonts w:hint="eastAsia" w:ascii="仿宋_GB2312" w:eastAsia="仿宋_GB2312"/>
          <w:color w:val="000000" w:themeColor="text1"/>
          <w:sz w:val="32"/>
          <w:szCs w:val="32"/>
          <w:highlight w:val="none"/>
          <w:lang w:eastAsia="zh-CN"/>
          <w14:textFill>
            <w14:solidFill>
              <w14:schemeClr w14:val="tx1"/>
            </w14:solidFill>
          </w14:textFill>
        </w:rPr>
        <w:t>乡土人情为主调，发展沙埔镇农家乐、云栖文化旅游综合体，太平镇侯信</w:t>
      </w:r>
      <w:r>
        <w:rPr>
          <w:rFonts w:hint="eastAsia" w:ascii="仿宋_GB2312" w:eastAsia="仿宋_GB2312"/>
          <w:color w:val="000000" w:themeColor="text1"/>
          <w:sz w:val="32"/>
          <w:szCs w:val="32"/>
          <w:highlight w:val="none"/>
          <w:lang w:val="en-US" w:eastAsia="zh-CN"/>
          <w14:textFill>
            <w14:solidFill>
              <w14:schemeClr w14:val="tx1"/>
            </w14:solidFill>
          </w14:textFill>
        </w:rPr>
        <w:t>故居</w:t>
      </w:r>
      <w:r>
        <w:rPr>
          <w:rFonts w:hint="eastAsia" w:ascii="仿宋_GB2312" w:eastAsia="仿宋_GB2312"/>
          <w:color w:val="000000" w:themeColor="text1"/>
          <w:sz w:val="32"/>
          <w:szCs w:val="32"/>
          <w:highlight w:val="none"/>
          <w:lang w:eastAsia="zh-CN"/>
          <w14:textFill>
            <w14:solidFill>
              <w14:schemeClr w14:val="tx1"/>
            </w14:solidFill>
          </w14:textFill>
        </w:rPr>
        <w:t>，大埔镇知青文化为乡土文化主题，打造贵州、三江、融水、融安到柳城南北特色文化精品线。以拓展农业文化产业为新质生产力，大力发展古砦稻花飘香、寨隆中药材、冲脉现代蚕业体验式休闲农业，与教育机构发展农业研学，构建贯穿柳城河西片区农业文化重镇，纳入柳州市和宜州市文旅开发精品线。</w:t>
      </w:r>
    </w:p>
    <w:p w14:paraId="60881455">
      <w:pPr>
        <w:pStyle w:val="2"/>
        <w:pageBreakBefore w:val="0"/>
        <w:wordWrap/>
        <w:overflowPunct/>
        <w:topLinePunct w:val="0"/>
        <w:bidi w:val="0"/>
        <w:spacing w:after="0" w:line="560" w:lineRule="exact"/>
        <w:jc w:val="center"/>
        <w:rPr>
          <w:rFonts w:hint="eastAsia" w:ascii="楷体_GB2312" w:hAnsi="楷体_GB2312" w:eastAsia="楷体_GB2312" w:cs="楷体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lang w:bidi="ar"/>
          <w14:textFill>
            <w14:solidFill>
              <w14:schemeClr w14:val="tx1"/>
            </w14:solidFill>
          </w14:textFill>
        </w:rPr>
        <w:t>柳城县</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“一核两翼多支点两轴两圈</w:t>
      </w:r>
      <w:r>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t>两线</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”城镇空间布局</w:t>
      </w:r>
      <w:r>
        <w:rPr>
          <w:color w:val="000000" w:themeColor="text1"/>
          <w:sz w:val="28"/>
          <w:szCs w:val="28"/>
          <w:highlight w:val="none"/>
          <w14:textFill>
            <w14:solidFill>
              <w14:schemeClr w14:val="tx1"/>
            </w14:solidFill>
          </w14:textFill>
        </w:rPr>
        <w:drawing>
          <wp:anchor distT="0" distB="0" distL="114300" distR="114300" simplePos="0" relativeHeight="251662336" behindDoc="0" locked="0" layoutInCell="1" allowOverlap="1">
            <wp:simplePos x="0" y="0"/>
            <wp:positionH relativeFrom="column">
              <wp:posOffset>184785</wp:posOffset>
            </wp:positionH>
            <wp:positionV relativeFrom="paragraph">
              <wp:posOffset>107950</wp:posOffset>
            </wp:positionV>
            <wp:extent cx="4936490" cy="3227705"/>
            <wp:effectExtent l="15875" t="15875" r="26035" b="33020"/>
            <wp:wrapTopAndBottom/>
            <wp:docPr id="4" name="图片 1" descr="微信图片_2021070321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微信图片_20210703213355"/>
                    <pic:cNvPicPr>
                      <a:picLocks noChangeAspect="1"/>
                    </pic:cNvPicPr>
                  </pic:nvPicPr>
                  <pic:blipFill>
                    <a:blip r:embed="rId13"/>
                    <a:srcRect l="3894" t="8502" r="7478" b="6383"/>
                    <a:stretch>
                      <a:fillRect/>
                    </a:stretch>
                  </pic:blipFill>
                  <pic:spPr>
                    <a:xfrm>
                      <a:off x="0" y="0"/>
                      <a:ext cx="4936490" cy="3227705"/>
                    </a:xfrm>
                    <a:prstGeom prst="rect">
                      <a:avLst/>
                    </a:prstGeom>
                    <a:noFill/>
                    <a:ln w="15875" cap="flat" cmpd="sng">
                      <a:solidFill>
                        <a:srgbClr val="808080"/>
                      </a:solidFill>
                      <a:prstDash val="solid"/>
                      <a:miter/>
                      <a:headEnd type="none" w="med" len="med"/>
                      <a:tailEnd type="none" w="med" len="med"/>
                    </a:ln>
                  </pic:spPr>
                </pic:pic>
              </a:graphicData>
            </a:graphic>
          </wp:anchor>
        </w:drawing>
      </w:r>
      <w:r>
        <w:rPr>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3029585</wp:posOffset>
                </wp:positionH>
                <wp:positionV relativeFrom="paragraph">
                  <wp:posOffset>1704340</wp:posOffset>
                </wp:positionV>
                <wp:extent cx="637540" cy="266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37540" cy="266700"/>
                        </a:xfrm>
                        <a:prstGeom prst="rect">
                          <a:avLst/>
                        </a:prstGeom>
                        <a:noFill/>
                        <a:ln>
                          <a:noFill/>
                        </a:ln>
                      </wps:spPr>
                      <wps:txbx>
                        <w:txbxContent>
                          <w:p w14:paraId="78FD0576">
                            <w:pPr>
                              <w:rPr>
                                <w:rFonts w:hint="eastAsia"/>
                                <w:b/>
                                <w:bCs/>
                                <w:szCs w:val="22"/>
                              </w:rPr>
                            </w:pPr>
                            <w:r>
                              <w:rPr>
                                <w:rFonts w:hint="eastAsia"/>
                                <w:b/>
                                <w:bCs/>
                                <w:szCs w:val="22"/>
                              </w:rPr>
                              <w:t>沙埔镇</w:t>
                            </w:r>
                          </w:p>
                        </w:txbxContent>
                      </wps:txbx>
                      <wps:bodyPr upright="1"/>
                    </wps:wsp>
                  </a:graphicData>
                </a:graphic>
              </wp:anchor>
            </w:drawing>
          </mc:Choice>
          <mc:Fallback>
            <w:pict>
              <v:shape id="_x0000_s1026" o:spid="_x0000_s1026" o:spt="202" type="#_x0000_t202" style="position:absolute;left:0pt;margin-left:238.55pt;margin-top:134.2pt;height:21pt;width:50.2pt;z-index:251660288;mso-width-relative:page;mso-height-relative:page;" filled="f" stroked="f" coordsize="21600,21600" o:gfxdata="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Axj3fZ&#10;AAAACwEAAA8AAAAAAAAAAQAgAAAAIgAAAGRycy9kb3ducmV2LnhtbFBLAQIUABQAAAAIAIdO4kA2&#10;sEwArQEAAE0DAAAOAAAAAAAAAAEAIAAAACgBAABkcnMvZTJvRG9jLnhtbFBLBQYAAAAABgAGAFkB&#10;AABHBQAAAAA=&#10;">
                <v:fill on="f" focussize="0,0"/>
                <v:stroke on="f"/>
                <v:imagedata o:title=""/>
                <o:lock v:ext="edit" aspectratio="f"/>
                <v:textbox>
                  <w:txbxContent>
                    <w:p w14:paraId="78FD0576">
                      <w:pPr>
                        <w:rPr>
                          <w:rFonts w:hint="eastAsia"/>
                          <w:b/>
                          <w:bCs/>
                          <w:szCs w:val="22"/>
                        </w:rPr>
                      </w:pPr>
                      <w:r>
                        <w:rPr>
                          <w:rFonts w:hint="eastAsia"/>
                          <w:b/>
                          <w:bCs/>
                          <w:szCs w:val="22"/>
                        </w:rPr>
                        <w:t>沙埔镇</w:t>
                      </w:r>
                    </w:p>
                  </w:txbxContent>
                </v:textbox>
              </v:shape>
            </w:pict>
          </mc:Fallback>
        </mc:AlternateContent>
      </w:r>
      <w:r>
        <w:rPr>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2553335</wp:posOffset>
                </wp:positionH>
                <wp:positionV relativeFrom="paragraph">
                  <wp:posOffset>2199640</wp:posOffset>
                </wp:positionV>
                <wp:extent cx="637540" cy="266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37540" cy="266700"/>
                        </a:xfrm>
                        <a:prstGeom prst="rect">
                          <a:avLst/>
                        </a:prstGeom>
                        <a:noFill/>
                        <a:ln>
                          <a:noFill/>
                        </a:ln>
                      </wps:spPr>
                      <wps:txbx>
                        <w:txbxContent>
                          <w:p w14:paraId="0F33FAD8">
                            <w:pPr>
                              <w:rPr>
                                <w:rFonts w:hint="eastAsia"/>
                                <w:b/>
                                <w:bCs/>
                                <w:szCs w:val="22"/>
                              </w:rPr>
                            </w:pPr>
                            <w:r>
                              <w:rPr>
                                <w:rFonts w:hint="eastAsia"/>
                                <w:b/>
                                <w:bCs/>
                                <w:szCs w:val="22"/>
                              </w:rPr>
                              <w:t>凤山镇</w:t>
                            </w:r>
                          </w:p>
                        </w:txbxContent>
                      </wps:txbx>
                      <wps:bodyPr upright="1"/>
                    </wps:wsp>
                  </a:graphicData>
                </a:graphic>
              </wp:anchor>
            </w:drawing>
          </mc:Choice>
          <mc:Fallback>
            <w:pict>
              <v:shape id="_x0000_s1026" o:spid="_x0000_s1026" o:spt="202" type="#_x0000_t202" style="position:absolute;left:0pt;margin-left:201.05pt;margin-top:173.2pt;height:21pt;width:50.2pt;z-index:251661312;mso-width-relative:page;mso-height-relative:page;" filled="f" stroked="f" coordsize="21600,21600" o:gfxdata="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qYpaNgA&#10;AAALAQAADwAAAAAAAAABACAAAAAiAAAAZHJzL2Rvd25yZXYueG1sUEsBAhQAFAAAAAgAh07iQJAF&#10;PZ+tAQAATQMAAA4AAAAAAAAAAQAgAAAAJwEAAGRycy9lMm9Eb2MueG1sUEsFBgAAAAAGAAYAWQEA&#10;AEYFAAAAAA==&#10;">
                <v:fill on="f" focussize="0,0"/>
                <v:stroke on="f"/>
                <v:imagedata o:title=""/>
                <o:lock v:ext="edit" aspectratio="f"/>
                <v:textbox>
                  <w:txbxContent>
                    <w:p w14:paraId="0F33FAD8">
                      <w:pPr>
                        <w:rPr>
                          <w:rFonts w:hint="eastAsia"/>
                          <w:b/>
                          <w:bCs/>
                          <w:szCs w:val="22"/>
                        </w:rPr>
                      </w:pPr>
                      <w:r>
                        <w:rPr>
                          <w:rFonts w:hint="eastAsia"/>
                          <w:b/>
                          <w:bCs/>
                          <w:szCs w:val="22"/>
                        </w:rPr>
                        <w:t>凤山镇</w:t>
                      </w:r>
                    </w:p>
                  </w:txbxContent>
                </v:textbox>
              </v:shape>
            </w:pict>
          </mc:Fallback>
        </mc:AlternateContent>
      </w:r>
      <w:r>
        <w:rPr>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2391410</wp:posOffset>
                </wp:positionH>
                <wp:positionV relativeFrom="paragraph">
                  <wp:posOffset>1285240</wp:posOffset>
                </wp:positionV>
                <wp:extent cx="514350" cy="304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a:noFill/>
                        </a:ln>
                      </wps:spPr>
                      <wps:txbx>
                        <w:txbxContent>
                          <w:p w14:paraId="2CAFCF26">
                            <w:pPr>
                              <w:rPr>
                                <w:rFonts w:hint="eastAsia"/>
                                <w:b/>
                                <w:bCs/>
                              </w:rPr>
                            </w:pPr>
                            <w:r>
                              <w:rPr>
                                <w:rFonts w:hint="eastAsia"/>
                                <w:b/>
                                <w:bCs/>
                              </w:rPr>
                              <w:t>县城</w:t>
                            </w:r>
                          </w:p>
                        </w:txbxContent>
                      </wps:txbx>
                      <wps:bodyPr upright="1"/>
                    </wps:wsp>
                  </a:graphicData>
                </a:graphic>
              </wp:anchor>
            </w:drawing>
          </mc:Choice>
          <mc:Fallback>
            <w:pict>
              <v:shape id="_x0000_s1026" o:spid="_x0000_s1026" o:spt="202" type="#_x0000_t202" style="position:absolute;left:0pt;margin-left:188.3pt;margin-top:101.2pt;height:24pt;width:40.5pt;z-index:251659264;mso-width-relative:page;mso-height-relative:page;" filled="f" stroked="f" coordsize="21600,21600" o:gfxdata="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07+2tgA&#10;AAALAQAADwAAAAAAAAABACAAAAAiAAAAZHJzL2Rvd25yZXYueG1sUEsBAhQAFAAAAAgAh07iQPYi&#10;hd+tAQAATQMAAA4AAAAAAAAAAQAgAAAAJwEAAGRycy9lMm9Eb2MueG1sUEsFBgAAAAAGAAYAWQEA&#10;AEYFAAAAAA==&#10;">
                <v:fill on="f" focussize="0,0"/>
                <v:stroke on="f"/>
                <v:imagedata o:title=""/>
                <o:lock v:ext="edit" aspectratio="f"/>
                <v:textbox>
                  <w:txbxContent>
                    <w:p w14:paraId="2CAFCF26">
                      <w:pPr>
                        <w:rPr>
                          <w:rFonts w:hint="eastAsia"/>
                          <w:b/>
                          <w:bCs/>
                        </w:rPr>
                      </w:pPr>
                      <w:r>
                        <w:rPr>
                          <w:rFonts w:hint="eastAsia"/>
                          <w:b/>
                          <w:bCs/>
                        </w:rPr>
                        <w:t>县城</w:t>
                      </w:r>
                    </w:p>
                  </w:txbxContent>
                </v:textbox>
              </v:shape>
            </w:pict>
          </mc:Fallback>
        </mc:AlternateContent>
      </w:r>
    </w:p>
    <w:p w14:paraId="4061E9DB">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74" w:name="_Toc906105787"/>
      <w:bookmarkStart w:id="75" w:name="_Toc1011713697"/>
      <w:r>
        <w:rPr>
          <w:rFonts w:hint="eastAsia" w:ascii="楷体" w:hAnsi="楷体" w:eastAsia="楷体" w:cs="楷体"/>
          <w:color w:val="000000" w:themeColor="text1"/>
          <w:highlight w:val="none"/>
          <w:lang w:val="en-US" w:eastAsia="zh-Hans"/>
          <w14:textFill>
            <w14:solidFill>
              <w14:schemeClr w14:val="tx1"/>
            </w14:solidFill>
          </w14:textFill>
        </w:rPr>
        <w:t>第二节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推进以人为本的新型城镇化</w:t>
      </w:r>
      <w:bookmarkEnd w:id="69"/>
      <w:bookmarkEnd w:id="70"/>
      <w:r>
        <w:rPr>
          <w:rFonts w:hint="eastAsia" w:ascii="楷体" w:hAnsi="楷体" w:eastAsia="楷体" w:cs="楷体"/>
          <w:color w:val="000000" w:themeColor="text1"/>
          <w:highlight w:val="none"/>
          <w:lang w:val="en-US" w:eastAsia="zh-Hans"/>
          <w14:textFill>
            <w14:solidFill>
              <w14:schemeClr w14:val="tx1"/>
            </w14:solidFill>
          </w14:textFill>
        </w:rPr>
        <w:t>建设</w:t>
      </w:r>
      <w:bookmarkEnd w:id="74"/>
      <w:bookmarkEnd w:id="75"/>
    </w:p>
    <w:p w14:paraId="65191CD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稳步提升城镇化率，整合教育、医疗、文化、体育、托幼、养老等优质资源，推动县城、重要乡镇集中强化就业安置水平。促进</w:t>
      </w:r>
      <w:r>
        <w:rPr>
          <w:rFonts w:hint="eastAsia" w:ascii="仿宋_GB2312" w:hAnsi="仿宋_GB2312" w:eastAsia="仿宋_GB2312" w:cs="仿宋_GB2312"/>
          <w:color w:val="000000" w:themeColor="text1"/>
          <w:kern w:val="2"/>
          <w:sz w:val="32"/>
          <w:szCs w:val="32"/>
          <w:highlight w:val="none"/>
          <w:lang w:val="en-US" w:eastAsia="zh-Hans" w:bidi="ar-SA"/>
          <w14:textFill>
            <w14:solidFill>
              <w14:schemeClr w14:val="tx1"/>
            </w14:solidFill>
          </w14:textFill>
        </w:rPr>
        <w:t>县</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城和乡镇协调发展、集约紧凑布局。</w:t>
      </w:r>
    </w:p>
    <w:p w14:paraId="22A93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科学有序推进农业转移人口市民化，推行由常住地登记户口提供基本公共服务制度。深化户籍制度改革，配套落实教育、医疗、社保、就业等公共服务政策，完善财政转移支付和城镇新增建设用地规模与农业转移人口市民化挂钩政策，提升城镇化率。推进以县城为重要载体的城镇化建设，提升产业支撑能力和公共服务水平。推进以县城为重要载体的城镇化建设，加快开展县城城镇化补短板强弱项工作，实施县城综合服务能力提升工程。推进城市平急两用公共基础设施和数字化、网络化、智能化新型基础设施建设。</w:t>
      </w:r>
    </w:p>
    <w:p w14:paraId="726A71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坚持</w:t>
      </w:r>
      <w:r>
        <w:rPr>
          <w:rFonts w:hint="eastAsia" w:ascii="仿宋_GB2312" w:hAnsi="仿宋_GB2312" w:eastAsia="仿宋_GB2312" w:cs="仿宋_GB2312"/>
          <w:color w:val="auto"/>
          <w:kern w:val="2"/>
          <w:sz w:val="32"/>
          <w:szCs w:val="32"/>
          <w:highlight w:val="none"/>
          <w:lang w:val="en-US" w:eastAsia="zh-Hans" w:bidi="ar-SA"/>
        </w:rPr>
        <w:t>县</w:t>
      </w:r>
      <w:r>
        <w:rPr>
          <w:rFonts w:hint="eastAsia" w:ascii="仿宋_GB2312" w:hAnsi="仿宋_GB2312" w:eastAsia="仿宋_GB2312" w:cs="仿宋_GB2312"/>
          <w:color w:val="auto"/>
          <w:kern w:val="2"/>
          <w:sz w:val="32"/>
          <w:szCs w:val="32"/>
          <w:highlight w:val="none"/>
          <w:lang w:val="en-US" w:eastAsia="zh-CN" w:bidi="ar-SA"/>
        </w:rPr>
        <w:t>城内涵式发展，建设创新、宜居、美丽、韧性、文明、智慧的现代化人民城市。创新县域房地产发展模式，推进安全舒适绿色智慧的“好房子”建设，优化保障性住房供给，加快培育智能建造。统筹城乡规划、建设、管理，合理确定城乡空间结构</w:t>
      </w:r>
      <w:r>
        <w:rPr>
          <w:rFonts w:hint="default" w:ascii="仿宋_GB2312" w:hAnsi="仿宋_GB2312" w:eastAsia="仿宋_GB2312" w:cs="仿宋_GB2312"/>
          <w:color w:val="auto"/>
          <w:kern w:val="2"/>
          <w:sz w:val="32"/>
          <w:szCs w:val="32"/>
          <w:highlight w:val="none"/>
          <w:lang w:eastAsia="zh-CN" w:bidi="ar-SA"/>
        </w:rPr>
        <w:t>，</w:t>
      </w:r>
      <w:r>
        <w:rPr>
          <w:rFonts w:hint="eastAsia" w:ascii="仿宋_GB2312" w:hAnsi="仿宋_GB2312" w:eastAsia="仿宋_GB2312" w:cs="仿宋_GB2312"/>
          <w:color w:val="auto"/>
          <w:kern w:val="2"/>
          <w:sz w:val="32"/>
          <w:szCs w:val="32"/>
          <w:highlight w:val="none"/>
          <w:lang w:val="en-US" w:eastAsia="zh-CN" w:bidi="ar-SA"/>
        </w:rPr>
        <w:t>深入实施城市更新，加强城镇老旧小区、棚户区改造，增强县城防洪排涝能力，建设宜居城镇、智慧城镇、韧性城镇。</w:t>
      </w:r>
      <w:bookmarkEnd w:id="71"/>
      <w:bookmarkStart w:id="76" w:name="_Toc51676850"/>
      <w:bookmarkStart w:id="77" w:name="_Toc26806"/>
    </w:p>
    <w:bookmarkEnd w:id="76"/>
    <w:bookmarkEnd w:id="77"/>
    <w:p w14:paraId="0607D002">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78" w:name="_Toc1113421232"/>
      <w:bookmarkStart w:id="79" w:name="_Toc20429"/>
      <w:bookmarkStart w:id="80" w:name="_Toc2013320646"/>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三</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统筹推进城乡融合发展</w:t>
      </w:r>
      <w:bookmarkEnd w:id="78"/>
      <w:bookmarkEnd w:id="79"/>
      <w:bookmarkEnd w:id="80"/>
    </w:p>
    <w:p w14:paraId="1895CAB5">
      <w:pPr>
        <w:pStyle w:val="24"/>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加快城乡融合发展步伐，突出以城带乡、以工促农，健全城乡融合发展体制机制，促进城乡生产要素双向自由流动和公共资源合理配置。</w:t>
      </w:r>
    </w:p>
    <w:p w14:paraId="724B244E">
      <w:pPr>
        <w:pStyle w:val="24"/>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加快城乡互联互通。</w:t>
      </w:r>
      <w:r>
        <w:rPr>
          <w:rFonts w:hint="eastAsia" w:ascii="仿宋_GB2312" w:hAnsi="仿宋_GB2312" w:eastAsia="仿宋_GB2312" w:cs="仿宋_GB2312"/>
          <w:color w:val="000000" w:themeColor="text1"/>
          <w:sz w:val="32"/>
          <w:szCs w:val="32"/>
          <w:highlight w:val="none"/>
          <w14:textFill>
            <w14:solidFill>
              <w14:schemeClr w14:val="tx1"/>
            </w14:solidFill>
          </w14:textFill>
        </w:rPr>
        <w:t>以道路物流建设为重点，打通城乡公共交通、商贸、邮政、快递、供销、运输等“最后一公里”。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围绕</w:t>
      </w:r>
      <w:r>
        <w:rPr>
          <w:rFonts w:hint="eastAsia" w:ascii="仿宋_GB2312" w:hAnsi="仿宋_GB2312" w:eastAsia="仿宋_GB2312" w:cs="仿宋_GB2312"/>
          <w:color w:val="000000" w:themeColor="text1"/>
          <w:sz w:val="32"/>
          <w:szCs w:val="32"/>
          <w:highlight w:val="none"/>
          <w14:textFill>
            <w14:solidFill>
              <w14:schemeClr w14:val="tx1"/>
            </w14:solidFill>
          </w14:textFill>
        </w:rPr>
        <w:t>“四好农村路”，实施农村公路提档升级工程。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优化</w:t>
      </w:r>
      <w:r>
        <w:rPr>
          <w:rFonts w:hint="eastAsia" w:ascii="仿宋_GB2312" w:hAnsi="仿宋_GB2312" w:eastAsia="仿宋_GB2312" w:cs="仿宋_GB2312"/>
          <w:color w:val="000000" w:themeColor="text1"/>
          <w:sz w:val="32"/>
          <w:szCs w:val="32"/>
          <w:highlight w:val="none"/>
          <w14:textFill>
            <w14:solidFill>
              <w14:schemeClr w14:val="tx1"/>
            </w14:solidFill>
          </w14:textFill>
        </w:rPr>
        <w:t>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乡</w:t>
      </w:r>
      <w:r>
        <w:rPr>
          <w:rFonts w:hint="eastAsia" w:ascii="仿宋_GB2312" w:hAnsi="仿宋_GB2312" w:eastAsia="仿宋_GB2312" w:cs="仿宋_GB2312"/>
          <w:color w:val="000000" w:themeColor="text1"/>
          <w:sz w:val="32"/>
          <w:szCs w:val="32"/>
          <w:highlight w:val="none"/>
          <w14:textFill>
            <w14:solidFill>
              <w14:schemeClr w14:val="tx1"/>
            </w14:solidFill>
          </w14:textFill>
        </w:rPr>
        <w:t>公共交通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网络</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实现城乡客运公共服务均等化水平进一步提升</w:t>
      </w:r>
      <w:r>
        <w:rPr>
          <w:rFonts w:hint="eastAsia" w:ascii="仿宋_GB2312" w:hAnsi="仿宋_GB2312" w:eastAsia="仿宋_GB2312" w:cs="仿宋_GB2312"/>
          <w:color w:val="000000" w:themeColor="text1"/>
          <w:sz w:val="32"/>
          <w:szCs w:val="32"/>
          <w:highlight w:val="none"/>
          <w14:textFill>
            <w14:solidFill>
              <w14:schemeClr w14:val="tx1"/>
            </w14:solidFill>
          </w14:textFill>
        </w:rPr>
        <w:t>。鼓励农村农贸市场、批发市场、冷链系统、货物中转、仓储等物流基础设施末端网络建设，加快实现县、乡镇、村三级物流网络节点全覆盖。</w:t>
      </w:r>
    </w:p>
    <w:p w14:paraId="0930103A">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推进城乡一体化产业发展。</w:t>
      </w:r>
      <w:r>
        <w:rPr>
          <w:rFonts w:hint="eastAsia" w:ascii="仿宋_GB2312" w:hAnsi="仿宋_GB2312" w:eastAsia="仿宋_GB2312" w:cs="仿宋_GB2312"/>
          <w:color w:val="000000" w:themeColor="text1"/>
          <w:sz w:val="32"/>
          <w:highlight w:val="none"/>
          <w14:textFill>
            <w14:solidFill>
              <w14:schemeClr w14:val="tx1"/>
            </w14:solidFill>
          </w14:textFill>
        </w:rPr>
        <w:t>优化城镇空间和产业园区功能布局，完善配套服务功能，推进“产城人”融合发展。充分发挥产业园区辐射带动作用和产业链延伸作用，重点推进优势特色农业、农产品精深加工、林业加工城乡一体化发展，引导新型工业化、城镇化带动农业农村发展，积极构建农业为工业提供优质原料、工业反哺农业的良好发展格局。</w:t>
      </w:r>
    </w:p>
    <w:p w14:paraId="10574B67">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稳妥推进合村并镇</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规划</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按照积极稳妥、实事求是、因地制宜的原则，科学编制村庄规划，坚持分类分步实施，宜搬则搬、宜合则合、宜并则并，稳妥有序推进村镇组织融合、服务融合、产业融合、居住融合、经济融合、文化融合，推进村镇结构优化调整，集聚村镇资源，优势互补，共建共享。 </w:t>
      </w:r>
    </w:p>
    <w:p w14:paraId="73F7FD41">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推动农业</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转移</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人口城镇化。</w:t>
      </w:r>
      <w:r>
        <w:rPr>
          <w:rFonts w:hint="eastAsia" w:ascii="仿宋_GB2312" w:hAnsi="仿宋_GB2312" w:eastAsia="仿宋_GB2312" w:cs="仿宋_GB2312"/>
          <w:color w:val="000000" w:themeColor="text1"/>
          <w:sz w:val="32"/>
          <w:highlight w:val="none"/>
          <w14:textFill>
            <w14:solidFill>
              <w14:schemeClr w14:val="tx1"/>
            </w14:solidFill>
          </w14:textFill>
        </w:rPr>
        <w:t>全面放开落户限制，促进有能力在城镇稳定就业生活的新生代农民工、在城镇就业居住的农村人口、农村学生升学和参军进入城镇等人员在城镇落户。对高校毕业生、留学归国人员及高新技术工人实行优惠落户政策。加强实施农民工职业技能提升计划、返乡创业创新培训行动计划，支持农民工接受学历继续教育与非学历培训，提升新市民融入城镇的能力。</w:t>
      </w:r>
    </w:p>
    <w:p w14:paraId="2D8DE4E3">
      <w:pPr>
        <w:pStyle w:val="24"/>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推进城乡公共服务一体化。</w:t>
      </w:r>
      <w:r>
        <w:rPr>
          <w:rFonts w:hint="eastAsia" w:ascii="仿宋_GB2312" w:hAnsi="仿宋_GB2312" w:eastAsia="仿宋_GB2312" w:cs="仿宋_GB2312"/>
          <w:color w:val="000000" w:themeColor="text1"/>
          <w:sz w:val="32"/>
          <w:highlight w:val="none"/>
          <w14:textFill>
            <w14:solidFill>
              <w14:schemeClr w14:val="tx1"/>
            </w14:solidFill>
          </w14:textFill>
        </w:rPr>
        <w:t>促进城乡公共设施联动发展，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推进实施城乡统筹的污水垃圾收集处理、城乡联结的冷链物流等城乡联动建设项目。</w:t>
      </w:r>
      <w:r>
        <w:rPr>
          <w:rFonts w:hint="eastAsia" w:ascii="仿宋_GB2312" w:hAnsi="仿宋_GB2312" w:eastAsia="仿宋_GB2312" w:cs="仿宋_GB2312"/>
          <w:color w:val="000000" w:themeColor="text1"/>
          <w:sz w:val="32"/>
          <w:highlight w:val="none"/>
          <w14:textFill>
            <w14:solidFill>
              <w14:schemeClr w14:val="tx1"/>
            </w14:solidFill>
          </w14:textFill>
        </w:rPr>
        <w:t>加快城镇教育、医疗、健身、文化娱乐等公共服务设施向乡村拓展，加快城镇基本公共服务向农村延伸，</w:t>
      </w:r>
      <w:r>
        <w:rPr>
          <w:rFonts w:hint="eastAsia" w:ascii="仿宋_GB2312" w:hAnsi="仿宋_GB2312" w:eastAsia="仿宋_GB2312" w:cs="仿宋_GB2312"/>
          <w:color w:val="000000" w:themeColor="text1"/>
          <w:sz w:val="32"/>
          <w:szCs w:val="32"/>
          <w:highlight w:val="none"/>
          <w14:textFill>
            <w14:solidFill>
              <w14:schemeClr w14:val="tx1"/>
            </w14:solidFill>
          </w14:textFill>
        </w:rPr>
        <w:t>加快发展城乡教育联合体和县域医共体</w:t>
      </w:r>
      <w:r>
        <w:rPr>
          <w:rFonts w:hint="eastAsia" w:ascii="仿宋_GB2312" w:hAnsi="仿宋_GB2312" w:eastAsia="仿宋_GB2312" w:cs="仿宋_GB2312"/>
          <w:color w:val="000000" w:themeColor="text1"/>
          <w:sz w:val="32"/>
          <w:highlight w:val="none"/>
          <w14:textFill>
            <w14:solidFill>
              <w14:schemeClr w14:val="tx1"/>
            </w14:solidFill>
          </w14:textFill>
        </w:rPr>
        <w:t>。加快完善城乡统筹的社会保障体系、社会保险、劳动就业以及与社会救助相互衔接的民生保障联动机制，推动城乡基本民生保障服务均等化。</w:t>
      </w:r>
    </w:p>
    <w:p w14:paraId="4BCBFAA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黑体" w:hAnsi="黑体" w:eastAsia="黑体" w:cs="黑体"/>
          <w:color w:val="000000" w:themeColor="text1"/>
          <w:sz w:val="16"/>
          <w:szCs w:val="16"/>
          <w:highlight w:val="none"/>
          <w14:textFill>
            <w14:solidFill>
              <w14:schemeClr w14:val="tx1"/>
            </w14:solidFill>
          </w14:textFill>
        </w:rPr>
      </w:pPr>
    </w:p>
    <w:p w14:paraId="25178E9A">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81" w:name="_Toc96588533"/>
      <w:bookmarkStart w:id="82" w:name="_Toc98146266"/>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四</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深入实施“强县城”战略</w:t>
      </w:r>
      <w:bookmarkEnd w:id="81"/>
      <w:bookmarkEnd w:id="82"/>
    </w:p>
    <w:p w14:paraId="66D162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坚持以人民为中心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把实施“强县城”战略作为推进新型城镇化建设、加快打造柳州工业高质量发展主要拓展区的重大举措，加强完善县城总体规划，推进主城区向东发展，做大中心城区规模，提升县城集聚力、综合承载力和服务能力，引领柳城经济社会高质量发展。</w:t>
      </w:r>
    </w:p>
    <w:p w14:paraId="7CF3F1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eastAsia="zh-Hans"/>
          <w14:textFill>
            <w14:solidFill>
              <w14:schemeClr w14:val="tx1"/>
            </w14:solidFill>
          </w14:textFill>
        </w:rPr>
        <w:t>构筑</w:t>
      </w: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城市发展</w:t>
      </w:r>
      <w:r>
        <w:rPr>
          <w:rFonts w:hint="eastAsia" w:ascii="仿宋_GB2312" w:hAnsi="仿宋_GB2312" w:eastAsia="仿宋_GB2312" w:cs="仿宋_GB2312"/>
          <w:b/>
          <w:bCs w:val="0"/>
          <w:color w:val="000000" w:themeColor="text1"/>
          <w:sz w:val="32"/>
          <w:szCs w:val="32"/>
          <w:highlight w:val="none"/>
          <w:lang w:eastAsia="zh-Hans"/>
          <w14:textFill>
            <w14:solidFill>
              <w14:schemeClr w14:val="tx1"/>
            </w14:solidFill>
          </w14:textFill>
        </w:rPr>
        <w:t>新</w:t>
      </w: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框架。</w:t>
      </w:r>
      <w:r>
        <w:rPr>
          <w:rFonts w:hint="eastAsia" w:ascii="仿宋_GB2312" w:hAnsi="仿宋_GB2312" w:eastAsia="仿宋_GB2312" w:cs="仿宋_GB2312"/>
          <w:color w:val="000000" w:themeColor="text1"/>
          <w:sz w:val="32"/>
          <w:szCs w:val="32"/>
          <w:highlight w:val="none"/>
          <w14:textFill>
            <w14:solidFill>
              <w14:schemeClr w14:val="tx1"/>
            </w14:solidFill>
          </w14:textFill>
        </w:rPr>
        <w:t>坚持“一江两岸、东建中优西移、重点在东”的发展思路，围绕“两轴三板块”</w:t>
      </w:r>
      <w:r>
        <w:rPr>
          <w:rStyle w:val="20"/>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20"/>
          <w:rFonts w:hint="eastAsia" w:ascii="仿宋_GB2312" w:hAnsi="仿宋_GB2312" w:eastAsia="仿宋_GB2312" w:cs="仿宋_GB2312"/>
          <w:color w:val="000000" w:themeColor="text1"/>
          <w:sz w:val="32"/>
          <w:szCs w:val="32"/>
          <w:highlight w:val="none"/>
          <w14:textFill>
            <w14:solidFill>
              <w14:schemeClr w14:val="tx1"/>
            </w14:solidFill>
          </w14:textFill>
        </w:rPr>
        <w:endnoteReference w:id="3"/>
      </w:r>
      <w:r>
        <w:rPr>
          <w:rStyle w:val="20"/>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以“河西小建小美、中心城区精建精美、城东新区大建大美”的原则进行开发建设，统筹协调好三大板块的发展重点，引领带动县城整体转型、协同联动、全面发展。建设柳城县东区绕城路，依托境内主干道，辐射带动，打造县城至各乡镇“半小时经济圈”和柳城至柳州“一小时经济圈”。</w:t>
      </w:r>
    </w:p>
    <w:p w14:paraId="60885B49">
      <w:pPr>
        <w:pStyle w:val="21"/>
        <w:rPr>
          <w:rFonts w:hint="eastAsia"/>
        </w:rPr>
      </w:pPr>
      <w:r>
        <w:rPr>
          <w:rFonts w:hint="default"/>
          <w:color w:val="000000" w:themeColor="text1"/>
          <w:highlight w:val="none"/>
          <w14:textFill>
            <w14:solidFill>
              <w14:schemeClr w14:val="tx1"/>
            </w14:solidFill>
          </w14:textFill>
        </w:rPr>
        <w:t xml:space="preserve">  </w:t>
      </w:r>
      <w:r>
        <w:rPr>
          <w:rFonts w:hint="default"/>
          <w:color w:val="000000" w:themeColor="text1"/>
          <w:highlight w:val="none"/>
          <w14:textFill>
            <w14:solidFill>
              <w14:schemeClr w14:val="tx1"/>
            </w14:solidFill>
          </w14:textFill>
        </w:rPr>
        <w:drawing>
          <wp:inline distT="0" distB="0" distL="114300" distR="114300">
            <wp:extent cx="4833620" cy="2598420"/>
            <wp:effectExtent l="0" t="0" r="17780" b="17780"/>
            <wp:docPr id="1" name="图片 1" descr="1071768213092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71768213092_.pic"/>
                    <pic:cNvPicPr>
                      <a:picLocks noChangeAspect="1"/>
                    </pic:cNvPicPr>
                  </pic:nvPicPr>
                  <pic:blipFill>
                    <a:blip r:embed="rId14"/>
                    <a:stretch>
                      <a:fillRect/>
                    </a:stretch>
                  </pic:blipFill>
                  <pic:spPr>
                    <a:xfrm>
                      <a:off x="0" y="0"/>
                      <a:ext cx="4833620" cy="2598420"/>
                    </a:xfrm>
                    <a:prstGeom prst="rect">
                      <a:avLst/>
                    </a:prstGeom>
                  </pic:spPr>
                </pic:pic>
              </a:graphicData>
            </a:graphic>
          </wp:inline>
        </w:drawing>
      </w:r>
    </w:p>
    <w:p w14:paraId="5DE4BF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加大城东新区开发力度。</w:t>
      </w:r>
      <w:r>
        <w:rPr>
          <w:rFonts w:hint="eastAsia" w:ascii="仿宋_GB2312" w:hAnsi="仿宋_GB2312" w:eastAsia="仿宋_GB2312" w:cs="仿宋_GB2312"/>
          <w:color w:val="000000" w:themeColor="text1"/>
          <w:sz w:val="32"/>
          <w:szCs w:val="32"/>
          <w:highlight w:val="none"/>
          <w14:textFill>
            <w14:solidFill>
              <w14:schemeClr w14:val="tx1"/>
            </w14:solidFill>
          </w14:textFill>
        </w:rPr>
        <w:t>加快东区绕城路、东区路网等项目建设，拓展城东新区至沙埔镇鸡公山，建设超大型专业批发市场和商贸冷链物流基地，打造新的经济长廊。</w:t>
      </w:r>
    </w:p>
    <w:p w14:paraId="24411B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改造升</w:t>
      </w:r>
      <w:r>
        <w:rPr>
          <w:rFonts w:hint="eastAsia" w:ascii="仿宋_GB2312" w:hAnsi="仿宋_GB2312" w:eastAsia="仿宋_GB2312" w:cs="仿宋_GB2312"/>
          <w:b/>
          <w:bCs w:val="0"/>
          <w:color w:val="000000" w:themeColor="text1"/>
          <w:sz w:val="32"/>
          <w:szCs w:val="32"/>
          <w:highlight w:val="none"/>
          <w:lang w:eastAsia="zh-Hans"/>
          <w14:textFill>
            <w14:solidFill>
              <w14:schemeClr w14:val="tx1"/>
            </w14:solidFill>
          </w14:textFill>
        </w:rPr>
        <w:t>级</w:t>
      </w: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老城区。</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老城区改造提升工程。打通断头路，形成环通道，有效解决交通出行问题。引导老城区部分城市资源和功能向城东新区和河西区迁移，完善人居与生态空间。实施县城河岸整治工程，提升防涝排涝和抵御风险的能力，美化、亮化人居休憩环境。</w:t>
      </w:r>
    </w:p>
    <w:p w14:paraId="2A1404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加快推进河西区产城融合。</w:t>
      </w:r>
      <w:r>
        <w:rPr>
          <w:rFonts w:hint="eastAsia" w:ascii="仿宋_GB2312" w:hAnsi="仿宋_GB2312" w:eastAsia="仿宋_GB2312" w:cs="仿宋_GB2312"/>
          <w:color w:val="000000" w:themeColor="text1"/>
          <w:sz w:val="32"/>
          <w:szCs w:val="32"/>
          <w:highlight w:val="none"/>
          <w14:textFill>
            <w14:solidFill>
              <w14:schemeClr w14:val="tx1"/>
            </w14:solidFill>
          </w14:textFill>
        </w:rPr>
        <w:t>合理规划河西片区产业园区用地和城市建设用地。大力推进河西片区产业集聚，大力引导引进符合条件的企业迁移落户河西片区产业园。加快河西片区城市建设步伐，适当引导房地产、商业综合体等项目落户河西片区，引导老城区部分城市资源和功能向河西片区迁移。</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力争</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2028年完成大埔融江复线桥（一期）项目建设，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优化提升一江两岸的互联互通水平，推动河西产城融合发展。</w:t>
      </w:r>
    </w:p>
    <w:p w14:paraId="18C178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000000" w:themeColor="text1"/>
          <w:spacing w:val="-6"/>
          <w:sz w:val="32"/>
          <w:szCs w:val="32"/>
          <w:highlight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大力推动资源向县城集聚。</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围绕“提品质、强韧性、惠民生”目标，</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推动房地产从“增量扩张”转向“存量提质”，力争推动一个第四代</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fldChar w:fldCharType="begin"/>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instrText xml:space="preserve"> HYPERLINK "https://baike.fang.com/item/%E4%BD%8F%E5%AE%85/1536254" \t "https://zhishi.fang.com/xf/_blank" </w:instrTex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fldChar w:fldCharType="separate"/>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住宅</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fldChar w:fldCharType="end"/>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小区建设，满足群众改善性需求。加快县城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生活污水设施和污水管网建设更新改造，提升</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县城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供水厂应对涉重金属污染的应急处置能力。推动</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实施县城和乡镇水源地规范化建设和环境治理</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工程</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推进</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30</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个排水、燃气、供水、污水</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等</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地下管网项目，分年争取上级资金实施。</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引导企业由房建市政向交通、水利、电力等领域延伸，力争沙埔河水库及</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灌区</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工程建筑业产值在柳城入统。以城市建设为先导，重点实施城</w:t>
      </w:r>
      <w:r>
        <w:rPr>
          <w:rFonts w:hint="default" w:ascii="Times New Roman" w:hAnsi="Times New Roman" w:eastAsia="仿宋_GB2312" w:cs="Times New Roman"/>
          <w:b w:val="0"/>
          <w:bCs w:val="0"/>
          <w:color w:val="000000" w:themeColor="text1"/>
          <w:spacing w:val="-6"/>
          <w:sz w:val="32"/>
          <w:szCs w:val="32"/>
          <w:highlight w:val="none"/>
          <w:lang w:val="en-US" w:eastAsia="zh-CN"/>
          <w14:textFill>
            <w14:solidFill>
              <w14:schemeClr w14:val="tx1"/>
            </w14:solidFill>
          </w14:textFill>
        </w:rPr>
        <w:t>市危旧房改造，完成柳城县棚户区改造，联动推进靖西片区更新。</w:t>
      </w:r>
    </w:p>
    <w:p w14:paraId="3970DFF1">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Hans"/>
        </w:rPr>
        <w:br w:type="page"/>
      </w:r>
    </w:p>
    <w:p w14:paraId="23CEBB36">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CN"/>
        </w:rPr>
      </w:pPr>
      <w:bookmarkStart w:id="83" w:name="_Toc276851766"/>
      <w:r>
        <w:rPr>
          <w:rFonts w:hint="eastAsia" w:ascii="黑体" w:hAnsi="黑体" w:eastAsia="黑体" w:cs="黑体"/>
          <w:sz w:val="32"/>
          <w:szCs w:val="40"/>
          <w:lang w:val="en-US" w:eastAsia="zh-Hans"/>
        </w:rPr>
        <w:t>进一步</w:t>
      </w:r>
      <w:r>
        <w:rPr>
          <w:rFonts w:hint="eastAsia" w:ascii="黑体" w:hAnsi="黑体" w:eastAsia="黑体" w:cs="黑体"/>
          <w:sz w:val="32"/>
          <w:szCs w:val="40"/>
          <w:lang w:val="en-US" w:eastAsia="zh-CN"/>
        </w:rPr>
        <w:t>繁荣发展文化事业，</w:t>
      </w:r>
      <w:r>
        <w:rPr>
          <w:rFonts w:hint="eastAsia" w:ascii="黑体" w:hAnsi="黑体" w:eastAsia="黑体" w:cs="黑体"/>
          <w:sz w:val="32"/>
          <w:szCs w:val="40"/>
          <w:lang w:val="en-US" w:eastAsia="zh-Hans"/>
        </w:rPr>
        <w:t>弘扬社会主义优秀文化</w:t>
      </w:r>
      <w:bookmarkEnd w:id="83"/>
    </w:p>
    <w:p w14:paraId="0B0B924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文化是谱写中国式现代化</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篇章的重要根基。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深入贯彻习近平文化思想，</w:t>
      </w:r>
      <w:r>
        <w:rPr>
          <w:rFonts w:hint="eastAsia" w:ascii="仿宋_GB2312" w:hAnsi="仿宋_GB2312" w:eastAsia="仿宋_GB2312" w:cs="仿宋_GB2312"/>
          <w:color w:val="000000" w:themeColor="text1"/>
          <w:sz w:val="32"/>
          <w:szCs w:val="32"/>
          <w:highlight w:val="none"/>
          <w14:textFill>
            <w14:solidFill>
              <w14:schemeClr w14:val="tx1"/>
            </w14:solidFill>
          </w14:textFill>
        </w:rPr>
        <w:t>弘扬社会主义核心价值观，提高人民思想道德素质、科学文化素质和身心健康素质，健全公共文化服务体系和文化产业体系，丰富人民精神文化生活，铸牢中华民族共同体意识，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建设具有强大凝聚力和引领力的社会主义意识形态，建设具有强大感召力和影响力的中华文化软实力。</w:t>
      </w:r>
    </w:p>
    <w:p w14:paraId="6835657E">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84" w:name="_Toc22412"/>
      <w:bookmarkStart w:id="85" w:name="_Toc1283788486"/>
      <w:bookmarkStart w:id="86" w:name="_Toc1598051760"/>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系统推进</w:t>
      </w:r>
      <w:bookmarkEnd w:id="84"/>
      <w:r>
        <w:rPr>
          <w:rFonts w:hint="eastAsia" w:ascii="楷体" w:hAnsi="楷体" w:eastAsia="楷体" w:cs="楷体"/>
          <w:color w:val="000000" w:themeColor="text1"/>
          <w:highlight w:val="none"/>
          <w:lang w:val="en-US" w:eastAsia="zh-Hans"/>
          <w14:textFill>
            <w14:solidFill>
              <w14:schemeClr w14:val="tx1"/>
            </w14:solidFill>
          </w14:textFill>
        </w:rPr>
        <w:t>文化事业</w:t>
      </w:r>
      <w:r>
        <w:rPr>
          <w:rFonts w:hint="eastAsia" w:ascii="楷体" w:hAnsi="楷体" w:eastAsia="楷体" w:cs="楷体"/>
          <w:color w:val="000000" w:themeColor="text1"/>
          <w:highlight w:val="none"/>
          <w:lang w:val="en-US" w:eastAsia="zh-CN"/>
          <w14:textFill>
            <w14:solidFill>
              <w14:schemeClr w14:val="tx1"/>
            </w14:solidFill>
          </w14:textFill>
        </w:rPr>
        <w:t>软实力</w:t>
      </w:r>
      <w:r>
        <w:rPr>
          <w:rFonts w:hint="eastAsia" w:ascii="楷体" w:hAnsi="楷体" w:eastAsia="楷体" w:cs="楷体"/>
          <w:color w:val="000000" w:themeColor="text1"/>
          <w:highlight w:val="none"/>
          <w:lang w:val="en-US" w:eastAsia="zh-Hans"/>
          <w14:textFill>
            <w14:solidFill>
              <w14:schemeClr w14:val="tx1"/>
            </w14:solidFill>
          </w14:textFill>
        </w:rPr>
        <w:t>工程</w:t>
      </w:r>
      <w:bookmarkEnd w:id="85"/>
      <w:bookmarkEnd w:id="86"/>
    </w:p>
    <w:p w14:paraId="0F3828E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val="0"/>
          <w:color w:val="000000" w:themeColor="text1"/>
          <w:sz w:val="32"/>
          <w:highlight w:val="none"/>
          <w:lang w:val="en-US" w:eastAsia="zh-CN"/>
          <w14:textFill>
            <w14:solidFill>
              <w14:schemeClr w14:val="tx1"/>
            </w14:solidFill>
          </w14:textFill>
        </w:rPr>
        <w:t>铸牢中华民族共同体意识</w:t>
      </w:r>
      <w:r>
        <w:rPr>
          <w:rFonts w:hint="default" w:ascii="仿宋_GB2312" w:hAnsi="仿宋_GB2312" w:eastAsia="仿宋_GB2312" w:cs="仿宋_GB2312"/>
          <w:b/>
          <w:bCs w:val="0"/>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将铸牢中华民族共同体意识</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扎实推进民族团结进步事业</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将</w:t>
      </w:r>
      <w:r>
        <w:rPr>
          <w:rFonts w:hint="eastAsia" w:ascii="仿宋_GB2312" w:hAnsi="仿宋_GB2312" w:eastAsia="仿宋_GB2312" w:cs="仿宋_GB2312"/>
          <w:color w:val="000000" w:themeColor="text1"/>
          <w:sz w:val="32"/>
          <w:szCs w:val="32"/>
          <w:highlight w:val="none"/>
          <w14:textFill>
            <w14:solidFill>
              <w14:schemeClr w14:val="tx1"/>
            </w14:solidFill>
          </w14:textFill>
        </w:rPr>
        <w:t>中华民族共同体意识教育纳入干部教育、党员教育、国民教育、社会教育全过程。完善政策举措，促进各民族广泛交往、全面交流、深度交融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营造各族群众共居、共学、共事、共乐的社会条件。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完善有利于少数民族聚居区实现高质量发展的支持政策，大力发展壮大茶叶、桑蚕、木</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特色优势产业，促进群众增收致富。推动民族手工业融合创新，促进民贸民品产业健康发展。持续推进民族村寨与乡村旅游融合发展。推动各族适龄劳动力职业培训全覆盖，支持易地搬迁户等重点群体就业创业。统筹经济社会发展规划和公共资源配置，在经济、教育、就业、社区建设、文化建设和干部培养使用等方面把民族平等落实好。优化提升互嵌式社会结构和社区环境。探索“民族团结+文旅融合”等新途径，打造各民族交往交流交融平台载体。坚持和完善民族区域自治制度，依法治理民族事务。深入开展民族团结进步</w:t>
      </w:r>
      <w:r>
        <w:rPr>
          <w:rFonts w:hint="eastAsia" w:ascii="仿宋_GB2312" w:hAnsi="仿宋_GB2312" w:eastAsia="仿宋_GB2312" w:cs="仿宋_GB2312"/>
          <w:color w:val="000000" w:themeColor="text1"/>
          <w:sz w:val="32"/>
          <w:szCs w:val="32"/>
          <w:highlight w:val="none"/>
          <w14:textFill>
            <w14:solidFill>
              <w14:schemeClr w14:val="tx1"/>
            </w14:solidFill>
          </w14:textFill>
        </w:rPr>
        <w:t>创建工作。推动创建工作向纵深发展，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大力培育</w:t>
      </w:r>
      <w:r>
        <w:rPr>
          <w:rFonts w:hint="eastAsia" w:ascii="仿宋_GB2312" w:hAnsi="仿宋_GB2312" w:eastAsia="仿宋_GB2312" w:cs="仿宋_GB2312"/>
          <w:color w:val="000000" w:themeColor="text1"/>
          <w:sz w:val="32"/>
          <w:szCs w:val="32"/>
          <w:highlight w:val="none"/>
          <w14:textFill>
            <w14:solidFill>
              <w14:schemeClr w14:val="tx1"/>
            </w14:solidFill>
          </w14:textFill>
        </w:rPr>
        <w:t>选树一批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全国民族团结进步示范单位和铸牢中华民族共同体意识示范区</w:t>
      </w:r>
      <w:r>
        <w:rPr>
          <w:rFonts w:hint="eastAsia" w:ascii="仿宋_GB2312" w:hAnsi="仿宋_GB2312" w:eastAsia="仿宋_GB2312" w:cs="仿宋_GB2312"/>
          <w:color w:val="000000" w:themeColor="text1"/>
          <w:sz w:val="32"/>
          <w:szCs w:val="32"/>
          <w:highlight w:val="none"/>
          <w14:textFill>
            <w14:solidFill>
              <w14:schemeClr w14:val="tx1"/>
            </w14:solidFill>
          </w14:textFill>
        </w:rPr>
        <w:t>示范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点，</w:t>
      </w:r>
      <w:r>
        <w:rPr>
          <w:rFonts w:hint="eastAsia" w:ascii="仿宋_GB2312" w:hAnsi="仿宋_GB2312" w:eastAsia="仿宋_GB2312" w:cs="仿宋_GB2312"/>
          <w:color w:val="auto"/>
          <w:sz w:val="32"/>
          <w:szCs w:val="32"/>
          <w:highlight w:val="none"/>
          <w:lang w:eastAsia="zh-CN"/>
        </w:rPr>
        <w:t>力争“十五五”期末成功创建全国民族</w:t>
      </w:r>
      <w:r>
        <w:rPr>
          <w:rFonts w:hint="eastAsia" w:ascii="仿宋_GB2312" w:hAnsi="仿宋_GB2312" w:eastAsia="仿宋_GB2312" w:cs="仿宋_GB2312"/>
          <w:color w:val="auto"/>
          <w:sz w:val="32"/>
          <w:szCs w:val="32"/>
          <w:highlight w:val="none"/>
          <w:lang w:val="en-US" w:eastAsia="zh-CN"/>
        </w:rPr>
        <w:t>团结</w:t>
      </w:r>
      <w:r>
        <w:rPr>
          <w:rFonts w:hint="eastAsia" w:ascii="仿宋_GB2312" w:hAnsi="仿宋_GB2312" w:eastAsia="仿宋_GB2312" w:cs="仿宋_GB2312"/>
          <w:color w:val="auto"/>
          <w:sz w:val="32"/>
          <w:szCs w:val="32"/>
          <w:highlight w:val="none"/>
          <w:lang w:eastAsia="zh-CN"/>
        </w:rPr>
        <w:t>进步示范县</w:t>
      </w:r>
      <w:r>
        <w:rPr>
          <w:rFonts w:hint="eastAsia" w:ascii="仿宋_GB2312" w:hAnsi="仿宋_GB2312" w:eastAsia="仿宋_GB2312" w:cs="仿宋_GB2312"/>
          <w:color w:val="auto"/>
          <w:sz w:val="32"/>
          <w:szCs w:val="32"/>
          <w:highlight w:val="none"/>
        </w:rPr>
        <w:t>。</w:t>
      </w:r>
    </w:p>
    <w:p w14:paraId="504371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弘扬和践行社会主义核心价值观。</w:t>
      </w:r>
      <w:r>
        <w:rPr>
          <w:rFonts w:hint="eastAsia" w:ascii="仿宋_GB2312" w:hAnsi="仿宋_GB2312" w:eastAsia="仿宋_GB2312" w:cs="仿宋_GB2312"/>
          <w:color w:val="000000" w:themeColor="text1"/>
          <w:sz w:val="32"/>
          <w:highlight w:val="none"/>
          <w14:textFill>
            <w14:solidFill>
              <w14:schemeClr w14:val="tx1"/>
            </w14:solidFill>
          </w14:textFill>
        </w:rPr>
        <w:t>充分利用电视、广播、报纸、网络、手机客户端等传播平台，</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并结合“我们的节日”和</w:t>
      </w:r>
      <w:r>
        <w:rPr>
          <w:rFonts w:hint="eastAsia" w:ascii="仿宋_GB2312" w:hAnsi="仿宋_GB2312" w:eastAsia="仿宋_GB2312" w:cs="仿宋_GB2312"/>
          <w:color w:val="000000" w:themeColor="text1"/>
          <w:sz w:val="32"/>
          <w:highlight w:val="none"/>
          <w14:textFill>
            <w14:solidFill>
              <w14:schemeClr w14:val="tx1"/>
            </w14:solidFill>
          </w14:textFill>
        </w:rPr>
        <w:t>重要节庆日、纪念日，</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多角度、多层次广泛宣传社会主义核心价值观，</w:t>
      </w:r>
      <w:r>
        <w:rPr>
          <w:rFonts w:hint="eastAsia" w:ascii="仿宋_GB2312" w:hAnsi="仿宋_GB2312" w:eastAsia="仿宋_GB2312" w:cs="仿宋_GB2312"/>
          <w:color w:val="000000" w:themeColor="text1"/>
          <w:sz w:val="32"/>
          <w:highlight w:val="none"/>
          <w14:textFill>
            <w14:solidFill>
              <w14:schemeClr w14:val="tx1"/>
            </w14:solidFill>
          </w14:textFill>
        </w:rPr>
        <w:t>弘扬</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爱国精神、</w:t>
      </w:r>
      <w:r>
        <w:rPr>
          <w:rFonts w:hint="eastAsia" w:ascii="仿宋_GB2312" w:hAnsi="仿宋_GB2312" w:eastAsia="仿宋_GB2312" w:cs="仿宋_GB2312"/>
          <w:color w:val="000000" w:themeColor="text1"/>
          <w:sz w:val="32"/>
          <w:highlight w:val="none"/>
          <w14:textFill>
            <w14:solidFill>
              <w14:schemeClr w14:val="tx1"/>
            </w14:solidFill>
          </w14:textFill>
        </w:rPr>
        <w:t>民族精神和时代精神。</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策划</w:t>
      </w:r>
      <w:r>
        <w:rPr>
          <w:rFonts w:hint="eastAsia" w:ascii="仿宋_GB2312" w:hAnsi="仿宋_GB2312" w:eastAsia="仿宋_GB2312" w:cs="仿宋_GB2312"/>
          <w:color w:val="000000" w:themeColor="text1"/>
          <w:sz w:val="32"/>
          <w:highlight w:val="none"/>
          <w14:textFill>
            <w14:solidFill>
              <w14:schemeClr w14:val="tx1"/>
            </w14:solidFill>
          </w14:textFill>
        </w:rPr>
        <w:t>开展</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形式多样</w:t>
      </w:r>
      <w:r>
        <w:rPr>
          <w:rFonts w:hint="eastAsia" w:ascii="仿宋_GB2312" w:hAnsi="仿宋_GB2312" w:eastAsia="仿宋_GB2312" w:cs="仿宋_GB2312"/>
          <w:color w:val="000000" w:themeColor="text1"/>
          <w:sz w:val="32"/>
          <w:highlight w:val="none"/>
          <w14:textFill>
            <w14:solidFill>
              <w14:schemeClr w14:val="tx1"/>
            </w14:solidFill>
          </w14:textFill>
        </w:rPr>
        <w:t>的</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核心价值观学习教育和实践</w:t>
      </w:r>
      <w:r>
        <w:rPr>
          <w:rFonts w:hint="eastAsia" w:ascii="仿宋_GB2312" w:hAnsi="仿宋_GB2312" w:eastAsia="仿宋_GB2312" w:cs="仿宋_GB2312"/>
          <w:color w:val="000000" w:themeColor="text1"/>
          <w:sz w:val="32"/>
          <w:highlight w:val="none"/>
          <w14:textFill>
            <w14:solidFill>
              <w14:schemeClr w14:val="tx1"/>
            </w14:solidFill>
          </w14:textFill>
        </w:rPr>
        <w:t>活动，</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持续</w:t>
      </w:r>
      <w:r>
        <w:rPr>
          <w:rFonts w:hint="eastAsia" w:ascii="仿宋_GB2312" w:hAnsi="仿宋_GB2312" w:eastAsia="仿宋_GB2312" w:cs="仿宋_GB2312"/>
          <w:color w:val="000000" w:themeColor="text1"/>
          <w:sz w:val="32"/>
          <w:highlight w:val="none"/>
          <w14:textFill>
            <w14:solidFill>
              <w14:schemeClr w14:val="tx1"/>
            </w14:solidFill>
          </w14:textFill>
        </w:rPr>
        <w:t>抓好</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未成年人</w:t>
      </w:r>
      <w:r>
        <w:rPr>
          <w:rFonts w:hint="eastAsia" w:ascii="仿宋_GB2312" w:hAnsi="仿宋_GB2312" w:eastAsia="仿宋_GB2312" w:cs="仿宋_GB2312"/>
          <w:color w:val="000000" w:themeColor="text1"/>
          <w:sz w:val="32"/>
          <w:highlight w:val="none"/>
          <w14:textFill>
            <w14:solidFill>
              <w14:schemeClr w14:val="tx1"/>
            </w14:solidFill>
          </w14:textFill>
        </w:rPr>
        <w:t>思想道德建设，</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积极引导未成年人扣好“人生第一粒扣子”。</w:t>
      </w:r>
      <w:r>
        <w:rPr>
          <w:rFonts w:hint="eastAsia" w:ascii="仿宋_GB2312" w:hAnsi="仿宋_GB2312" w:eastAsia="仿宋_GB2312" w:cs="仿宋_GB2312"/>
          <w:color w:val="000000" w:themeColor="text1"/>
          <w:sz w:val="32"/>
          <w:highlight w:val="none"/>
          <w14:textFill>
            <w14:solidFill>
              <w14:schemeClr w14:val="tx1"/>
            </w14:solidFill>
          </w14:textFill>
        </w:rPr>
        <w:t>持续加强社会公德、职业道德、家庭美德、个人品德教育，引导全社会形成崇德向善的良好风尚。通过歌圩、舞台文艺等形式，持续开展柳城“百村百戏”活动，大力弘扬孝</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善</w:t>
      </w:r>
      <w:r>
        <w:rPr>
          <w:rFonts w:hint="eastAsia" w:ascii="仿宋_GB2312" w:hAnsi="仿宋_GB2312" w:eastAsia="仿宋_GB2312" w:cs="仿宋_GB2312"/>
          <w:color w:val="000000" w:themeColor="text1"/>
          <w:sz w:val="32"/>
          <w:highlight w:val="none"/>
          <w14:textFill>
            <w14:solidFill>
              <w14:schemeClr w14:val="tx1"/>
            </w14:solidFill>
          </w14:textFill>
        </w:rPr>
        <w:t>、勤劳、节俭等传统美德。加强以个人、企业为重点的社会诚信体系建设，增强全社会的诚信意识和责任，营造诚信的社会氛围。</w:t>
      </w:r>
    </w:p>
    <w:p w14:paraId="433D54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highlight w:val="none"/>
          <w:lang w:val="en-US" w:eastAsia="zh-CN"/>
          <w14:textFill>
            <w14:solidFill>
              <w14:schemeClr w14:val="tx1"/>
            </w14:solidFill>
          </w14:textFill>
        </w:rPr>
        <w:t>精神文明建设</w:t>
      </w:r>
      <w:r>
        <w:rPr>
          <w:rFonts w:hint="eastAsia" w:ascii="仿宋_GB2312" w:hAnsi="仿宋_GB2312" w:eastAsia="仿宋_GB2312" w:cs="仿宋_GB2312"/>
          <w:b/>
          <w:bCs w:val="0"/>
          <w:color w:val="000000" w:themeColor="text1"/>
          <w:sz w:val="32"/>
          <w:highlight w:val="none"/>
          <w:lang w:val="en-US" w:eastAsia="zh-Hans"/>
          <w14:textFill>
            <w14:solidFill>
              <w14:schemeClr w14:val="tx1"/>
            </w14:solidFill>
          </w14:textFill>
        </w:rPr>
        <w:t>深入人心</w:t>
      </w:r>
      <w:r>
        <w:rPr>
          <w:rFonts w:hint="eastAsia" w:ascii="仿宋_GB2312" w:hAnsi="仿宋_GB2312" w:eastAsia="仿宋_GB2312" w:cs="仿宋_GB2312"/>
          <w:b/>
          <w:bCs w:val="0"/>
          <w:color w:val="000000" w:themeColor="text1"/>
          <w:sz w:val="32"/>
          <w:highlight w:val="none"/>
          <w14:textFill>
            <w14:solidFill>
              <w14:schemeClr w14:val="tx1"/>
            </w14:solidFill>
          </w14:textFill>
        </w:rPr>
        <w:t>。</w:t>
      </w:r>
      <w:r>
        <w:rPr>
          <w:rFonts w:hint="eastAsia" w:ascii="仿宋_GB2312" w:hAnsi="仿宋_GB2312" w:eastAsia="仿宋_GB2312" w:cs="仿宋_GB2312"/>
          <w:b w:val="0"/>
          <w:bCs/>
          <w:color w:val="000000" w:themeColor="text1"/>
          <w:sz w:val="32"/>
          <w:highlight w:val="none"/>
          <w:lang w:val="en-US" w:eastAsia="zh-CN"/>
          <w14:textFill>
            <w14:solidFill>
              <w14:schemeClr w14:val="tx1"/>
            </w14:solidFill>
          </w14:textFill>
        </w:rPr>
        <w:t>扎实</w:t>
      </w:r>
      <w:r>
        <w:rPr>
          <w:rFonts w:hint="eastAsia" w:ascii="仿宋_GB2312" w:hAnsi="仿宋_GB2312" w:eastAsia="仿宋_GB2312" w:cs="仿宋_GB2312"/>
          <w:color w:val="000000" w:themeColor="text1"/>
          <w:sz w:val="32"/>
          <w:highlight w:val="none"/>
          <w14:textFill>
            <w14:solidFill>
              <w14:schemeClr w14:val="tx1"/>
            </w14:solidFill>
          </w14:textFill>
        </w:rPr>
        <w:t>开展文明村镇</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文明单位、文明家庭、</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文明校园</w:t>
      </w:r>
      <w:r>
        <w:rPr>
          <w:rFonts w:hint="eastAsia" w:ascii="仿宋_GB2312" w:hAnsi="仿宋_GB2312" w:eastAsia="仿宋_GB2312" w:cs="仿宋_GB2312"/>
          <w:color w:val="000000" w:themeColor="text1"/>
          <w:sz w:val="32"/>
          <w:highlight w:val="none"/>
          <w14:textFill>
            <w14:solidFill>
              <w14:schemeClr w14:val="tx1"/>
            </w14:solidFill>
          </w14:textFill>
        </w:rPr>
        <w:t>等</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精神文明</w:t>
      </w:r>
      <w:r>
        <w:rPr>
          <w:rFonts w:hint="eastAsia" w:ascii="仿宋_GB2312" w:hAnsi="仿宋_GB2312" w:eastAsia="仿宋_GB2312" w:cs="仿宋_GB2312"/>
          <w:color w:val="000000" w:themeColor="text1"/>
          <w:sz w:val="32"/>
          <w:highlight w:val="none"/>
          <w14:textFill>
            <w14:solidFill>
              <w14:schemeClr w14:val="tx1"/>
            </w14:solidFill>
          </w14:textFill>
        </w:rPr>
        <w:t>创建活动。</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深入</w:t>
      </w:r>
      <w:r>
        <w:rPr>
          <w:rFonts w:hint="eastAsia" w:ascii="仿宋_GB2312" w:hAnsi="仿宋_GB2312" w:eastAsia="仿宋_GB2312" w:cs="仿宋_GB2312"/>
          <w:color w:val="000000" w:themeColor="text1"/>
          <w:sz w:val="32"/>
          <w:highlight w:val="none"/>
          <w14:textFill>
            <w14:solidFill>
              <w14:schemeClr w14:val="tx1"/>
            </w14:solidFill>
          </w14:textFill>
        </w:rPr>
        <w:t>开展道德模范</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“身边好人”</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等文明典型</w:t>
      </w:r>
      <w:r>
        <w:rPr>
          <w:rFonts w:hint="eastAsia" w:ascii="仿宋_GB2312" w:hAnsi="仿宋_GB2312" w:eastAsia="仿宋_GB2312" w:cs="仿宋_GB2312"/>
          <w:color w:val="000000" w:themeColor="text1"/>
          <w:sz w:val="32"/>
          <w:highlight w:val="none"/>
          <w14:textFill>
            <w14:solidFill>
              <w14:schemeClr w14:val="tx1"/>
            </w14:solidFill>
          </w14:textFill>
        </w:rPr>
        <w:t>选树</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及学习</w:t>
      </w:r>
      <w:r>
        <w:rPr>
          <w:rFonts w:hint="eastAsia" w:ascii="仿宋_GB2312" w:hAnsi="仿宋_GB2312" w:eastAsia="仿宋_GB2312" w:cs="仿宋_GB2312"/>
          <w:color w:val="000000" w:themeColor="text1"/>
          <w:sz w:val="32"/>
          <w:highlight w:val="none"/>
          <w14:textFill>
            <w14:solidFill>
              <w14:schemeClr w14:val="tx1"/>
            </w14:solidFill>
          </w14:textFill>
        </w:rPr>
        <w:t>宣传活动</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带动和影响形成社会新风尚。持续推进乡</w:t>
      </w:r>
      <w:r>
        <w:rPr>
          <w:rFonts w:hint="eastAsia" w:ascii="仿宋_GB2312" w:hAnsi="仿宋_GB2312" w:eastAsia="仿宋_GB2312" w:cs="仿宋_GB2312"/>
          <w:b w:val="0"/>
          <w:bCs w:val="0"/>
          <w:color w:val="000000" w:themeColor="text1"/>
          <w:sz w:val="32"/>
          <w:highlight w:val="none"/>
          <w:lang w:val="en-US" w:eastAsia="zh-CN"/>
          <w14:textFill>
            <w14:solidFill>
              <w14:schemeClr w14:val="tx1"/>
            </w14:solidFill>
          </w14:textFill>
        </w:rPr>
        <w:t>风文明建设工作，以“五个统一”工作法扎实推动移风易俗进基层并落地生根，</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强化正面宣传和引导，进一步遏制陈规陋习，弘扬新风正气，持续涵养文明乡风、良好家风、淳朴民风。</w:t>
      </w:r>
      <w:r>
        <w:rPr>
          <w:rFonts w:hint="eastAsia" w:ascii="仿宋_GB2312" w:hAnsi="仿宋_GB2312" w:eastAsia="仿宋_GB2312" w:cs="仿宋_GB2312"/>
          <w:color w:val="000000" w:themeColor="text1"/>
          <w:sz w:val="32"/>
          <w:highlight w:val="none"/>
          <w14:textFill>
            <w14:solidFill>
              <w14:schemeClr w14:val="tx1"/>
            </w14:solidFill>
          </w14:textFill>
        </w:rPr>
        <w:t>以白阳广场二期公园（</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柳城县</w:t>
      </w:r>
      <w:r>
        <w:rPr>
          <w:rFonts w:hint="eastAsia" w:ascii="仿宋_GB2312" w:hAnsi="仿宋_GB2312" w:eastAsia="仿宋_GB2312" w:cs="仿宋_GB2312"/>
          <w:color w:val="000000" w:themeColor="text1"/>
          <w:sz w:val="32"/>
          <w:highlight w:val="none"/>
          <w14:textFill>
            <w14:solidFill>
              <w14:schemeClr w14:val="tx1"/>
            </w14:solidFill>
          </w14:textFill>
        </w:rPr>
        <w:t>新时代文明实践中心主题公园—至善园）作为柳城县新时代文明实践中心的活动聚集地，坚</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持以</w:t>
      </w:r>
      <w:r>
        <w:rPr>
          <w:rFonts w:hint="eastAsia" w:ascii="仿宋_GB2312" w:hAnsi="仿宋_GB2312" w:eastAsia="仿宋_GB2312" w:cs="仿宋_GB2312"/>
          <w:color w:val="000000" w:themeColor="text1"/>
          <w:sz w:val="32"/>
          <w:highlight w:val="none"/>
          <w14:textFill>
            <w14:solidFill>
              <w14:schemeClr w14:val="tx1"/>
            </w14:solidFill>
          </w14:textFill>
        </w:rPr>
        <w:t>群众需求为导向，延伸到基层所、站共同发力</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开展群众喜闻乐见的文明实践活动</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以活动为载体</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全方位宣传报道</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有效促进融媒体中心和新时代文明实践中心“两中心”的融合发展</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传播柳城好声音；以群众需求以及县域特色亮点为出发点</w:t>
      </w:r>
      <w:r>
        <w:rPr>
          <w:rFonts w:hint="default"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eastAsia="仿宋_GB2312"/>
          <w:color w:val="000000" w:themeColor="text1"/>
          <w:sz w:val="32"/>
          <w:szCs w:val="32"/>
          <w:highlight w:val="none"/>
          <w:lang w:val="en-US" w:eastAsia="zh-CN"/>
          <w14:textFill>
            <w14:solidFill>
              <w14:schemeClr w14:val="tx1"/>
            </w14:solidFill>
          </w14:textFill>
        </w:rPr>
        <w:t>继续</w:t>
      </w:r>
      <w:r>
        <w:rPr>
          <w:rFonts w:hint="eastAsia" w:ascii="仿宋_GB2312" w:hAnsi="仿宋_GB2312" w:eastAsia="仿宋_GB2312" w:cs="仿宋_GB2312"/>
          <w:color w:val="000000" w:themeColor="text1"/>
          <w:sz w:val="32"/>
          <w:highlight w:val="none"/>
          <w14:textFill>
            <w14:solidFill>
              <w14:schemeClr w14:val="tx1"/>
            </w14:solidFill>
          </w14:textFill>
        </w:rPr>
        <w:t>打造“周五‘益’起成长</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‘柳’住青春 ‘城’载未来</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火焰蓝</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等文明实践志愿服务品牌</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highlight w:val="none"/>
          <w:lang w:val="en-US" w:eastAsia="zh-CN"/>
          <w14:textFill>
            <w14:solidFill>
              <w14:schemeClr w14:val="tx1"/>
            </w14:solidFill>
          </w14:textFill>
        </w:rPr>
        <w:t>开展群众喜闻乐见，</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富有特色的主题宣讲活动，</w:t>
      </w:r>
      <w:r>
        <w:rPr>
          <w:rFonts w:hint="eastAsia" w:ascii="仿宋_GB2312" w:hAnsi="仿宋_GB2312" w:eastAsia="仿宋_GB2312" w:cs="仿宋_GB2312"/>
          <w:color w:val="000000" w:themeColor="text1"/>
          <w:sz w:val="32"/>
          <w:highlight w:val="none"/>
          <w14:textFill>
            <w14:solidFill>
              <w14:schemeClr w14:val="tx1"/>
            </w14:solidFill>
          </w14:textFill>
        </w:rPr>
        <w:t>不断推动新时代文明实践工作走深走实。坚持以问题为导向，深入开展城镇容貌、交通乱象、文化市场、诚信问题、社会治安、</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扫黄打非</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等重点整治工程，促进社会文明、和谐。</w:t>
      </w:r>
    </w:p>
    <w:p w14:paraId="2ED631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highlight w:val="none"/>
          <w14:textFill>
            <w14:solidFill>
              <w14:schemeClr w14:val="tx1"/>
            </w14:solidFill>
          </w14:textFill>
        </w:rPr>
        <w:t>完善城乡公共文化服务体系。</w:t>
      </w:r>
      <w:r>
        <w:rPr>
          <w:rFonts w:hint="eastAsia" w:ascii="仿宋_GB2312" w:hAnsi="仿宋_GB2312" w:eastAsia="仿宋_GB2312" w:cs="仿宋_GB2312"/>
          <w:color w:val="000000" w:themeColor="text1"/>
          <w:sz w:val="32"/>
          <w:highlight w:val="none"/>
          <w14:textFill>
            <w14:solidFill>
              <w14:schemeClr w14:val="tx1"/>
            </w14:solidFill>
          </w14:textFill>
        </w:rPr>
        <w:t>构建柳城公共数字文化服务网络，加快建设现代化融媒体平台、数字电视网络图书馆，</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完成</w:t>
      </w:r>
      <w:r>
        <w:rPr>
          <w:rFonts w:hint="eastAsia" w:ascii="仿宋_GB2312" w:hAnsi="仿宋_GB2312" w:eastAsia="仿宋_GB2312" w:cs="仿宋_GB2312"/>
          <w:color w:val="000000" w:themeColor="text1"/>
          <w:sz w:val="32"/>
          <w:highlight w:val="none"/>
          <w14:textFill>
            <w14:solidFill>
              <w14:schemeClr w14:val="tx1"/>
            </w14:solidFill>
          </w14:textFill>
        </w:rPr>
        <w:t>柳城县“四馆四中心”项目</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sz w:val="32"/>
          <w:highlight w:val="none"/>
          <w14:textFill>
            <w14:solidFill>
              <w14:schemeClr w14:val="tx1"/>
            </w14:solidFill>
          </w14:textFill>
        </w:rPr>
        <w:t>加快推进农家书屋、</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提升各乡镇全民健身中心提质增效、</w:t>
      </w:r>
      <w:r>
        <w:rPr>
          <w:rFonts w:hint="eastAsia" w:ascii="仿宋_GB2312" w:hAnsi="仿宋_GB2312" w:eastAsia="仿宋_GB2312" w:cs="仿宋_GB2312"/>
          <w:color w:val="000000" w:themeColor="text1"/>
          <w:sz w:val="32"/>
          <w:highlight w:val="none"/>
          <w14:textFill>
            <w14:solidFill>
              <w14:schemeClr w14:val="tx1"/>
            </w14:solidFill>
          </w14:textFill>
        </w:rPr>
        <w:t>农村阅览室建设，完善城乡公共文化服务设施。全面推进档案治理体系、档案资源体系、档案利用体系、档案安全体系建设，深化档案信息化战略转型，强化档案科技和人才支撑，推动档案事业高质量发展。深入实施文化惠民工程，稳定并充实专业人才、志愿者、业余文化骨</w:t>
      </w:r>
      <w:r>
        <w:rPr>
          <w:rFonts w:hint="eastAsia" w:ascii="仿宋_GB2312" w:hAnsi="仿宋_GB2312" w:eastAsia="仿宋_GB2312" w:cs="仿宋_GB2312"/>
          <w:color w:val="000000" w:themeColor="text1"/>
          <w:spacing w:val="-6"/>
          <w:sz w:val="32"/>
          <w:highlight w:val="none"/>
          <w14:textFill>
            <w14:solidFill>
              <w14:schemeClr w14:val="tx1"/>
            </w14:solidFill>
          </w14:textFill>
        </w:rPr>
        <w:t>干队伍，扎实开展好文化志愿服务活动，丰富人民群众文化生活。</w:t>
      </w:r>
    </w:p>
    <w:p w14:paraId="6F15CE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000000" w:themeColor="text1"/>
          <w:sz w:val="16"/>
          <w:szCs w:val="16"/>
          <w:highlight w:val="none"/>
          <w14:textFill>
            <w14:solidFill>
              <w14:schemeClr w14:val="tx1"/>
            </w14:solidFill>
          </w14:textFill>
        </w:rPr>
      </w:pPr>
      <w:bookmarkStart w:id="87" w:name="OLE_LINK7"/>
      <w:r>
        <w:rPr>
          <w:rFonts w:hint="eastAsia" w:ascii="仿宋_GB2312" w:hAnsi="仿宋_GB2312" w:eastAsia="仿宋_GB2312" w:cs="仿宋_GB2312"/>
          <w:b/>
          <w:bCs w:val="0"/>
          <w:color w:val="000000" w:themeColor="text1"/>
          <w:sz w:val="32"/>
          <w:szCs w:val="20"/>
          <w:highlight w:val="none"/>
          <w:lang w:val="en-US" w:eastAsia="zh-CN"/>
          <w14:textFill>
            <w14:solidFill>
              <w14:schemeClr w14:val="tx1"/>
            </w14:solidFill>
          </w14:textFill>
        </w:rPr>
        <w:t>推进主流媒体</w:t>
      </w:r>
      <w:r>
        <w:rPr>
          <w:rFonts w:hint="eastAsia" w:ascii="仿宋_GB2312" w:hAnsi="仿宋_GB2312" w:eastAsia="仿宋_GB2312" w:cs="仿宋_GB2312"/>
          <w:b/>
          <w:bCs w:val="0"/>
          <w:color w:val="000000" w:themeColor="text1"/>
          <w:sz w:val="32"/>
          <w:szCs w:val="20"/>
          <w:highlight w:val="none"/>
          <w:lang w:val="en-US" w:eastAsia="zh-Hans"/>
          <w14:textFill>
            <w14:solidFill>
              <w14:schemeClr w14:val="tx1"/>
            </w14:solidFill>
          </w14:textFill>
        </w:rPr>
        <w:t>改</w:t>
      </w:r>
      <w:r>
        <w:rPr>
          <w:rFonts w:hint="eastAsia" w:ascii="仿宋_GB2312" w:hAnsi="仿宋_GB2312" w:eastAsia="仿宋_GB2312" w:cs="仿宋_GB2312"/>
          <w:b/>
          <w:bCs w:val="0"/>
          <w:color w:val="000000" w:themeColor="text1"/>
          <w:sz w:val="32"/>
          <w:szCs w:val="20"/>
          <w:highlight w:val="none"/>
          <w:lang w:val="en-US" w:eastAsia="zh-CN"/>
          <w14:textFill>
            <w14:solidFill>
              <w14:schemeClr w14:val="tx1"/>
            </w14:solidFill>
          </w14:textFill>
        </w:rPr>
        <w:t>革</w:t>
      </w:r>
      <w:r>
        <w:rPr>
          <w:rFonts w:hint="eastAsia" w:ascii="仿宋_GB2312" w:hAnsi="仿宋_GB2312" w:eastAsia="仿宋_GB2312" w:cs="仿宋_GB2312"/>
          <w:b/>
          <w:bCs w:val="0"/>
          <w:color w:val="000000" w:themeColor="text1"/>
          <w:sz w:val="32"/>
          <w:szCs w:val="20"/>
          <w:highlight w:val="none"/>
          <w:lang w:val="en-US" w:eastAsia="zh-Hans"/>
          <w14:textFill>
            <w14:solidFill>
              <w14:schemeClr w14:val="tx1"/>
            </w14:solidFill>
          </w14:textFill>
        </w:rPr>
        <w:t>发展</w:t>
      </w:r>
      <w:r>
        <w:rPr>
          <w:rFonts w:hint="eastAsia" w:ascii="仿宋_GB2312" w:hAnsi="仿宋_GB2312" w:eastAsia="仿宋_GB2312" w:cs="仿宋_GB2312"/>
          <w:b/>
          <w:bCs w:val="0"/>
          <w:color w:val="000000" w:themeColor="text1"/>
          <w:sz w:val="32"/>
          <w:szCs w:val="20"/>
          <w:highlight w:val="none"/>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20"/>
          <w:highlight w:val="none"/>
          <w:lang w:val="en-US" w:eastAsia="zh-CN"/>
          <w14:textFill>
            <w14:solidFill>
              <w14:schemeClr w14:val="tx1"/>
            </w14:solidFill>
          </w14:textFill>
        </w:rPr>
        <w:t>以</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县融媒体中心入选自治区首批县级融媒体中心系统性变革“揭榜挂帅”单位为切入点，提质增效县域服务与舆论引导，紧扣媒体深度融合发展战略部署，坚持“守正创新、技术驱动、内容为王、安全筑基”原则，</w:t>
      </w:r>
      <w:r>
        <w:rPr>
          <w:rFonts w:hint="eastAsia" w:ascii="仿宋_GB2312" w:hAnsi="仿宋_GB2312" w:eastAsia="仿宋_GB2312" w:cs="仿宋_GB2312"/>
          <w:color w:val="000000" w:themeColor="text1"/>
          <w:sz w:val="32"/>
          <w:szCs w:val="22"/>
          <w:highlight w:val="none"/>
          <w14:textFill>
            <w14:solidFill>
              <w14:schemeClr w14:val="tx1"/>
            </w14:solidFill>
          </w14:textFill>
        </w:rPr>
        <w:t>加强全媒体传播体系建设，突出“舆论新格局”</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聚焦县域发展重点与群众需求，打造兼具思想性、专业性的精品内容矩阵，围绕乡村振兴、基层治理、民生服务等县域重点工作，打造一批接地气、有温度、传得开的精品融媒体产品。</w:t>
      </w:r>
      <w:r>
        <w:rPr>
          <w:rFonts w:hint="eastAsia" w:ascii="仿宋_GB2312" w:hAnsi="仿宋_GB2312" w:eastAsia="仿宋_GB2312" w:cs="仿宋_GB2312"/>
          <w:color w:val="000000" w:themeColor="text1"/>
          <w:sz w:val="32"/>
          <w:szCs w:val="22"/>
          <w:highlight w:val="none"/>
          <w14:textFill>
            <w14:solidFill>
              <w14:schemeClr w14:val="tx1"/>
            </w14:solidFill>
          </w14:textFill>
        </w:rPr>
        <w:t>提高智慧服务与</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社会治理效能，</w:t>
      </w:r>
      <w:r>
        <w:rPr>
          <w:rFonts w:hint="eastAsia" w:ascii="仿宋_GB2312" w:hAnsi="仿宋_GB2312" w:eastAsia="仿宋_GB2312" w:cs="仿宋_GB2312"/>
          <w:color w:val="000000" w:themeColor="text1"/>
          <w:sz w:val="32"/>
          <w:szCs w:val="22"/>
          <w:highlight w:val="none"/>
          <w14:textFill>
            <w14:solidFill>
              <w14:schemeClr w14:val="tx1"/>
            </w14:solidFill>
          </w14:textFill>
        </w:rPr>
        <w:t>加强机制体制创新，通过科学的绩效考核、优化组织架构和人才管理模式，利用创建工作室、人员培训和外部人才引进等</w:t>
      </w:r>
      <w:r>
        <w:rPr>
          <w:rFonts w:hint="eastAsia" w:ascii="仿宋_GB2312" w:hAnsi="仿宋_GB2312" w:eastAsia="仿宋_GB2312" w:cs="仿宋_GB2312"/>
          <w:color w:val="000000" w:themeColor="text1"/>
          <w:sz w:val="32"/>
          <w:szCs w:val="22"/>
          <w:highlight w:val="none"/>
          <w:lang w:eastAsia="zh-Hans"/>
          <w14:textFill>
            <w14:solidFill>
              <w14:schemeClr w14:val="tx1"/>
            </w14:solidFill>
          </w14:textFill>
        </w:rPr>
        <w:t>方式</w:t>
      </w:r>
      <w:r>
        <w:rPr>
          <w:rFonts w:hint="eastAsia" w:ascii="仿宋_GB2312" w:hAnsi="仿宋_GB2312" w:eastAsia="仿宋_GB2312" w:cs="仿宋_GB2312"/>
          <w:color w:val="000000" w:themeColor="text1"/>
          <w:sz w:val="32"/>
          <w:szCs w:val="22"/>
          <w:highlight w:val="none"/>
          <w14:textFill>
            <w14:solidFill>
              <w14:schemeClr w14:val="tx1"/>
            </w14:solidFill>
          </w14:textFill>
        </w:rPr>
        <w:t>持续提升融媒人才队伍水平，激发人才发展活力</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到2030年，建成技术先进、功能完备、服务高效的新型县级融媒体平台，为县域经济社会高质量发展提供坚强舆论支撑和优质文化服务。</w:t>
      </w:r>
      <w:bookmarkEnd w:id="87"/>
      <w:bookmarkStart w:id="88" w:name="_Toc11567"/>
    </w:p>
    <w:p w14:paraId="6FF57A55">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Hans"/>
          <w14:textFill>
            <w14:solidFill>
              <w14:schemeClr w14:val="tx1"/>
            </w14:solidFill>
          </w14:textFill>
        </w:rPr>
      </w:pPr>
      <w:bookmarkStart w:id="89" w:name="_Toc2025440938"/>
      <w:bookmarkStart w:id="90" w:name="_Toc864882793"/>
      <w:r>
        <w:rPr>
          <w:rFonts w:hint="eastAsia" w:ascii="楷体" w:hAnsi="楷体" w:eastAsia="楷体" w:cs="楷体"/>
          <w:color w:val="000000" w:themeColor="text1"/>
          <w:highlight w:val="none"/>
          <w:lang w:val="en-US" w:eastAsia="zh-Hans"/>
          <w14:textFill>
            <w14:solidFill>
              <w14:schemeClr w14:val="tx1"/>
            </w14:solidFill>
          </w14:textFill>
        </w:rPr>
        <w:t>第二节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挖掘培育特色文化品牌</w:t>
      </w:r>
      <w:bookmarkEnd w:id="88"/>
      <w:r>
        <w:rPr>
          <w:rFonts w:hint="default" w:ascii="楷体" w:hAnsi="楷体" w:eastAsia="楷体" w:cs="楷体"/>
          <w:color w:val="000000" w:themeColor="text1"/>
          <w:highlight w:val="none"/>
          <w:lang w:val="en-US" w:eastAsia="zh-Hans"/>
          <w14:textFill>
            <w14:solidFill>
              <w14:schemeClr w14:val="tx1"/>
            </w14:solidFill>
          </w14:textFill>
        </w:rPr>
        <w:t>，</w:t>
      </w:r>
      <w:r>
        <w:rPr>
          <w:rFonts w:hint="eastAsia" w:ascii="楷体" w:hAnsi="楷体" w:eastAsia="楷体" w:cs="楷体"/>
          <w:color w:val="000000" w:themeColor="text1"/>
          <w:highlight w:val="none"/>
          <w:lang w:val="en-US" w:eastAsia="zh-Hans"/>
          <w14:textFill>
            <w14:solidFill>
              <w14:schemeClr w14:val="tx1"/>
            </w14:solidFill>
          </w14:textFill>
        </w:rPr>
        <w:t>打造柳城文化</w:t>
      </w:r>
      <w:r>
        <w:rPr>
          <w:rFonts w:hint="default" w:ascii="楷体" w:hAnsi="楷体" w:eastAsia="楷体" w:cs="楷体"/>
          <w:color w:val="000000" w:themeColor="text1"/>
          <w:highlight w:val="none"/>
          <w:lang w:val="en-US" w:eastAsia="zh-Hans"/>
          <w14:textFill>
            <w14:solidFill>
              <w14:schemeClr w14:val="tx1"/>
            </w14:solidFill>
          </w14:textFill>
        </w:rPr>
        <w:t>IP</w:t>
      </w:r>
      <w:bookmarkEnd w:id="89"/>
      <w:bookmarkEnd w:id="90"/>
    </w:p>
    <w:p w14:paraId="4E75B8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坚持“在保护中开发、在传承中发展”的原则，充分挖掘柳城特色文化资源，积极培植文化产业，促进文化开放交流，打造柳城特色文化品牌</w:t>
      </w:r>
      <w:r>
        <w:rPr>
          <w:rFonts w:hint="eastAsia" w:ascii="仿宋_GB2312" w:hAnsi="仿宋_GB2312" w:eastAsia="仿宋_GB2312" w:cs="仿宋_GB2312"/>
          <w:color w:val="000000" w:themeColor="text1"/>
          <w:sz w:val="32"/>
          <w:highlight w:val="none"/>
          <w:lang w:eastAsia="zh-Hans"/>
          <w14:textFill>
            <w14:solidFill>
              <w14:schemeClr w14:val="tx1"/>
            </w14:solidFill>
          </w14:textFill>
        </w:rPr>
        <w:t>和</w:t>
      </w:r>
      <w:r>
        <w:rPr>
          <w:rFonts w:hint="eastAsia" w:ascii="仿宋_GB2312" w:hAnsi="仿宋_GB2312" w:eastAsia="仿宋_GB2312" w:cs="仿宋_GB2312"/>
          <w:color w:val="000000" w:themeColor="text1"/>
          <w:sz w:val="32"/>
          <w:highlight w:val="none"/>
          <w14:textFill>
            <w14:solidFill>
              <w14:schemeClr w14:val="tx1"/>
            </w14:solidFill>
          </w14:textFill>
        </w:rPr>
        <w:t>特色文化</w:t>
      </w:r>
      <w:r>
        <w:rPr>
          <w:rFonts w:hint="default" w:ascii="仿宋_GB2312" w:hAnsi="仿宋_GB2312" w:eastAsia="仿宋_GB2312" w:cs="仿宋_GB2312"/>
          <w:color w:val="000000" w:themeColor="text1"/>
          <w:sz w:val="32"/>
          <w:highlight w:val="none"/>
          <w14:textFill>
            <w14:solidFill>
              <w14:schemeClr w14:val="tx1"/>
            </w14:solidFill>
          </w14:textFill>
        </w:rPr>
        <w:t>IP</w:t>
      </w:r>
      <w:r>
        <w:rPr>
          <w:rFonts w:hint="eastAsia" w:ascii="仿宋_GB2312" w:hAnsi="仿宋_GB2312" w:eastAsia="仿宋_GB2312" w:cs="仿宋_GB2312"/>
          <w:color w:val="000000" w:themeColor="text1"/>
          <w:sz w:val="32"/>
          <w:highlight w:val="none"/>
          <w14:textFill>
            <w14:solidFill>
              <w14:schemeClr w14:val="tx1"/>
            </w14:solidFill>
          </w14:textFill>
        </w:rPr>
        <w:t>。</w:t>
      </w:r>
    </w:p>
    <w:p w14:paraId="41F8F0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color w:val="000000" w:themeColor="text1"/>
          <w:sz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highlight w:val="none"/>
          <w:lang w:eastAsia="zh-Hans"/>
          <w14:textFill>
            <w14:solidFill>
              <w14:schemeClr w14:val="tx1"/>
            </w14:solidFill>
          </w14:textFill>
        </w:rPr>
        <w:t>深度</w:t>
      </w:r>
      <w:r>
        <w:rPr>
          <w:rFonts w:hint="eastAsia" w:ascii="仿宋_GB2312" w:hAnsi="仿宋_GB2312" w:eastAsia="仿宋_GB2312" w:cs="仿宋_GB2312"/>
          <w:b/>
          <w:bCs w:val="0"/>
          <w:color w:val="000000" w:themeColor="text1"/>
          <w:sz w:val="32"/>
          <w:highlight w:val="none"/>
          <w14:textFill>
            <w14:solidFill>
              <w14:schemeClr w14:val="tx1"/>
            </w14:solidFill>
          </w14:textFill>
        </w:rPr>
        <w:t>挖掘特色文化资源。</w:t>
      </w:r>
      <w:r>
        <w:rPr>
          <w:rFonts w:hint="eastAsia" w:ascii="仿宋_GB2312" w:hAnsi="仿宋_GB2312" w:eastAsia="仿宋_GB2312" w:cs="仿宋_GB2312"/>
          <w:color w:val="000000" w:themeColor="text1"/>
          <w:sz w:val="32"/>
          <w:highlight w:val="none"/>
          <w14:textFill>
            <w14:solidFill>
              <w14:schemeClr w14:val="tx1"/>
            </w14:solidFill>
          </w14:textFill>
        </w:rPr>
        <w:t>深入挖掘和研究</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书法、彩调、</w:t>
      </w:r>
      <w:r>
        <w:rPr>
          <w:rFonts w:hint="eastAsia" w:ascii="仿宋_GB2312" w:hAnsi="仿宋_GB2312" w:eastAsia="仿宋_GB2312" w:cs="仿宋_GB2312"/>
          <w:color w:val="000000" w:themeColor="text1"/>
          <w:sz w:val="32"/>
          <w:highlight w:val="none"/>
          <w14:textFill>
            <w14:solidFill>
              <w14:schemeClr w14:val="tx1"/>
            </w14:solidFill>
          </w14:textFill>
        </w:rPr>
        <w:t>巨猿洞、凤山古镇、开山寺</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柳州日报》柳城分社旧址</w:t>
      </w:r>
      <w:r>
        <w:rPr>
          <w:rFonts w:hint="eastAsia" w:ascii="仿宋_GB2312" w:hAnsi="仿宋_GB2312" w:eastAsia="仿宋_GB2312" w:cs="仿宋_GB2312"/>
          <w:color w:val="000000" w:themeColor="text1"/>
          <w:sz w:val="32"/>
          <w:highlight w:val="none"/>
          <w14:textFill>
            <w14:solidFill>
              <w14:schemeClr w14:val="tx1"/>
            </w14:solidFill>
          </w14:textFill>
        </w:rPr>
        <w:t>等独具柳城特色的文化</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资源，</w:t>
      </w:r>
      <w:r>
        <w:rPr>
          <w:rFonts w:hint="eastAsia" w:ascii="仿宋_GB2312" w:hAnsi="仿宋_GB2312" w:eastAsia="仿宋_GB2312" w:cs="仿宋_GB2312"/>
          <w:color w:val="000000" w:themeColor="text1"/>
          <w:sz w:val="32"/>
          <w:highlight w:val="none"/>
          <w14:textFill>
            <w14:solidFill>
              <w14:schemeClr w14:val="tx1"/>
            </w14:solidFill>
          </w14:textFill>
        </w:rPr>
        <w:t>打造</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书法文化</w:t>
      </w:r>
      <w:r>
        <w:rPr>
          <w:rFonts w:hint="eastAsia" w:ascii="仿宋_GB2312" w:hAnsi="仿宋_GB2312" w:eastAsia="仿宋_GB2312" w:cs="仿宋_GB2312"/>
          <w:color w:val="000000" w:themeColor="text1"/>
          <w:sz w:val="32"/>
          <w:highlight w:val="none"/>
          <w14:textFill>
            <w14:solidFill>
              <w14:schemeClr w14:val="tx1"/>
            </w14:solidFill>
          </w14:textFill>
        </w:rPr>
        <w:t>、民族文化、红色文化、</w:t>
      </w:r>
      <w:r>
        <w:rPr>
          <w:rFonts w:hint="eastAsia" w:eastAsia="仿宋_GB2312"/>
          <w:color w:val="000000" w:themeColor="text1"/>
          <w:sz w:val="32"/>
          <w:szCs w:val="32"/>
          <w:highlight w:val="none"/>
          <w:lang w:val="en-US" w:eastAsia="zh-CN"/>
          <w14:textFill>
            <w14:solidFill>
              <w14:schemeClr w14:val="tx1"/>
            </w14:solidFill>
          </w14:textFill>
        </w:rPr>
        <w:t>诗词文化、</w:t>
      </w:r>
      <w:r>
        <w:rPr>
          <w:rFonts w:hint="eastAsia" w:ascii="仿宋_GB2312" w:hAnsi="仿宋_GB2312" w:eastAsia="仿宋_GB2312" w:cs="仿宋_GB2312"/>
          <w:color w:val="000000" w:themeColor="text1"/>
          <w:sz w:val="32"/>
          <w:highlight w:val="none"/>
          <w14:textFill>
            <w14:solidFill>
              <w14:schemeClr w14:val="tx1"/>
            </w14:solidFill>
          </w14:textFill>
        </w:rPr>
        <w:t>山歌文化</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、禅修</w:t>
      </w:r>
      <w:r>
        <w:rPr>
          <w:rFonts w:hint="eastAsia" w:ascii="仿宋_GB2312" w:hAnsi="仿宋_GB2312" w:eastAsia="仿宋_GB2312" w:cs="仿宋_GB2312"/>
          <w:color w:val="000000" w:themeColor="text1"/>
          <w:sz w:val="32"/>
          <w:highlight w:val="none"/>
          <w14:textFill>
            <w14:solidFill>
              <w14:schemeClr w14:val="tx1"/>
            </w14:solidFill>
          </w14:textFill>
        </w:rPr>
        <w:t>文化</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sz w:val="32"/>
          <w:highlight w:val="none"/>
          <w14:textFill>
            <w14:solidFill>
              <w14:schemeClr w14:val="tx1"/>
            </w14:solidFill>
          </w14:textFill>
        </w:rPr>
        <w:t>柳城特色文化品牌，</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依托数字化、智慧化手段，创新品牌打造方式，探索品牌文化应用新场景，创作具有柳城文化内涵的优质作品，讲好柳城文化故事，</w:t>
      </w:r>
      <w:r>
        <w:rPr>
          <w:rFonts w:hint="eastAsia" w:ascii="仿宋_GB2312" w:hAnsi="仿宋_GB2312" w:eastAsia="仿宋_GB2312" w:cs="仿宋_GB2312"/>
          <w:color w:val="000000" w:themeColor="text1"/>
          <w:sz w:val="32"/>
          <w:highlight w:val="none"/>
          <w14:textFill>
            <w14:solidFill>
              <w14:schemeClr w14:val="tx1"/>
            </w14:solidFill>
          </w14:textFill>
        </w:rPr>
        <w:t>开发利用文化旅游资源，</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塑造具有鲜明特色的柳城形象，</w:t>
      </w:r>
      <w:r>
        <w:rPr>
          <w:rFonts w:hint="eastAsia" w:ascii="仿宋_GB2312" w:hAnsi="仿宋_GB2312" w:eastAsia="仿宋_GB2312" w:cs="仿宋_GB2312"/>
          <w:color w:val="000000" w:themeColor="text1"/>
          <w:sz w:val="32"/>
          <w:highlight w:val="none"/>
          <w14:textFill>
            <w14:solidFill>
              <w14:schemeClr w14:val="tx1"/>
            </w14:solidFill>
          </w14:textFill>
        </w:rPr>
        <w:t>提升柳城知名度</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和美誉度</w:t>
      </w:r>
      <w:r>
        <w:rPr>
          <w:rFonts w:hint="eastAsia" w:ascii="仿宋_GB2312" w:hAnsi="仿宋_GB2312" w:eastAsia="仿宋_GB2312" w:cs="仿宋_GB2312"/>
          <w:color w:val="000000" w:themeColor="text1"/>
          <w:sz w:val="32"/>
          <w:highlight w:val="none"/>
          <w14:textFill>
            <w14:solidFill>
              <w14:schemeClr w14:val="tx1"/>
            </w14:solidFill>
          </w14:textFill>
        </w:rPr>
        <w:t>。继续推进柳城巨猿洞、柳城宋代窑址、古廨古建筑群和覃村石拱桥</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柳州日报》柳城分社旧址</w:t>
      </w:r>
      <w:r>
        <w:rPr>
          <w:rFonts w:hint="eastAsia" w:ascii="仿宋_GB2312" w:hAnsi="仿宋_GB2312" w:eastAsia="仿宋_GB2312" w:cs="仿宋_GB2312"/>
          <w:color w:val="000000" w:themeColor="text1"/>
          <w:sz w:val="32"/>
          <w:highlight w:val="none"/>
          <w14:textFill>
            <w14:solidFill>
              <w14:schemeClr w14:val="tx1"/>
            </w14:solidFill>
          </w14:textFill>
        </w:rPr>
        <w:t>等重点文物保护单位修缮工作。做好非物质文化遗产的挖掘、整理、申报工作，</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推进柳城龙窑陶器烧制技艺、柳城云片糕制作技艺等一批非物质文化遗产项目的保护与活化。</w:t>
      </w:r>
    </w:p>
    <w:p w14:paraId="4BAD78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val="0"/>
          <w:color w:val="000000" w:themeColor="text1"/>
          <w:sz w:val="32"/>
          <w:highlight w:val="none"/>
          <w14:textFill>
            <w14:solidFill>
              <w14:schemeClr w14:val="tx1"/>
            </w14:solidFill>
          </w14:textFill>
        </w:rPr>
        <w:t>推动文化产业高质量发展。</w:t>
      </w:r>
      <w:r>
        <w:rPr>
          <w:rFonts w:hint="eastAsia" w:ascii="仿宋_GB2312" w:hAnsi="仿宋_GB2312" w:eastAsia="仿宋_GB2312" w:cs="仿宋_GB2312"/>
          <w:bCs/>
          <w:color w:val="000000" w:themeColor="text1"/>
          <w:sz w:val="32"/>
          <w:highlight w:val="none"/>
          <w14:textFill>
            <w14:solidFill>
              <w14:schemeClr w14:val="tx1"/>
            </w14:solidFill>
          </w14:textFill>
        </w:rPr>
        <w:t>充分</w:t>
      </w:r>
      <w:r>
        <w:rPr>
          <w:rFonts w:hint="eastAsia" w:ascii="仿宋_GB2312" w:hAnsi="仿宋_GB2312" w:eastAsia="仿宋_GB2312" w:cs="仿宋_GB2312"/>
          <w:color w:val="000000" w:themeColor="text1"/>
          <w:sz w:val="32"/>
          <w:highlight w:val="none"/>
          <w14:textFill>
            <w14:solidFill>
              <w14:schemeClr w14:val="tx1"/>
            </w14:solidFill>
          </w14:textFill>
        </w:rPr>
        <w:t>发挥资源优势，建立文化产业规划引领、政府引导、企业带头、项目带动的发展机制，把文化产业培育成为新兴产业和新的经济增长点。培育新型文化业态和经营主体，鼓励和扶持优秀文化产品创作生产，大力培养文化人才，推进传统文化与科技、旅游、教育等融合发展。实施重大文化产业项目带动战略，打造微短剧、文博文创、游戏电竞、数字创意等新兴文化产业集群。推动人工智能在繁荣文化生产中展现更大作为，支持文化和科技融合企业、园区发展，推进文化建设数智化赋能、信息化转型。引导规范网络文学、网络游戏、网络视听等健康发展，加强未成年人网络保护。</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根据县域财力增长状况和文化产业发展实际需要，适时研究强化财政扶持的有效途径。</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大力推进文旅活县，充分挖掘和盘活开发特色文旅资源，</w:t>
      </w:r>
      <w:r>
        <w:rPr>
          <w:rFonts w:hint="eastAsia" w:ascii="仿宋_GB2312" w:hAnsi="仿宋_GB2312" w:eastAsia="仿宋_GB2312" w:cs="仿宋_GB2312"/>
          <w:color w:val="000000" w:themeColor="text1"/>
          <w:sz w:val="32"/>
          <w:highlight w:val="none"/>
          <w14:textFill>
            <w14:solidFill>
              <w14:schemeClr w14:val="tx1"/>
            </w14:solidFill>
          </w14:textFill>
        </w:rPr>
        <w:t>实施历史文化名镇、名村创建工程。</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重点抓好知青城景区、全民健身中心、宋窑遗址文化旅游产业园、巨猿洞遗址考古公园、古廨古建筑群保护利用</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、龙头伏华“茶产业+红色教育”研学</w:t>
      </w:r>
      <w:r>
        <w:rPr>
          <w:rFonts w:hint="eastAsia" w:eastAsia="仿宋_GB2312"/>
          <w:color w:val="000000" w:themeColor="text1"/>
          <w:sz w:val="32"/>
          <w:szCs w:val="32"/>
          <w:highlight w:val="none"/>
          <w:lang w:val="en-US" w:eastAsia="zh-CN"/>
          <w14:textFill>
            <w14:solidFill>
              <w14:schemeClr w14:val="tx1"/>
            </w14:solidFill>
          </w14:textFill>
        </w:rPr>
        <w:t>、华侨农场“桔园观光</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银发经济”旅游度假</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融合发展</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等一批项目开发，推动</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“旅游</w:t>
      </w:r>
      <w:r>
        <w:rPr>
          <w:rFonts w:hint="eastAsia"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产业融合，打造</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“千年古县·甜美柳城”</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SA"/>
          <w14:textFill>
            <w14:solidFill>
              <w14:schemeClr w14:val="tx1"/>
            </w14:solidFill>
          </w14:textFill>
        </w:rPr>
        <w:t>核心品牌</w:t>
      </w:r>
      <w:r>
        <w:rPr>
          <w:rFonts w:hint="eastAsia" w:ascii="仿宋_GB2312" w:hAnsi="仿宋_GB2312" w:eastAsia="仿宋_GB2312" w:cs="仿宋_GB2312"/>
          <w:color w:val="000000" w:themeColor="text1"/>
          <w:sz w:val="32"/>
          <w:highlight w:val="none"/>
          <w14:textFill>
            <w14:solidFill>
              <w14:schemeClr w14:val="tx1"/>
            </w14:solidFill>
          </w14:textFill>
        </w:rPr>
        <w:t>。</w:t>
      </w:r>
    </w:p>
    <w:p w14:paraId="26CBA7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color w:val="000000" w:themeColor="text1"/>
          <w:sz w:val="16"/>
          <w:szCs w:val="16"/>
          <w:highlight w:val="none"/>
          <w:lang w:val="en-US" w:eastAsia="zh-Hans"/>
          <w14:textFill>
            <w14:solidFill>
              <w14:schemeClr w14:val="tx1"/>
            </w14:solidFill>
          </w14:textFill>
        </w:rPr>
      </w:pPr>
      <w:r>
        <w:rPr>
          <w:rFonts w:hint="eastAsia" w:ascii="仿宋_GB2312" w:hAnsi="仿宋_GB2312" w:eastAsia="仿宋_GB2312" w:cs="仿宋_GB2312"/>
          <w:b/>
          <w:bCs w:val="0"/>
          <w:color w:val="000000" w:themeColor="text1"/>
          <w:sz w:val="32"/>
          <w:highlight w:val="none"/>
          <w14:textFill>
            <w14:solidFill>
              <w14:schemeClr w14:val="tx1"/>
            </w14:solidFill>
          </w14:textFill>
        </w:rPr>
        <w:t>促进文化开放交流</w:t>
      </w:r>
      <w:r>
        <w:rPr>
          <w:rFonts w:hint="eastAsia" w:ascii="仿宋_GB2312" w:hAnsi="仿宋_GB2312" w:eastAsia="仿宋_GB2312" w:cs="仿宋_GB2312"/>
          <w:b/>
          <w:bCs w:val="0"/>
          <w:color w:val="000000" w:themeColor="text1"/>
          <w:sz w:val="32"/>
          <w:highlight w:val="none"/>
          <w:lang w:eastAsia="zh-Hans"/>
          <w14:textFill>
            <w14:solidFill>
              <w14:schemeClr w14:val="tx1"/>
            </w14:solidFill>
          </w14:textFill>
        </w:rPr>
        <w:t>融合发展</w:t>
      </w:r>
      <w:r>
        <w:rPr>
          <w:rFonts w:hint="eastAsia" w:ascii="仿宋_GB2312" w:hAnsi="仿宋_GB2312" w:eastAsia="仿宋_GB2312" w:cs="仿宋_GB2312"/>
          <w:b/>
          <w:bCs w:val="0"/>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全力推进公共文化服务提质升级，年均举办群众文化</w:t>
      </w:r>
      <w:r>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t>体育</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活动超200场，服务人次达20万以上；培育区域性文化品牌1个，保护并活化非遗项目30项以上。</w:t>
      </w:r>
      <w:r>
        <w:rPr>
          <w:rFonts w:hint="eastAsia" w:ascii="仿宋_GB2312" w:eastAsia="仿宋_GB2312"/>
          <w:color w:val="000000" w:themeColor="text1"/>
          <w:sz w:val="32"/>
          <w:szCs w:val="32"/>
          <w:highlight w:val="none"/>
          <w:lang w:val="en-US" w:eastAsia="zh-CN"/>
          <w14:textFill>
            <w14:solidFill>
              <w14:schemeClr w14:val="tx1"/>
            </w14:solidFill>
          </w14:textFill>
        </w:rPr>
        <w:t>举办柳华</w:t>
      </w:r>
      <w:r>
        <w:rPr>
          <w:rFonts w:hint="eastAsia" w:ascii="仿宋_GB2312" w:hAnsi="黑体" w:eastAsia="仿宋_GB2312"/>
          <w:color w:val="000000" w:themeColor="text1"/>
          <w:sz w:val="32"/>
          <w:szCs w:val="32"/>
          <w:highlight w:val="none"/>
          <w14:textFill>
            <w14:solidFill>
              <w14:schemeClr w14:val="tx1"/>
            </w14:solidFill>
          </w14:textFill>
        </w:rPr>
        <w:t>华侨美食节系列活动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加大“侨文化”挖掘力度，整合归侨口述史、南洋民俗器物、归国老照片等，建设柳城华侨农场侨史展示中心。</w:t>
      </w:r>
      <w:r>
        <w:rPr>
          <w:rFonts w:hint="eastAsia" w:ascii="仿宋_GB2312" w:hAnsi="仿宋_GB2312" w:eastAsia="仿宋_GB2312" w:cs="仿宋_GB2312"/>
          <w:color w:val="000000" w:themeColor="text1"/>
          <w:sz w:val="32"/>
          <w:highlight w:val="none"/>
          <w14:textFill>
            <w14:solidFill>
              <w14:schemeClr w14:val="tx1"/>
            </w14:solidFill>
          </w14:textFill>
        </w:rPr>
        <w:t>加强与周边区域尤其是柳江河流域以及区内外、国内外的文化交流与合作，推动政府合作与民间交流互促共建，提高柳城文化知名度和影响力。充分发挥文化领域专家学者的力量，充分利用互联网宣传传播的作用，以互访、商演、展览、文化学术研讨交流（论坛）等活动形式，引进外部优秀文化，输出柳城特色文化。</w:t>
      </w:r>
      <w:r>
        <w:rPr>
          <w:rFonts w:hint="eastAsia" w:eastAsia="仿宋_GB2312"/>
          <w:color w:val="000000" w:themeColor="text1"/>
          <w:sz w:val="32"/>
          <w:szCs w:val="32"/>
          <w:highlight w:val="none"/>
          <w:lang w:val="en-US" w:eastAsia="zh-CN"/>
          <w14:textFill>
            <w14:solidFill>
              <w14:schemeClr w14:val="tx1"/>
            </w14:solidFill>
          </w14:textFill>
        </w:rPr>
        <w:t>挖掘培育“黄三弟”歌王文化品牌，打造柳城特色的山歌文化名片。</w:t>
      </w:r>
      <w:r>
        <w:rPr>
          <w:rFonts w:hint="eastAsia" w:ascii="仿宋_GB2312" w:hAnsi="仿宋_GB2312" w:eastAsia="仿宋_GB2312" w:cs="仿宋_GB2312"/>
          <w:color w:val="000000" w:themeColor="text1"/>
          <w:sz w:val="32"/>
          <w:highlight w:val="none"/>
          <w14:textFill>
            <w14:solidFill>
              <w14:schemeClr w14:val="tx1"/>
            </w14:solidFill>
          </w14:textFill>
        </w:rPr>
        <w:t>引导壮族、仫佬族、客家等民间知名歌手组建“柳城山歌协会”，挖掘山歌文化，重振各乡镇歌圩，借助节庆活动，围绕时代主题，实施“山歌进学校、进单位（社区）、进景区”活动，打造“柳城壮欢山歌”品牌，积极参与“广西三月三”品牌建设工程</w:t>
      </w:r>
      <w:r>
        <w:rPr>
          <w:rFonts w:hint="default" w:ascii="仿宋_GB2312" w:hAnsi="仿宋_GB2312" w:eastAsia="仿宋_GB2312" w:cs="仿宋_GB2312"/>
          <w:color w:val="000000" w:themeColor="text1"/>
          <w:sz w:val="32"/>
          <w:highlight w:val="none"/>
          <w14:textFill>
            <w14:solidFill>
              <w14:schemeClr w14:val="tx1"/>
            </w14:solidFill>
          </w14:textFill>
        </w:rPr>
        <w:t>。</w:t>
      </w:r>
    </w:p>
    <w:p w14:paraId="0BF51549">
      <w:pPr>
        <w:rPr>
          <w:rFonts w:hint="eastAsia" w:ascii="黑体" w:hAnsi="黑体" w:eastAsia="黑体" w:cs="黑体"/>
          <w:sz w:val="32"/>
          <w:szCs w:val="40"/>
          <w:lang w:val="en-US" w:eastAsia="zh-Hans"/>
        </w:rPr>
      </w:pPr>
      <w:r>
        <w:rPr>
          <w:rFonts w:hint="eastAsia" w:ascii="黑体" w:hAnsi="黑体" w:eastAsia="黑体" w:cs="黑体"/>
          <w:sz w:val="32"/>
          <w:szCs w:val="40"/>
          <w:lang w:val="en-US" w:eastAsia="zh-Hans"/>
        </w:rPr>
        <w:br w:type="page"/>
      </w:r>
    </w:p>
    <w:p w14:paraId="3CA42C97">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color w:val="auto"/>
          <w:sz w:val="32"/>
          <w:szCs w:val="40"/>
          <w:lang w:val="en-US" w:eastAsia="zh-Hans"/>
        </w:rPr>
      </w:pPr>
      <w:bookmarkStart w:id="91" w:name="_Toc1822556369"/>
      <w:r>
        <w:rPr>
          <w:rFonts w:hint="eastAsia" w:ascii="黑体" w:hAnsi="黑体" w:eastAsia="黑体" w:cs="黑体"/>
          <w:color w:val="auto"/>
          <w:sz w:val="32"/>
          <w:szCs w:val="40"/>
          <w:lang w:val="en-US" w:eastAsia="zh-Hans"/>
        </w:rPr>
        <w:t>加大力度保障和改善民生，扎实推进共同富裕</w:t>
      </w:r>
      <w:bookmarkEnd w:id="91"/>
    </w:p>
    <w:p w14:paraId="709864D2">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highlight w:val="none"/>
          <w:shd w:val="clear" w:color="auto" w:fill="FFFFFF"/>
          <w:lang w:val="en-US" w:eastAsia="zh-CN" w:bidi="ar-SA"/>
        </w:rPr>
      </w:pPr>
      <w:r>
        <w:rPr>
          <w:rFonts w:hint="eastAsia" w:ascii="仿宋_GB2312" w:hAnsi="仿宋_GB2312" w:eastAsia="仿宋_GB2312" w:cs="仿宋_GB2312"/>
          <w:b w:val="0"/>
          <w:bCs w:val="0"/>
          <w:color w:val="auto"/>
          <w:kern w:val="2"/>
          <w:sz w:val="32"/>
          <w:szCs w:val="32"/>
          <w:highlight w:val="none"/>
          <w:shd w:val="clear" w:color="auto" w:fill="FFFFFF"/>
          <w:lang w:val="en-US" w:eastAsia="zh-CN" w:bidi="ar-SA"/>
        </w:rPr>
        <w:t>以铸牢中华民族共同体意识为主线，紧贴民生推动高质量发展为根本，始终把人民放在心中最高位置，加大保障和</w:t>
      </w:r>
      <w:r>
        <w:rPr>
          <w:rFonts w:hint="eastAsia" w:ascii="仿宋_GB2312" w:hAnsi="仿宋_GB2312" w:eastAsia="仿宋_GB2312" w:cs="仿宋_GB2312"/>
          <w:b w:val="0"/>
          <w:bCs w:val="0"/>
          <w:color w:val="auto"/>
          <w:kern w:val="2"/>
          <w:sz w:val="32"/>
          <w:szCs w:val="32"/>
          <w:highlight w:val="none"/>
          <w:shd w:val="clear" w:color="auto" w:fill="FFFFFF"/>
          <w:lang w:val="en-US" w:eastAsia="zh-Hans" w:bidi="ar-SA"/>
        </w:rPr>
        <w:t>改</w:t>
      </w:r>
      <w:r>
        <w:rPr>
          <w:rFonts w:hint="eastAsia" w:ascii="仿宋_GB2312" w:hAnsi="仿宋_GB2312" w:eastAsia="仿宋_GB2312" w:cs="仿宋_GB2312"/>
          <w:b w:val="0"/>
          <w:bCs w:val="0"/>
          <w:color w:val="auto"/>
          <w:kern w:val="2"/>
          <w:sz w:val="32"/>
          <w:szCs w:val="32"/>
          <w:highlight w:val="none"/>
          <w:shd w:val="clear" w:color="auto" w:fill="FFFFFF"/>
          <w:lang w:val="en-US" w:eastAsia="zh-CN" w:bidi="ar-SA"/>
        </w:rPr>
        <w:t>善民生力度，持续推动基本公共服务普惠均等，着力打造智能水平更高、服务水平更优、人民体验更好的公共服务体系和民生保障体系，不断增进民生福祉，提高人民生活品质。</w:t>
      </w:r>
    </w:p>
    <w:p w14:paraId="384DEB79">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auto"/>
          <w:highlight w:val="none"/>
          <w:lang w:val="en-US" w:eastAsia="zh-CN"/>
        </w:rPr>
      </w:pPr>
      <w:bookmarkStart w:id="92" w:name="_Toc2145636622"/>
      <w:r>
        <w:rPr>
          <w:rFonts w:hint="eastAsia" w:ascii="楷体" w:hAnsi="楷体" w:eastAsia="楷体" w:cs="楷体"/>
          <w:color w:val="auto"/>
          <w:highlight w:val="none"/>
          <w:lang w:val="en-US" w:eastAsia="zh-CN"/>
        </w:rPr>
        <w:t xml:space="preserve">第一节 </w:t>
      </w:r>
      <w:r>
        <w:rPr>
          <w:rFonts w:hint="eastAsia" w:ascii="楷体" w:hAnsi="楷体" w:eastAsia="楷体" w:cs="楷体"/>
          <w:color w:val="auto"/>
          <w:highlight w:val="none"/>
          <w:lang w:val="en-US" w:eastAsia="zh-Hans"/>
        </w:rPr>
        <w:t>促进高质量充分就业</w:t>
      </w:r>
      <w:bookmarkEnd w:id="92"/>
    </w:p>
    <w:p w14:paraId="4A22D5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bookmarkStart w:id="93" w:name="_Toc60855014"/>
      <w:r>
        <w:rPr>
          <w:rFonts w:hint="eastAsia" w:ascii="仿宋_GB2312" w:hAnsi="仿宋_GB2312" w:eastAsia="仿宋_GB2312" w:cs="仿宋_GB2312"/>
          <w:b/>
          <w:bCs/>
          <w:color w:val="auto"/>
          <w:sz w:val="32"/>
          <w:szCs w:val="32"/>
          <w:highlight w:val="none"/>
        </w:rPr>
        <w:t>完善公共就业服务体系</w:t>
      </w:r>
      <w:bookmarkEnd w:id="93"/>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shd w:val="clear" w:color="auto" w:fill="FFFFFF"/>
        </w:rPr>
        <w:t>完善劳动标准体系和劳动关系协商协调机制，加强劳动者权益保障，营造公平有序就业环境。探索建立系统、实时、高效的失业动态监测体系，完善失业预警机制。加强就业服务信息化建设，为劳动者就业创业和跨地区享受政策提供便利。着力建设“多层次、多渠道、多场景”的职业介绍工作体系，提高人岗匹配度。发挥职业指导师的示范引领作用，推进</w:t>
      </w:r>
      <w:r>
        <w:rPr>
          <w:rFonts w:hint="eastAsia" w:ascii="仿宋_GB2312" w:hAnsi="仿宋_GB2312" w:eastAsia="仿宋_GB2312" w:cs="仿宋_GB2312"/>
          <w:b w:val="0"/>
          <w:bCs w:val="0"/>
          <w:color w:val="auto"/>
          <w:sz w:val="32"/>
          <w:szCs w:val="32"/>
          <w:highlight w:val="none"/>
          <w:shd w:val="clear" w:color="auto" w:fill="FFFFFF"/>
          <w:lang w:val="en-US" w:eastAsia="zh-CN"/>
        </w:rPr>
        <w:t>县乡</w:t>
      </w:r>
      <w:r>
        <w:rPr>
          <w:rFonts w:hint="eastAsia" w:ascii="仿宋_GB2312" w:hAnsi="仿宋_GB2312" w:eastAsia="仿宋_GB2312" w:cs="仿宋_GB2312"/>
          <w:b w:val="0"/>
          <w:bCs w:val="0"/>
          <w:color w:val="auto"/>
          <w:sz w:val="32"/>
          <w:szCs w:val="32"/>
          <w:highlight w:val="none"/>
          <w:shd w:val="clear" w:color="auto" w:fill="FFFFFF"/>
        </w:rPr>
        <w:t>村三级职业指导队伍建设，进一步优化</w:t>
      </w:r>
      <w:r>
        <w:rPr>
          <w:rFonts w:hint="eastAsia" w:ascii="仿宋_GB2312" w:hAnsi="仿宋_GB2312" w:eastAsia="仿宋_GB2312" w:cs="仿宋_GB2312"/>
          <w:b w:val="0"/>
          <w:bCs w:val="0"/>
          <w:color w:val="auto"/>
          <w:sz w:val="32"/>
          <w:szCs w:val="32"/>
          <w:highlight w:val="none"/>
          <w:shd w:val="clear" w:color="auto" w:fill="FFFFFF"/>
          <w:lang w:val="en-US" w:eastAsia="zh-CN"/>
        </w:rPr>
        <w:t>乡</w:t>
      </w:r>
      <w:r>
        <w:rPr>
          <w:rFonts w:hint="eastAsia" w:ascii="仿宋_GB2312" w:hAnsi="仿宋_GB2312" w:eastAsia="仿宋_GB2312" w:cs="仿宋_GB2312"/>
          <w:b w:val="0"/>
          <w:bCs w:val="0"/>
          <w:color w:val="auto"/>
          <w:sz w:val="32"/>
          <w:szCs w:val="32"/>
          <w:highlight w:val="none"/>
          <w:shd w:val="clear" w:color="auto" w:fill="FFFFFF"/>
        </w:rPr>
        <w:t>镇、村居等基层公共就业创业服务能力，打通公共服务“最后一公里”。完善促进各类就业困难人员市场化就业和托底帮扶的扶持政策和工作机制。精准对接残疾人</w:t>
      </w:r>
      <w:r>
        <w:rPr>
          <w:rFonts w:hint="eastAsia" w:ascii="仿宋_GB2312" w:hAnsi="仿宋_GB2312" w:eastAsia="仿宋_GB2312" w:cs="仿宋_GB2312"/>
          <w:b w:val="0"/>
          <w:bCs w:val="0"/>
          <w:color w:val="auto"/>
          <w:sz w:val="32"/>
          <w:szCs w:val="32"/>
          <w:highlight w:val="none"/>
          <w:shd w:val="clear" w:color="auto" w:fill="FFFFFF"/>
          <w:lang w:eastAsia="zh-CN"/>
        </w:rPr>
        <w:t>美好生活需要</w:t>
      </w:r>
      <w:r>
        <w:rPr>
          <w:rFonts w:hint="eastAsia" w:ascii="仿宋_GB2312" w:hAnsi="仿宋_GB2312" w:eastAsia="仿宋_GB2312" w:cs="仿宋_GB2312"/>
          <w:b w:val="0"/>
          <w:bCs w:val="0"/>
          <w:color w:val="auto"/>
          <w:sz w:val="32"/>
          <w:szCs w:val="32"/>
          <w:highlight w:val="none"/>
          <w:shd w:val="clear" w:color="auto" w:fill="FFFFFF"/>
        </w:rPr>
        <w:t>，做好残疾人就业保障</w:t>
      </w:r>
      <w:r>
        <w:rPr>
          <w:rFonts w:hint="eastAsia" w:ascii="仿宋_GB2312" w:hAnsi="仿宋_GB2312" w:eastAsia="仿宋_GB2312" w:cs="仿宋_GB2312"/>
          <w:b w:val="0"/>
          <w:bCs w:val="0"/>
          <w:color w:val="auto"/>
          <w:sz w:val="32"/>
          <w:szCs w:val="32"/>
          <w:highlight w:val="none"/>
          <w:shd w:val="clear" w:color="auto" w:fill="FFFFFF"/>
          <w:lang w:eastAsia="zh-CN"/>
        </w:rPr>
        <w:t>。</w:t>
      </w:r>
      <w:r>
        <w:rPr>
          <w:rFonts w:hint="eastAsia" w:ascii="仿宋_GB2312" w:hAnsi="仿宋_GB2312" w:eastAsia="仿宋_GB2312" w:cs="仿宋_GB2312"/>
          <w:b w:val="0"/>
          <w:bCs w:val="0"/>
          <w:color w:val="auto"/>
          <w:sz w:val="32"/>
          <w:szCs w:val="32"/>
          <w:highlight w:val="none"/>
          <w:shd w:val="clear" w:color="auto" w:fill="FFFFFF"/>
          <w:lang w:val="en-US" w:eastAsia="zh-CN"/>
        </w:rPr>
        <w:t>提升龙头、东泉零工市场硬件配套设施以及功能扩容。</w:t>
      </w:r>
      <w:bookmarkStart w:id="94" w:name="_Toc60855015"/>
      <w:r>
        <w:rPr>
          <w:rFonts w:hint="eastAsia" w:ascii="仿宋_GB2312" w:hAnsi="仿宋_GB2312" w:eastAsia="仿宋_GB2312" w:cs="仿宋_GB2312"/>
          <w:b w:val="0"/>
          <w:bCs w:val="0"/>
          <w:color w:val="auto"/>
          <w:sz w:val="32"/>
          <w:szCs w:val="32"/>
          <w:lang w:val="en-US" w:eastAsia="zh-CN"/>
        </w:rPr>
        <w:t>力争至2030年，实现新增城镇就业人数0.5万人以上，力争组织农村劳动力转移就业2.5万人次以上，帮助就业困难人员、失业人员实现再就业。</w:t>
      </w:r>
      <w:r>
        <w:rPr>
          <w:rFonts w:hint="eastAsia" w:ascii="仿宋_GB2312" w:hAnsi="仿宋_GB2312" w:eastAsia="仿宋_GB2312" w:cs="仿宋_GB2312"/>
          <w:b w:val="0"/>
          <w:bCs w:val="0"/>
          <w:color w:val="auto"/>
          <w:sz w:val="32"/>
          <w:szCs w:val="32"/>
          <w:lang w:eastAsia="zh-CN"/>
        </w:rPr>
        <w:t xml:space="preserve"> </w:t>
      </w:r>
    </w:p>
    <w:p w14:paraId="23607F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b/>
          <w:bCs/>
          <w:color w:val="auto"/>
          <w:sz w:val="32"/>
          <w:szCs w:val="32"/>
          <w:highlight w:val="none"/>
        </w:rPr>
        <w:t>支持鼓励创业带动就业</w:t>
      </w:r>
      <w:bookmarkEnd w:id="94"/>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shd w:val="clear" w:color="auto" w:fill="FFFFFF"/>
        </w:rPr>
        <w:t>加大创业政策扶持力度，促进高校毕业生等重点群体创业。推进创业教育培训品牌化升级，实施科创、文创、农创等重点领域创业带头人培养计划，开展更</w:t>
      </w:r>
      <w:r>
        <w:rPr>
          <w:rFonts w:hint="eastAsia" w:ascii="仿宋_GB2312" w:hAnsi="仿宋_GB2312" w:eastAsia="仿宋_GB2312" w:cs="仿宋_GB2312"/>
          <w:b w:val="0"/>
          <w:bCs w:val="0"/>
          <w:color w:val="000000" w:themeColor="text1"/>
          <w:sz w:val="32"/>
          <w:szCs w:val="32"/>
          <w:highlight w:val="none"/>
          <w:shd w:val="clear" w:color="auto" w:fill="FFFFFF"/>
          <w14:textFill>
            <w14:solidFill>
              <w14:schemeClr w14:val="tx1"/>
            </w14:solidFill>
          </w14:textFill>
        </w:rPr>
        <w:t>具针对性的创业教育培训。提升创业孵化基地能级，提供低成本场地支持和综合配套服务。创新创业服务模式，建立完善特色服务体系，打造“引领、精准、公益”的创业服务。进一步优化创新创业政策环境、整合资源、完善服务，建立政府激励创业、社会支持创业、劳动者勇于创业的新机制，帮助引领创业者成功。</w:t>
      </w:r>
      <w:bookmarkStart w:id="95" w:name="_Toc60855016"/>
    </w:p>
    <w:p w14:paraId="66389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000000" w:themeColor="text1"/>
          <w:sz w:val="16"/>
          <w:szCs w:val="16"/>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鼓励</w:t>
      </w:r>
      <w:bookmarkEnd w:id="95"/>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开展职业技能培训</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ascii="Times New Roman" w:hAnsi="Times New Roman" w:eastAsia="仿宋_GB2312"/>
          <w:b w:val="0"/>
          <w:bCs w:val="0"/>
          <w:color w:val="000000" w:themeColor="text1"/>
          <w:sz w:val="32"/>
          <w:szCs w:val="32"/>
          <w:highlight w:val="none"/>
          <w:shd w:val="clear" w:color="auto" w:fill="FFFFFF"/>
          <w14:textFill>
            <w14:solidFill>
              <w14:schemeClr w14:val="tx1"/>
            </w14:solidFill>
          </w14:textFill>
        </w:rPr>
        <w:t>利用柳州职业学校优势资源，大力推行终身职业技能培训制度，加大培训补贴资金投入，大规模开展职业技能培训，持续提升本</w:t>
      </w:r>
      <w:r>
        <w:rPr>
          <w:rFonts w:hint="eastAsia" w:ascii="Times New Roman" w:hAnsi="Times New Roman" w:eastAsia="仿宋_GB2312"/>
          <w:b w:val="0"/>
          <w:bCs w:val="0"/>
          <w:color w:val="000000" w:themeColor="text1"/>
          <w:sz w:val="32"/>
          <w:szCs w:val="32"/>
          <w:highlight w:val="none"/>
          <w:shd w:val="clear" w:color="auto" w:fill="FFFFFF"/>
          <w:lang w:val="en-US" w:eastAsia="zh-CN"/>
          <w14:textFill>
            <w14:solidFill>
              <w14:schemeClr w14:val="tx1"/>
            </w14:solidFill>
          </w14:textFill>
        </w:rPr>
        <w:t>县</w:t>
      </w:r>
      <w:r>
        <w:rPr>
          <w:rFonts w:ascii="Times New Roman" w:hAnsi="Times New Roman" w:eastAsia="仿宋_GB2312"/>
          <w:b w:val="0"/>
          <w:bCs w:val="0"/>
          <w:color w:val="000000" w:themeColor="text1"/>
          <w:sz w:val="32"/>
          <w:szCs w:val="32"/>
          <w:highlight w:val="none"/>
          <w:shd w:val="clear" w:color="auto" w:fill="FFFFFF"/>
          <w14:textFill>
            <w14:solidFill>
              <w14:schemeClr w14:val="tx1"/>
            </w14:solidFill>
          </w14:textFill>
        </w:rPr>
        <w:t>高技能人才比重。推行学历证书和职业资格证书并重的双证书制度，鼓励开展产教融合。加快推广“互联网+职业培训”新模式、企业新型学徒制、新技能培训和技能等级评价，积极推进高技能人才培养基地建设。进一步完善关于运用地方教育附加资金开展职工职业培训的政策，完善企业职工职业培训信息对接机制，引导职业培训更加适应产业升级和企业岗位需要。加强职业精神培养，大力弘扬劳模精神和工匠精神。围绕</w:t>
      </w:r>
      <w:r>
        <w:rPr>
          <w:rFonts w:hint="eastAsia" w:ascii="Times New Roman" w:hAnsi="Times New Roman" w:eastAsia="仿宋_GB2312"/>
          <w:b w:val="0"/>
          <w:bCs w:val="0"/>
          <w:color w:val="000000" w:themeColor="text1"/>
          <w:sz w:val="32"/>
          <w:szCs w:val="32"/>
          <w:highlight w:val="none"/>
          <w:shd w:val="clear" w:color="auto" w:fill="FFFFFF"/>
          <w:lang w:val="en-US" w:eastAsia="zh-CN"/>
          <w14:textFill>
            <w14:solidFill>
              <w14:schemeClr w14:val="tx1"/>
            </w14:solidFill>
          </w14:textFill>
        </w:rPr>
        <w:t>县</w:t>
      </w:r>
      <w:r>
        <w:rPr>
          <w:rFonts w:ascii="Times New Roman" w:hAnsi="Times New Roman" w:eastAsia="仿宋_GB2312"/>
          <w:b w:val="0"/>
          <w:bCs w:val="0"/>
          <w:color w:val="000000" w:themeColor="text1"/>
          <w:sz w:val="32"/>
          <w:szCs w:val="32"/>
          <w:highlight w:val="none"/>
          <w:shd w:val="clear" w:color="auto" w:fill="FFFFFF"/>
          <w14:textFill>
            <w14:solidFill>
              <w14:schemeClr w14:val="tx1"/>
            </w14:solidFill>
          </w14:textFill>
        </w:rPr>
        <w:t>域主导产业发展和中小企业科创活力建设，建设中小微企业技能培训平台，健全“产业、创业、就业”三业联动机制。</w:t>
      </w:r>
      <w:bookmarkStart w:id="96" w:name="_Toc60855017"/>
    </w:p>
    <w:p w14:paraId="26A09B3A">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CN"/>
          <w14:textFill>
            <w14:solidFill>
              <w14:schemeClr w14:val="tx1"/>
            </w14:solidFill>
          </w14:textFill>
        </w:rPr>
      </w:pPr>
      <w:bookmarkStart w:id="97" w:name="_Toc1169305530"/>
      <w:bookmarkStart w:id="98" w:name="_Toc231437065"/>
      <w:r>
        <w:rPr>
          <w:rFonts w:hint="eastAsia" w:ascii="楷体" w:hAnsi="楷体" w:eastAsia="楷体" w:cs="楷体"/>
          <w:color w:val="000000" w:themeColor="text1"/>
          <w:highlight w:val="none"/>
          <w:lang w:val="en-US" w:eastAsia="zh-CN"/>
          <w14:textFill>
            <w14:solidFill>
              <w14:schemeClr w14:val="tx1"/>
            </w14:solidFill>
          </w14:textFill>
        </w:rPr>
        <w:t>第二</w:t>
      </w:r>
      <w:r>
        <w:rPr>
          <w:rFonts w:hint="eastAsia" w:ascii="楷体" w:hAnsi="楷体" w:eastAsia="楷体" w:cs="楷体"/>
          <w:color w:val="000000" w:themeColor="text1"/>
          <w:highlight w:val="none"/>
          <w:lang w:val="en-US" w:eastAsia="zh-Hans"/>
          <w14:textFill>
            <w14:solidFill>
              <w14:schemeClr w14:val="tx1"/>
            </w14:solidFill>
          </w14:textFill>
        </w:rPr>
        <w:t>节</w:t>
      </w:r>
      <w:r>
        <w:rPr>
          <w:rFonts w:hint="default" w:ascii="楷体" w:hAnsi="楷体" w:eastAsia="楷体" w:cs="楷体"/>
          <w:color w:val="000000" w:themeColor="text1"/>
          <w:highlight w:val="none"/>
          <w:lang w:val="en-US" w:eastAsia="zh-Hans"/>
          <w14:textFill>
            <w14:solidFill>
              <w14:schemeClr w14:val="tx1"/>
            </w14:solidFill>
          </w14:textFill>
        </w:rPr>
        <w:t xml:space="preserve">  </w:t>
      </w:r>
      <w:r>
        <w:rPr>
          <w:rFonts w:hint="eastAsia" w:ascii="楷体" w:hAnsi="楷体" w:eastAsia="楷体" w:cs="楷体"/>
          <w:color w:val="000000" w:themeColor="text1"/>
          <w:highlight w:val="none"/>
          <w:lang w:val="en-US" w:eastAsia="zh-CN"/>
          <w14:textFill>
            <w14:solidFill>
              <w14:schemeClr w14:val="tx1"/>
            </w14:solidFill>
          </w14:textFill>
        </w:rPr>
        <w:t>多渠道促进居民增收</w:t>
      </w:r>
      <w:bookmarkEnd w:id="97"/>
      <w:bookmarkEnd w:id="98"/>
    </w:p>
    <w:p w14:paraId="045616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bCs/>
          <w:color w:val="000000" w:themeColor="text1"/>
          <w:sz w:val="16"/>
          <w:szCs w:val="16"/>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FFFFFF"/>
          <w:lang w:val="en-US" w:eastAsia="zh-CN" w:bidi="ar-SA"/>
          <w14:textFill>
            <w14:solidFill>
              <w14:schemeClr w14:val="tx1"/>
            </w14:solidFill>
          </w14:textFill>
        </w:rPr>
        <w:t>坚持按劳分配为主体、多种分配方式并存，提高居民收入在国民收入分配中的比重，提高劳动报酬在初次分配中的比重。健全各类要素由市场评价贡献、按贡献决定报酬的初次分配机制，促进多劳者多得、技高者多得、创新者多得。落实劳动者工资决定、合理增长、支付保障机制，推行工资集体协商制度，落实最低工资标准调整机制，加强企业工资分配宏观指导。多渠道增加城乡居民财产性收入。落实国家税收、社会保障、转移支付等再分配调节制度政策。促进和规范公益慈善事业发展。规范收入分配秩序和财富积累机制，支持勤劳创新合法致富，鼓励先富带后富促共富。实施城乡居民增收计划，加快发展特色优势产业，创造更多高质量就业机会，有效增加低收入群体收入，稳步扩大中等收入群体规模，合理调节过高收入，取缔非法收入，推动形成橄榄型分配格局。</w:t>
      </w:r>
    </w:p>
    <w:p w14:paraId="75BE2072">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CN"/>
          <w14:textFill>
            <w14:solidFill>
              <w14:schemeClr w14:val="tx1"/>
            </w14:solidFill>
          </w14:textFill>
        </w:rPr>
      </w:pPr>
      <w:bookmarkStart w:id="99" w:name="_Toc669866738"/>
      <w:bookmarkStart w:id="100" w:name="_Toc895189013"/>
      <w:r>
        <w:rPr>
          <w:rFonts w:hint="eastAsia" w:ascii="楷体" w:hAnsi="楷体" w:eastAsia="楷体" w:cs="楷体"/>
          <w:color w:val="000000" w:themeColor="text1"/>
          <w:highlight w:val="none"/>
          <w:lang w:val="en-US" w:eastAsia="zh-Hans"/>
          <w14:textFill>
            <w14:solidFill>
              <w14:schemeClr w14:val="tx1"/>
            </w14:solidFill>
          </w14:textFill>
        </w:rPr>
        <w:t>第三节</w:t>
      </w:r>
      <w:r>
        <w:rPr>
          <w:rFonts w:hint="default" w:ascii="楷体" w:hAnsi="楷体" w:eastAsia="楷体" w:cs="楷体"/>
          <w:color w:val="000000" w:themeColor="text1"/>
          <w:highlight w:val="none"/>
          <w:lang w:val="en-US" w:eastAsia="zh-Hans"/>
          <w14:textFill>
            <w14:solidFill>
              <w14:schemeClr w14:val="tx1"/>
            </w14:solidFill>
          </w14:textFill>
        </w:rPr>
        <w:t xml:space="preserve">  </w:t>
      </w:r>
      <w:r>
        <w:rPr>
          <w:rFonts w:hint="eastAsia" w:ascii="楷体" w:hAnsi="楷体" w:eastAsia="楷体" w:cs="楷体"/>
          <w:color w:val="000000" w:themeColor="text1"/>
          <w:highlight w:val="none"/>
          <w:lang w:val="en-US" w:eastAsia="zh-CN"/>
          <w14:textFill>
            <w14:solidFill>
              <w14:schemeClr w14:val="tx1"/>
            </w14:solidFill>
          </w14:textFill>
        </w:rPr>
        <w:t>办好人民满意的教育</w:t>
      </w:r>
      <w:bookmarkEnd w:id="96"/>
      <w:bookmarkEnd w:id="99"/>
      <w:bookmarkEnd w:id="100"/>
      <w:bookmarkStart w:id="101" w:name="_Toc60855018"/>
    </w:p>
    <w:p w14:paraId="47471F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合理配置教育资源</w:t>
      </w:r>
      <w:bookmarkEnd w:id="101"/>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努力办好每一所学校。</w:t>
      </w:r>
      <w:r>
        <w:rPr>
          <w:rFonts w:hint="eastAsia" w:ascii="仿宋_GB2312" w:hAnsi="仿宋_GB2312" w:eastAsia="仿宋_GB2312" w:cs="仿宋_GB2312"/>
          <w:color w:val="000000" w:themeColor="text1"/>
          <w:sz w:val="32"/>
          <w:szCs w:val="32"/>
          <w:highlight w:val="none"/>
          <w14:textFill>
            <w14:solidFill>
              <w14:schemeClr w14:val="tx1"/>
            </w14:solidFill>
          </w14:textFill>
        </w:rPr>
        <w:t>调整学校布局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将全县学校优化为小学18所、初中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所、高中2所、特教学校1所、幼儿园1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所，持续增加学位供给。</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改建、扩建县域两所高中，补齐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教室、实验室、图书馆、学生宿舍等基础设施短板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升级教学仪器设备教学条件配备。</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推进高中教育“双核”驱动发展模式，</w:t>
      </w:r>
      <w:r>
        <w:rPr>
          <w:rFonts w:hint="eastAsia" w:ascii="仿宋_GB2312" w:hAnsi="仿宋_GB2312" w:eastAsia="仿宋_GB2312" w:cs="仿宋_GB2312"/>
          <w:color w:val="000000" w:themeColor="text1"/>
          <w:spacing w:val="0"/>
          <w:w w:val="100"/>
          <w:position w:val="0"/>
          <w:sz w:val="32"/>
          <w:szCs w:val="32"/>
          <w:highlight w:val="none"/>
          <w:lang w:val="en-US" w:eastAsia="zh-CN"/>
          <w14:textFill>
            <w14:solidFill>
              <w14:schemeClr w14:val="tx1"/>
            </w14:solidFill>
          </w14:textFill>
        </w:rPr>
        <w:t>加快柳城中学品牌化发展和实验高级中学特色化发展。</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通过集团化和一体化办学，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探索建立新形势下初小、初高衔接的有效模式</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探索“联合学校”办学新机制，缩小校际、城乡差距，满足人民群众对优质教育的需求。扩大3岁以下婴幼儿普惠性托育服务资源有效供给，鼓励和支持幼儿园开设托班，鼓励民资民企、街道集体等开办普惠性托育机构。丰富特殊教育内涵，让每个特殊学生得到更适合的发展</w:t>
      </w:r>
      <w:r>
        <w:rPr>
          <w:rFonts w:hint="eastAsia" w:ascii="仿宋_GB2312" w:hAnsi="仿宋_GB2312" w:eastAsia="仿宋_GB2312" w:cs="仿宋_GB2312"/>
          <w:color w:val="000000" w:themeColor="text1"/>
          <w:sz w:val="32"/>
          <w:szCs w:val="32"/>
          <w:highlight w:val="none"/>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FFFFFF" w:fill="auto"/>
          <w14:textFill>
            <w14:solidFill>
              <w14:schemeClr w14:val="tx1"/>
            </w14:solidFill>
          </w14:textFill>
        </w:rPr>
        <w:t>至20</w:t>
      </w:r>
      <w:r>
        <w:rPr>
          <w:rFonts w:hint="eastAsia" w:ascii="仿宋_GB2312" w:hAnsi="仿宋_GB2312" w:eastAsia="仿宋_GB2312" w:cs="仿宋_GB2312"/>
          <w:color w:val="000000" w:themeColor="text1"/>
          <w:sz w:val="32"/>
          <w:szCs w:val="32"/>
          <w:highlight w:val="none"/>
          <w:shd w:val="clear" w:color="FFFFFF" w:fill="auto"/>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shd w:val="clear" w:color="FFFFFF" w:fill="auto"/>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shd w:val="clear" w:color="FFFFFF"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FFFFFF" w:fill="auto"/>
          <w14:textFill>
            <w14:solidFill>
              <w14:schemeClr w14:val="tx1"/>
            </w14:solidFill>
          </w14:textFill>
        </w:rPr>
        <w:t>学前</w:t>
      </w:r>
      <w:r>
        <w:rPr>
          <w:rFonts w:hint="eastAsia" w:ascii="仿宋_GB2312" w:hAnsi="仿宋_GB2312" w:eastAsia="仿宋_GB2312" w:cs="仿宋_GB2312"/>
          <w:color w:val="000000" w:themeColor="text1"/>
          <w:sz w:val="32"/>
          <w:szCs w:val="32"/>
          <w:highlight w:val="none"/>
          <w:shd w:val="clear" w:color="FFFFFF" w:fill="auto"/>
          <w:lang w:val="en-US" w:eastAsia="zh-CN"/>
          <w14:textFill>
            <w14:solidFill>
              <w14:schemeClr w14:val="tx1"/>
            </w14:solidFill>
          </w14:textFill>
        </w:rPr>
        <w:t>教育</w:t>
      </w:r>
      <w:r>
        <w:rPr>
          <w:rFonts w:hint="eastAsia" w:ascii="仿宋_GB2312" w:hAnsi="仿宋_GB2312" w:eastAsia="仿宋_GB2312" w:cs="仿宋_GB2312"/>
          <w:color w:val="000000" w:themeColor="text1"/>
          <w:sz w:val="32"/>
          <w:szCs w:val="32"/>
          <w:highlight w:val="none"/>
          <w:shd w:val="clear" w:color="FFFFFF" w:fill="auto"/>
          <w14:textFill>
            <w14:solidFill>
              <w14:schemeClr w14:val="tx1"/>
            </w14:solidFill>
          </w14:textFill>
        </w:rPr>
        <w:t>毛入园率保持在100%以上</w:t>
      </w:r>
      <w:r>
        <w:rPr>
          <w:rFonts w:hint="eastAsia" w:ascii="仿宋_GB2312" w:hAnsi="仿宋_GB2312" w:eastAsia="仿宋_GB2312" w:cs="仿宋_GB2312"/>
          <w:color w:val="000000" w:themeColor="text1"/>
          <w:sz w:val="32"/>
          <w:szCs w:val="32"/>
          <w:highlight w:val="none"/>
          <w:shd w:val="clear" w:color="FFFFFF"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FFFFFF" w:fill="auto"/>
          <w14:textFill>
            <w14:solidFill>
              <w14:schemeClr w14:val="tx1"/>
            </w14:solidFill>
          </w14:textFill>
        </w:rPr>
        <w:t>义务教育巩固率保持在100%以上。公办园在园幼儿人数占比达50%以上，普惠性幼儿园覆盖率达到90%以上。</w:t>
      </w:r>
      <w:bookmarkStart w:id="102" w:name="_Toc60855019"/>
    </w:p>
    <w:p w14:paraId="060897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推动基础教育扩优提质。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持立德树人根本任务，深化教育改革，加强和改进学校思想政治教育，着力构建德智体美劳全面发展的育人体系，推动各学段教育内涵化、特色化发展。持续推进义务教育优质均衡发展，重点实施“县中振兴”计划，强化课程领导力建设，全面提升中小学教育教学质量。发挥示范学校引领辐射作用，打造品牌教育项目。深化“教共体”建设，通过加强与优质学校合作、引进优质教育资源，促进学校优势互补，推进柳城教育优质均衡发展。</w:t>
      </w:r>
      <w:r>
        <w:rPr>
          <w:rFonts w:hint="eastAsia" w:eastAsia="仿宋_GB2312"/>
          <w:color w:val="000000" w:themeColor="text1"/>
          <w:sz w:val="32"/>
          <w:szCs w:val="32"/>
          <w:highlight w:val="none"/>
          <w:lang w:val="en-US" w:eastAsia="zh-CN"/>
          <w14:textFill>
            <w14:solidFill>
              <w14:schemeClr w14:val="tx1"/>
            </w14:solidFill>
          </w14:textFill>
        </w:rPr>
        <w:t>推进家庭、家教、家风三位一体教育体系形成，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健全学校、家庭、社会协同育人机制，推进青少年理想信念教育齐抓共管，切实增强学生文明素养、社会责任感和实践本领，促进青少年身心健康、全面发展。</w:t>
      </w:r>
      <w:bookmarkEnd w:id="102"/>
      <w:bookmarkStart w:id="103" w:name="_Toc60855020"/>
    </w:p>
    <w:p w14:paraId="771326A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eastAsia" w:ascii="楷体_GB2312" w:hAnsi="楷体_GB2312" w:eastAsia="楷体_GB2312" w:cs="楷体_GB2312"/>
          <w:b/>
          <w:bCs/>
          <w:color w:val="000000" w:themeColor="text1"/>
          <w:sz w:val="16"/>
          <w:szCs w:val="16"/>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构建高水平现代教育体系。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升师德与数字素养，‌强化师德师风第一标准，将教育家精神融入培养全过程，推动AI技术赋能教学，实现人机协同教学新常态。‌优化教师资源配置，通过核定公办幼儿园教职工编制、政府购买服务等方式，按“两教一保”等标准补足配齐教职工，保障学前教育质量。加大中小学及特殊教育教师公开招聘力度，优化师资结构，满足教育教学需求。加强培训培养，构建教师分层分类培养长效机制，实施新任教师、骨干教师、名师名校长名班主任专项培养计划，全面提升教师队伍素质。深化体制机制改革，深入推进教师“县管校聘”管理改革，加大教师、校长交流轮岗力度，进一步促进教师资源均衡配置。完善职称评聘管理，逐步建立“职务能上能下，待遇能升能降”的教师聘用机制，激发教师队伍活力。</w:t>
      </w:r>
      <w:bookmarkEnd w:id="103"/>
      <w:bookmarkStart w:id="104" w:name="_Toc60855021"/>
    </w:p>
    <w:p w14:paraId="63A6EBBD">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CN"/>
          <w14:textFill>
            <w14:solidFill>
              <w14:schemeClr w14:val="tx1"/>
            </w14:solidFill>
          </w14:textFill>
        </w:rPr>
      </w:pPr>
      <w:bookmarkStart w:id="105" w:name="_Toc171310609"/>
      <w:bookmarkStart w:id="106" w:name="_Toc1340987992"/>
      <w:r>
        <w:rPr>
          <w:rFonts w:hint="eastAsia" w:ascii="楷体" w:hAnsi="楷体" w:eastAsia="楷体" w:cs="楷体"/>
          <w:color w:val="000000" w:themeColor="text1"/>
          <w:highlight w:val="none"/>
          <w:lang w:val="en-US" w:eastAsia="zh-Hans"/>
          <w14:textFill>
            <w14:solidFill>
              <w14:schemeClr w14:val="tx1"/>
            </w14:solidFill>
          </w14:textFill>
        </w:rPr>
        <w:t>第四节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bookmarkEnd w:id="104"/>
      <w:bookmarkStart w:id="107" w:name="_Toc60855022"/>
      <w:r>
        <w:rPr>
          <w:rFonts w:hint="eastAsia" w:ascii="楷体" w:hAnsi="楷体" w:eastAsia="楷体" w:cs="楷体"/>
          <w:color w:val="000000" w:themeColor="text1"/>
          <w:highlight w:val="none"/>
          <w:lang w:val="en-US" w:eastAsia="zh-Hans"/>
          <w14:textFill>
            <w14:solidFill>
              <w14:schemeClr w14:val="tx1"/>
            </w14:solidFill>
          </w14:textFill>
        </w:rPr>
        <w:t>构建优质高效的健康保障体系</w:t>
      </w:r>
      <w:bookmarkEnd w:id="105"/>
      <w:bookmarkEnd w:id="106"/>
    </w:p>
    <w:bookmarkEnd w:id="107"/>
    <w:p w14:paraId="1A3080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深化医疗卫生体制改革</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把保障人民健康放在优先发展的战略位置，坚持预防为主的方针，深入实施健康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行动。深化医疗卫生体制改革，着力推进县域紧密型医疗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共同</w:t>
      </w:r>
      <w:r>
        <w:rPr>
          <w:rFonts w:hint="eastAsia" w:ascii="仿宋_GB2312" w:hAnsi="仿宋_GB2312" w:eastAsia="仿宋_GB2312" w:cs="仿宋_GB2312"/>
          <w:color w:val="000000" w:themeColor="text1"/>
          <w:sz w:val="32"/>
          <w:szCs w:val="32"/>
          <w:highlight w:val="none"/>
          <w14:textFill>
            <w14:solidFill>
              <w14:schemeClr w14:val="tx1"/>
            </w14:solidFill>
          </w14:textFill>
        </w:rPr>
        <w:t>体建设。推进公立医院和疾病预防控制机构卫生应急规范化建设，完善防控救治体制机制，提高应对突发公共卫生事件能力。大力发展中医药壮瑶医药事业，加强中医壮瑶医人才队伍建设，推进中医药壮瑶医药传承创新发展。</w:t>
      </w:r>
    </w:p>
    <w:p w14:paraId="3F9CAC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优化完善高层次卫生人才引进管理办法，建立高层次人才引进与培养专项资金，加大科研配套保障投入力度，充分发挥各类领军人才的示范引领作用。实行“县聘乡用、乡聘村用”的人才聘用模式，落实待遇优惠政策，促进优质医疗人才下沉基层，解决人才外流及人才难引进的难题。加强全科、公卫、儿科、康复、心理、呼吸与急危重症、感染、急救等急需紧缺人才储备和培养。遴选、申报和建设一批市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级重点学科和特色专科。提升每千常住人口执业（助理）医师人数。依托助理全科医师培训基地，通过县级临床医学带教，提高基层医师技术水平。</w:t>
      </w:r>
    </w:p>
    <w:p w14:paraId="72F5F0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color w:val="auto"/>
          <w:sz w:val="32"/>
          <w:szCs w:val="32"/>
          <w:highlight w:val="none"/>
          <w:lang w:eastAsia="zh-CN"/>
        </w:rPr>
      </w:pPr>
      <w:bookmarkStart w:id="108" w:name="_Toc60855023"/>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全面提升医疗卫生服务水平。</w:t>
      </w:r>
      <w:bookmarkEnd w:id="108"/>
      <w:r>
        <w:rPr>
          <w:rFonts w:hint="eastAsia" w:ascii="仿宋_GB2312" w:hAnsi="仿宋_GB2312" w:eastAsia="仿宋_GB2312" w:cs="仿宋_GB2312"/>
          <w:color w:val="000000" w:themeColor="text1"/>
          <w:sz w:val="32"/>
          <w:szCs w:val="32"/>
          <w:highlight w:val="none"/>
          <w14:textFill>
            <w14:solidFill>
              <w14:schemeClr w14:val="tx1"/>
            </w14:solidFill>
          </w14:textFill>
        </w:rPr>
        <w:t>以“建高地、强基层、促均衡”为原则，为人民提供公平、优质、便捷的医疗卫生服务。引进优质资源，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筹备</w:t>
      </w:r>
      <w:r>
        <w:rPr>
          <w:rFonts w:hint="eastAsia" w:ascii="仿宋_GB2312" w:hAnsi="仿宋_GB2312" w:eastAsia="仿宋_GB2312" w:cs="仿宋_GB2312"/>
          <w:color w:val="000000" w:themeColor="text1"/>
          <w:sz w:val="32"/>
          <w:szCs w:val="32"/>
          <w:highlight w:val="none"/>
          <w14:textFill>
            <w14:solidFill>
              <w14:schemeClr w14:val="tx1"/>
            </w14:solidFill>
          </w14:textFill>
        </w:rPr>
        <w:t>新建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疾病预防控制中心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整体搬迁项目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巩固县人民医院、县中医医院二级医院医疗水平，推动县人民医院服务能力达到三级综合医院水平，推动县中医院服务能力达到三级中医医院水平，不断提升县域医疗卫生服务水平。</w:t>
      </w:r>
      <w:r>
        <w:rPr>
          <w:rFonts w:hint="eastAsia" w:ascii="仿宋_GB2312" w:hAnsi="仿宋_GB2312" w:eastAsia="仿宋_GB2312" w:cs="仿宋_GB2312"/>
          <w:color w:val="000000" w:themeColor="text1"/>
          <w:sz w:val="32"/>
          <w:szCs w:val="32"/>
          <w:highlight w:val="none"/>
          <w14:textFill>
            <w14:solidFill>
              <w14:schemeClr w14:val="tx1"/>
            </w14:solidFill>
          </w14:textFill>
        </w:rPr>
        <w:t>加</w:t>
      </w:r>
      <w:r>
        <w:rPr>
          <w:rFonts w:hint="eastAsia" w:ascii="仿宋_GB2312" w:hAnsi="仿宋_GB2312" w:eastAsia="仿宋_GB2312" w:cs="仿宋_GB2312"/>
          <w:color w:val="auto"/>
          <w:sz w:val="32"/>
          <w:szCs w:val="32"/>
          <w:highlight w:val="none"/>
        </w:rPr>
        <w:t>强短缺医疗资源配置，加快康复体系建设。积极</w:t>
      </w:r>
      <w:r>
        <w:rPr>
          <w:rFonts w:hint="eastAsia" w:ascii="仿宋_GB2312" w:hAnsi="仿宋_GB2312" w:eastAsia="仿宋_GB2312" w:cs="仿宋_GB2312"/>
          <w:color w:val="auto"/>
          <w:sz w:val="32"/>
          <w:szCs w:val="32"/>
          <w:highlight w:val="none"/>
          <w:lang w:val="en-US" w:eastAsia="zh-CN"/>
        </w:rPr>
        <w:t>开通</w:t>
      </w:r>
      <w:r>
        <w:rPr>
          <w:rFonts w:hint="eastAsia" w:ascii="仿宋_GB2312" w:hAnsi="仿宋_GB2312" w:eastAsia="仿宋_GB2312" w:cs="仿宋_GB2312"/>
          <w:color w:val="auto"/>
          <w:sz w:val="32"/>
          <w:szCs w:val="32"/>
          <w:highlight w:val="none"/>
        </w:rPr>
        <w:t>互联网医院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推进具有柳</w:t>
      </w:r>
      <w:r>
        <w:rPr>
          <w:rFonts w:hint="eastAsia" w:ascii="仿宋_GB2312" w:hAnsi="仿宋_GB2312" w:eastAsia="仿宋_GB2312" w:cs="仿宋_GB2312"/>
          <w:color w:val="auto"/>
          <w:sz w:val="32"/>
          <w:szCs w:val="32"/>
          <w:highlight w:val="none"/>
          <w:lang w:val="en-US" w:eastAsia="zh-CN"/>
        </w:rPr>
        <w:t>城县</w:t>
      </w:r>
      <w:r>
        <w:rPr>
          <w:rFonts w:hint="eastAsia" w:ascii="仿宋_GB2312" w:hAnsi="仿宋_GB2312" w:eastAsia="仿宋_GB2312" w:cs="仿宋_GB2312"/>
          <w:color w:val="auto"/>
          <w:sz w:val="32"/>
          <w:szCs w:val="32"/>
          <w:highlight w:val="none"/>
        </w:rPr>
        <w:t>特色的</w:t>
      </w:r>
      <w:r>
        <w:rPr>
          <w:rFonts w:hint="eastAsia" w:ascii="仿宋_GB2312" w:hAnsi="仿宋_GB2312" w:eastAsia="仿宋_GB2312" w:cs="仿宋_GB2312"/>
          <w:color w:val="auto"/>
          <w:sz w:val="32"/>
          <w:szCs w:val="32"/>
          <w:highlight w:val="none"/>
          <w:lang w:val="en-US" w:eastAsia="zh-CN"/>
        </w:rPr>
        <w:t>医共体</w:t>
      </w:r>
      <w:r>
        <w:rPr>
          <w:rFonts w:hint="eastAsia" w:ascii="仿宋_GB2312" w:hAnsi="仿宋_GB2312" w:eastAsia="仿宋_GB2312" w:cs="仿宋_GB2312"/>
          <w:color w:val="auto"/>
          <w:sz w:val="32"/>
          <w:szCs w:val="32"/>
          <w:highlight w:val="none"/>
        </w:rPr>
        <w:t>建设，搭建完善卫生大数据平台，推进区域一体化“互联网+医疗健康”服务平台建设。</w:t>
      </w:r>
      <w:r>
        <w:rPr>
          <w:rFonts w:hint="default" w:ascii="Times New Roman" w:hAnsi="Times New Roman" w:eastAsia="仿宋_GB2312" w:cs="Times New Roman"/>
          <w:b w:val="0"/>
          <w:color w:val="auto"/>
          <w:sz w:val="32"/>
          <w:szCs w:val="32"/>
          <w:highlight w:val="none"/>
          <w:lang w:eastAsia="zh-CN"/>
        </w:rPr>
        <w:t>巩固县中医医院全国基层名老中医药专家传承工作室和治未病科（中心）、老年医学科成效，提升“两专科一中心”服务水平，推进中医药技术进镇村、家庭活动。</w:t>
      </w:r>
      <w:bookmarkStart w:id="109" w:name="_Toc60855024"/>
    </w:p>
    <w:p w14:paraId="05C77B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16"/>
          <w:szCs w:val="16"/>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升级全</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民</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健康服务</w:t>
      </w:r>
      <w:bookmarkEnd w:id="109"/>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保障体系</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区域性突发性公共卫生事件等卫生应急处置能力，强化医疗急救、突发急性传染病防控和重大活动卫生安全保障体系建设；优化妇女儿童保健服务管理，提高家庭发展能力，加强妇幼卫生保健及生育优质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优化生育支持政策和激励政策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i w:val="0"/>
          <w:caps w:val="0"/>
          <w:color w:val="000000" w:themeColor="text1"/>
          <w:spacing w:val="7"/>
          <w:sz w:val="32"/>
          <w:szCs w:val="32"/>
          <w:highlight w:val="none"/>
          <w:shd w:val="clear" w:color="auto" w:fill="auto"/>
          <w14:textFill>
            <w14:solidFill>
              <w14:schemeClr w14:val="tx1"/>
            </w14:solidFill>
          </w14:textFill>
        </w:rPr>
        <w:t>深入开展托育服务补助示范试点，</w:t>
      </w:r>
      <w:r>
        <w:rPr>
          <w:rFonts w:hint="eastAsia" w:ascii="Times New Roman" w:hAnsi="Times New Roman" w:eastAsia="仿宋_GB2312" w:cs="Times New Roman"/>
          <w:b w:val="0"/>
          <w:i w:val="0"/>
          <w:caps w:val="0"/>
          <w:color w:val="000000" w:themeColor="text1"/>
          <w:spacing w:val="7"/>
          <w:sz w:val="32"/>
          <w:szCs w:val="32"/>
          <w:highlight w:val="none"/>
          <w:shd w:val="clear" w:color="auto" w:fill="auto"/>
          <w:lang w:eastAsia="zh-Hans"/>
          <w14:textFill>
            <w14:solidFill>
              <w14:schemeClr w14:val="tx1"/>
            </w14:solidFill>
          </w14:textFill>
        </w:rPr>
        <w:t>加快</w:t>
      </w:r>
      <w:r>
        <w:rPr>
          <w:rFonts w:hint="default" w:ascii="Times New Roman" w:hAnsi="Times New Roman" w:eastAsia="仿宋_GB2312" w:cs="Times New Roman"/>
          <w:b w:val="0"/>
          <w:color w:val="000000" w:themeColor="text1"/>
          <w:sz w:val="32"/>
          <w:szCs w:val="32"/>
          <w:highlight w:val="none"/>
          <w:lang w:eastAsia="zh-CN"/>
          <w14:textFill>
            <w14:solidFill>
              <w14:schemeClr w14:val="tx1"/>
            </w14:solidFill>
          </w14:textFill>
        </w:rPr>
        <w:t>县公办托育机构建成并</w:t>
      </w:r>
      <w:r>
        <w:rPr>
          <w:rFonts w:hint="default" w:ascii="Times New Roman" w:hAnsi="Times New Roman" w:eastAsia="仿宋_GB2312" w:cs="Times New Roman"/>
          <w:b w:val="0"/>
          <w:color w:val="000000" w:themeColor="text1"/>
          <w:sz w:val="32"/>
          <w:szCs w:val="32"/>
          <w:highlight w:val="none"/>
          <w:lang w:val="en-US" w:eastAsia="zh-CN"/>
          <w14:textFill>
            <w14:solidFill>
              <w14:schemeClr w14:val="tx1"/>
            </w14:solidFill>
          </w14:textFill>
        </w:rPr>
        <w:t>投入</w:t>
      </w:r>
      <w:r>
        <w:rPr>
          <w:rFonts w:hint="default" w:ascii="Times New Roman" w:hAnsi="Times New Roman" w:eastAsia="仿宋_GB2312" w:cs="Times New Roman"/>
          <w:b w:val="0"/>
          <w:color w:val="000000" w:themeColor="text1"/>
          <w:sz w:val="32"/>
          <w:szCs w:val="32"/>
          <w:highlight w:val="none"/>
          <w:lang w:eastAsia="zh-CN"/>
          <w14:textFill>
            <w14:solidFill>
              <w14:schemeClr w14:val="tx1"/>
            </w14:solidFill>
          </w14:textFill>
        </w:rPr>
        <w:t>运营</w:t>
      </w:r>
      <w:r>
        <w:rPr>
          <w:rFonts w:hint="eastAsia" w:ascii="Times New Roman" w:hAnsi="Times New Roman" w:eastAsia="仿宋_GB2312" w:cs="Times New Roman"/>
          <w:b w:val="0"/>
          <w:i w:val="0"/>
          <w:caps w:val="0"/>
          <w:color w:val="000000" w:themeColor="text1"/>
          <w:spacing w:val="7"/>
          <w:sz w:val="32"/>
          <w:szCs w:val="32"/>
          <w:highlight w:val="none"/>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加强艾滋病、结核病、重性精神病等重大疾病防控和基本公共卫生服务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大力实施爱国卫生城乡清洁行动，全面开展城乡环境卫生综合整治，积极推进健康村镇建设，广泛开展健康社区、健康家庭和健康单位建设；推动公共卫生服务与医疗服务高效协同、无缝衔接，健全防治结合、联防联控、群防群治工作机制；完善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14:textFill>
            <w14:solidFill>
              <w14:schemeClr w14:val="tx1"/>
            </w14:solidFill>
          </w14:textFill>
        </w:rPr>
        <w:t>“120”网络布点；深入开展重点行业领域职业病危害专项治理，规范职业病监测和管理。</w:t>
      </w:r>
      <w:bookmarkStart w:id="110" w:name="_Toc60855026"/>
    </w:p>
    <w:p w14:paraId="6430081D">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11" w:name="_Toc1589318483"/>
      <w:bookmarkStart w:id="112" w:name="_Toc144306279"/>
      <w:r>
        <w:rPr>
          <w:rFonts w:hint="eastAsia" w:ascii="楷体" w:hAnsi="楷体" w:eastAsia="楷体" w:cs="楷体"/>
          <w:color w:val="000000" w:themeColor="text1"/>
          <w:highlight w:val="none"/>
          <w:lang w:val="en-US" w:eastAsia="zh-Hans"/>
          <w14:textFill>
            <w14:solidFill>
              <w14:schemeClr w14:val="tx1"/>
            </w14:solidFill>
          </w14:textFill>
        </w:rPr>
        <w:t>第五节 健全温馨体贴的养老服务</w:t>
      </w:r>
      <w:bookmarkEnd w:id="110"/>
      <w:r>
        <w:rPr>
          <w:rFonts w:hint="eastAsia" w:ascii="楷体" w:hAnsi="楷体" w:eastAsia="楷体" w:cs="楷体"/>
          <w:color w:val="000000" w:themeColor="text1"/>
          <w:highlight w:val="none"/>
          <w:lang w:val="en-US" w:eastAsia="zh-Hans"/>
          <w14:textFill>
            <w14:solidFill>
              <w14:schemeClr w14:val="tx1"/>
            </w14:solidFill>
          </w14:textFill>
        </w:rPr>
        <w:t>体系</w:t>
      </w:r>
      <w:bookmarkEnd w:id="111"/>
      <w:bookmarkEnd w:id="112"/>
    </w:p>
    <w:p w14:paraId="0462F07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pPr>
      <w:bookmarkStart w:id="113" w:name="_Toc60855027"/>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依托</w:t>
      </w:r>
      <w:r>
        <w:rPr>
          <w:rFonts w:hint="eastAsia" w:ascii="仿宋_GB2312" w:hAnsi="仿宋" w:eastAsia="仿宋_GB2312" w:cs="仿宋_GB2312"/>
          <w:color w:val="000000" w:themeColor="text1"/>
          <w:spacing w:val="-6"/>
          <w:kern w:val="2"/>
          <w:sz w:val="32"/>
          <w:szCs w:val="32"/>
          <w:highlight w:val="none"/>
          <w:lang w:val="en-US" w:eastAsia="zh-Hans" w:bidi="ar-SA"/>
          <w14:textFill>
            <w14:solidFill>
              <w14:schemeClr w14:val="tx1"/>
            </w14:solidFill>
          </w14:textFill>
        </w:rPr>
        <w:t>柳城</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县生态宜居优势，建设一批高品质的养老机构、康养中心、日间照料中心等养老服务设施，完善养老服务体系。发展居家养老、社区养老、机构养老等多元化养老服务模式，满足不同老年人群体的养老需求。推动健康养老与医疗、文旅、体育等产业融合发展，开展健康体检、康复护理、养生保健、休闲娱乐等服务，打造集养老、养生、医疗、旅游于一体的健康养老产业集群。</w:t>
      </w:r>
    </w:p>
    <w:p w14:paraId="7D958E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稳步推进养老服务增量</w:t>
      </w:r>
      <w:bookmarkEnd w:id="113"/>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推进护理型养老床位、养老服务机构老年认知障碍照护专区建设。加快完成社区嵌入式养老服务设施布点，</w:t>
      </w:r>
      <w:bookmarkStart w:id="114" w:name="_Toc60855028"/>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实施养老设施补短板工程，续建县级特困人员供养服务设施（敬老院）1所，保持区域养老服务中心8个，推行公建民营养老机构2家，实现乡镇综合养老服务中心全覆盖。</w:t>
      </w:r>
    </w:p>
    <w:p w14:paraId="6EAEE1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持续推进养老服务增能</w:t>
      </w:r>
      <w:bookmarkEnd w:id="114"/>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以“居家为基础、社区为依托、机构为补充”的养老服务格局，完善涵盖“服务供给、服务保障、政策支撑、需求评估、行业监管”的“五位一体”社会养老服务体系。健全老年健康服务体系，推动各级医疗机构开展适老化改造，提供老年友善服务，增加老年人就医便利程度。完善居家、社区、机构相衔接的专业化长期照护服务体系。继续推进政府购买居家养老服务，增强家庭照料能力。加强养老服务监管，聘请有资质的第三方专业监理公司对由社会组织提供的养老服务进行监管，提升养老服务品质。加快推进养老服务专业人才队伍建设。</w:t>
      </w:r>
    </w:p>
    <w:p w14:paraId="2DDA56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115" w:name="_Toc60855029"/>
      <w:r>
        <w:rPr>
          <w:rFonts w:hint="eastAsia" w:ascii="仿宋_GB2312" w:hAnsi="仿宋_GB2312" w:eastAsia="仿宋_GB2312" w:cs="仿宋_GB2312"/>
          <w:b/>
          <w:bCs/>
          <w:color w:val="auto"/>
          <w:sz w:val="32"/>
          <w:szCs w:val="32"/>
          <w:highlight w:val="none"/>
        </w:rPr>
        <w:t>探索推进养老服务增效</w:t>
      </w:r>
      <w:bookmarkEnd w:id="115"/>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加快推进养老服务设施公建民营，新增的政府投资养老服务设施原则上均委托社会力量运营，提高运行效率和服务水平。支持各类</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rPr>
        <w:t>主体进入养老服务市场，提升</w:t>
      </w:r>
      <w:r>
        <w:rPr>
          <w:rFonts w:hint="eastAsia" w:ascii="仿宋_GB2312" w:hAnsi="仿宋_GB2312" w:eastAsia="仿宋_GB2312" w:cs="仿宋_GB2312"/>
          <w:color w:val="auto"/>
          <w:sz w:val="32"/>
          <w:szCs w:val="32"/>
          <w:highlight w:val="none"/>
          <w:lang w:val="en-US" w:eastAsia="zh-CN"/>
        </w:rPr>
        <w:t>城乡</w:t>
      </w:r>
      <w:r>
        <w:rPr>
          <w:rFonts w:hint="eastAsia" w:ascii="仿宋_GB2312" w:hAnsi="仿宋_GB2312" w:eastAsia="仿宋_GB2312" w:cs="仿宋_GB2312"/>
          <w:color w:val="auto"/>
          <w:sz w:val="32"/>
          <w:szCs w:val="32"/>
          <w:highlight w:val="none"/>
        </w:rPr>
        <w:t>养老服务组织专业化水平，打造一批具有影响力和竞争力的</w:t>
      </w:r>
      <w:r>
        <w:rPr>
          <w:rFonts w:hint="eastAsia" w:ascii="仿宋_GB2312" w:hAnsi="仿宋_GB2312" w:eastAsia="仿宋_GB2312" w:cs="仿宋_GB2312"/>
          <w:color w:val="auto"/>
          <w:sz w:val="32"/>
          <w:szCs w:val="32"/>
          <w:highlight w:val="none"/>
          <w:lang w:val="en-US" w:eastAsia="zh-CN"/>
        </w:rPr>
        <w:t>城乡</w:t>
      </w:r>
      <w:r>
        <w:rPr>
          <w:rFonts w:hint="eastAsia" w:ascii="仿宋_GB2312" w:hAnsi="仿宋_GB2312" w:eastAsia="仿宋_GB2312" w:cs="仿宋_GB2312"/>
          <w:color w:val="auto"/>
          <w:sz w:val="32"/>
          <w:szCs w:val="32"/>
          <w:highlight w:val="none"/>
        </w:rPr>
        <w:t>养老服务机构。推动新一代信息技术和智能产品在</w:t>
      </w:r>
      <w:r>
        <w:rPr>
          <w:rFonts w:hint="eastAsia" w:ascii="仿宋_GB2312" w:hAnsi="仿宋_GB2312" w:eastAsia="仿宋_GB2312" w:cs="仿宋_GB2312"/>
          <w:color w:val="000000" w:themeColor="text1"/>
          <w:sz w:val="32"/>
          <w:szCs w:val="32"/>
          <w:highlight w:val="none"/>
          <w14:textFill>
            <w14:solidFill>
              <w14:schemeClr w14:val="tx1"/>
            </w14:solidFill>
          </w14:textFill>
        </w:rPr>
        <w:t>养老服务领域应用，提高智慧养老服务水平。</w:t>
      </w:r>
      <w:bookmarkStart w:id="116" w:name="_Toc60855030"/>
    </w:p>
    <w:p w14:paraId="3FBB0EA4">
      <w:pPr>
        <w:pStyle w:val="21"/>
        <w:keepNext w:val="0"/>
        <w:keepLines w:val="0"/>
        <w:pageBreakBefore w:val="0"/>
        <w:widowControl w:val="0"/>
        <w:kinsoku/>
        <w:wordWrap/>
        <w:overflowPunct/>
        <w:topLinePunct w:val="0"/>
        <w:autoSpaceDE/>
        <w:autoSpaceDN/>
        <w:bidi w:val="0"/>
        <w:adjustRightInd/>
        <w:snapToGrid/>
        <w:spacing w:line="540" w:lineRule="exact"/>
        <w:ind w:left="102" w:firstLine="643" w:firstLineChars="200"/>
        <w:textAlignment w:val="baseline"/>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构建老年友好型农村养老服务体系</w:t>
      </w:r>
      <w:r>
        <w:rPr>
          <w:rFonts w:hint="default" w:ascii="仿宋_GB2312" w:hAnsi="仿宋_GB2312" w:eastAsia="仿宋_GB2312" w:cs="仿宋_GB2312"/>
          <w:b/>
          <w:bCs/>
          <w:color w:val="000000" w:themeColor="text1"/>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探索构建“老年友好型农村养老服务体系”，其核心是织密“四张网”：织密“责任网”</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成立县级领导小组，出台《实施细则》和《服务清单》，建立“县级统筹、部门协同、乡镇落实、村屯延伸”的责任链条</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织优“供给网”</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构建“县、乡、村、屯”四级服务网络，将服务延伸至“家门口”</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推行“医疗+养老”模式，整合乡镇卫生院资源，为老人提供上门医疗服务</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织牢“互助网”</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核心是探索“探访关爱+居家养老”模式。为特殊困难老人建立“一人一档”，提供助餐、助浴、助医等“菜单式”上门服务</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同时整合家人、邻里、志愿者力量，构建互助网络</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织紧“保障网”</w:t>
      </w:r>
      <w:r>
        <w:rPr>
          <w:rFonts w:hint="default" w:ascii="仿宋_GB2312" w:hAnsi="仿宋" w:eastAsia="仿宋_GB2312" w:cs="仿宋_GB2312"/>
          <w:color w:val="000000" w:themeColor="text1"/>
          <w:spacing w:val="-6"/>
          <w:kern w:val="2"/>
          <w:sz w:val="32"/>
          <w:szCs w:val="32"/>
          <w:highlight w:val="none"/>
          <w:lang w:eastAsia="zh-CN" w:bidi="ar-SA"/>
          <w14:textFill>
            <w14:solidFill>
              <w14:schemeClr w14:val="tx1"/>
            </w14:solidFill>
          </w14:textFill>
        </w:rPr>
        <w:t>，</w:t>
      </w:r>
      <w:r>
        <w:rPr>
          <w:rFonts w:hint="eastAsia" w:ascii="仿宋_GB2312" w:hAnsi="仿宋" w:eastAsia="仿宋_GB2312" w:cs="仿宋_GB2312"/>
          <w:color w:val="000000" w:themeColor="text1"/>
          <w:spacing w:val="-6"/>
          <w:kern w:val="2"/>
          <w:sz w:val="32"/>
          <w:szCs w:val="32"/>
          <w:highlight w:val="none"/>
          <w:lang w:val="en-US" w:eastAsia="zh-CN" w:bidi="ar-SA"/>
          <w14:textFill>
            <w14:solidFill>
              <w14:schemeClr w14:val="tx1"/>
            </w14:solidFill>
          </w14:textFill>
        </w:rPr>
        <w:t>培育专业队伍，培训农村护理员，并引导留守妇女、低龄健康老人等加入服务。通过市场化机制引入社会资本，构建多元共治格局。</w:t>
      </w:r>
      <w:bookmarkStart w:id="117" w:name="_Toc846593690"/>
    </w:p>
    <w:p w14:paraId="2233326B">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18" w:name="_Toc1274142395"/>
      <w:r>
        <w:rPr>
          <w:rFonts w:hint="eastAsia" w:ascii="楷体" w:hAnsi="楷体" w:eastAsia="楷体" w:cs="楷体"/>
          <w:color w:val="000000" w:themeColor="text1"/>
          <w:highlight w:val="none"/>
          <w:lang w:val="en-US" w:eastAsia="zh-Hans"/>
          <w14:textFill>
            <w14:solidFill>
              <w14:schemeClr w14:val="tx1"/>
            </w14:solidFill>
          </w14:textFill>
        </w:rPr>
        <w:t>第六节 健全多层次社会保障体系</w:t>
      </w:r>
      <w:bookmarkEnd w:id="116"/>
      <w:bookmarkEnd w:id="117"/>
      <w:bookmarkEnd w:id="118"/>
    </w:p>
    <w:p w14:paraId="45B163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119" w:name="_Toc60855032"/>
      <w:r>
        <w:rPr>
          <w:rFonts w:hint="eastAsia" w:ascii="仿宋_GB2312" w:hAnsi="仿宋_GB2312" w:eastAsia="仿宋_GB2312" w:cs="仿宋_GB2312"/>
          <w:b/>
          <w:bCs/>
          <w:color w:val="000000" w:themeColor="text1"/>
          <w:sz w:val="32"/>
          <w:szCs w:val="32"/>
          <w:highlight w:val="none"/>
          <w14:textFill>
            <w14:solidFill>
              <w14:schemeClr w14:val="tx1"/>
            </w14:solidFill>
          </w14:textFill>
        </w:rPr>
        <w:t>健全分层分类</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的</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社会救助机制</w:t>
      </w:r>
      <w:bookmarkEnd w:id="119"/>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进一步健全以低保为主体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14:textFill>
            <w14:solidFill>
              <w14:schemeClr w14:val="tx1"/>
            </w14:solidFill>
          </w14:textFill>
        </w:rPr>
        <w:t>专项救助为辅助，社会力量充分参与的现代社会救助制度体系，创新社会救助方式与手段，强化经济状况核对机制，引入专业化社会服务，满足群众基本生活需要。加强部门协同，探索推进困难群众救助需求综合评估，完善救助对象发现机制，统筹推进专项救助和分类救助，推进妇女儿童和残疾人群体福利关爱保障，加强流浪乞讨救助管理。加快推进流浪未成年人救助保护体系建设，最大限度减少未成年人流浪现象，坚决杜绝胁迫、诱骗、利用未成年人乞讨等违法犯罪行为。加强社会救助资源融合，扩大社会救助覆盖面、受益面和参与面，不断强化社会救助绩效评估与动态监管，全面落实各类社会救助政策，推动慈善事业高质量发展。</w:t>
      </w:r>
    </w:p>
    <w:p w14:paraId="51817F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120" w:name="_Toc60855033"/>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完善住房保障</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体</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制</w:t>
      </w:r>
      <w:bookmarkEnd w:id="120"/>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机制</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通过新建、配建、改建、市场化收购等方式，积极筹措公共租赁住房房源，对符合条件的廉租住房申请家庭全面做到“应保尽保”。建立健全共有产权保障住房运行机制，严格准入和退出机制。构建系统有效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地</w:t>
      </w:r>
      <w:r>
        <w:rPr>
          <w:rFonts w:hint="eastAsia" w:ascii="仿宋_GB2312" w:hAnsi="仿宋_GB2312" w:eastAsia="仿宋_GB2312" w:cs="仿宋_GB2312"/>
          <w:color w:val="000000" w:themeColor="text1"/>
          <w:sz w:val="32"/>
          <w:szCs w:val="32"/>
          <w:highlight w:val="none"/>
          <w14:textFill>
            <w14:solidFill>
              <w14:schemeClr w14:val="tx1"/>
            </w14:solidFill>
          </w14:textFill>
        </w:rPr>
        <w:t>配建房源管理制度，形成可持续发展、高效有序的局面。坚持建设进度和住房品质同步提升，提升安置房整体品质，提高居民居住质量，确保在外过渡居民早日入住。探索建立灵活的房源使用机制。</w:t>
      </w:r>
    </w:p>
    <w:p w14:paraId="414D51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促进妇女儿童全面发展。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贯彻落实男女平等基本国策，促进妇女全面发展，依法保障妇女平等获得就学、就业、婚姻财产、参与社会事务和民主管理等权利。健全儿童关爱服务体系，优化儿童福利机构布局，推进儿童福利机构优化提质和创新转型高质量发展，充分发挥儿童福利机构资源优势，提升儿童福利保障水平。</w:t>
      </w:r>
    </w:p>
    <w:p w14:paraId="44AA1FE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提高殡葬领域治理水平。</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加强殡葬服务和殡葬设施建设，切实履行政府对基本殡葬服务的保障职责，加大公益性殡葬服务供给，重点对设施陈旧或不足的殡仪馆实施提升改造和扩建，持续推进农村公益性公墓建设，推动殡葬服务与</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互联网＋</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融合发展，为群众提供更加便捷透明的殡葬服务。</w:t>
      </w:r>
    </w:p>
    <w:p w14:paraId="61807B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val="0"/>
          <w:bCs w:val="0"/>
          <w:color w:val="000000" w:themeColor="text1"/>
          <w:sz w:val="16"/>
          <w:szCs w:val="16"/>
          <w:highlight w:val="none"/>
          <w:lang w:val="en-US" w:eastAsia="zh-Hans"/>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促进人口高质量发展。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落实人口发展战略，健全覆盖全人群、全生命周期的人口服务体系。倡导积极婚育观，优化生育支持政策和激励措施，有效降低生育养育教育成本，推动建设生育友好型社会。完善并落实生育休假制度，落实国家生育补贴政策，提高基本生育和儿童医疗公共服务水平。</w:t>
      </w:r>
    </w:p>
    <w:p w14:paraId="1E13F3A2">
      <w:pPr>
        <w:rPr>
          <w:rFonts w:hint="eastAsia" w:ascii="黑体" w:hAnsi="黑体" w:eastAsia="黑体" w:cs="黑体"/>
          <w:sz w:val="32"/>
          <w:szCs w:val="40"/>
          <w:lang w:val="en-US" w:eastAsia="zh-Hans"/>
        </w:rPr>
      </w:pPr>
      <w:r>
        <w:rPr>
          <w:rFonts w:hint="eastAsia" w:ascii="黑体" w:hAnsi="黑体" w:eastAsia="黑体" w:cs="黑体"/>
          <w:sz w:val="32"/>
          <w:szCs w:val="40"/>
          <w:lang w:val="en-US" w:eastAsia="zh-CN"/>
        </w:rPr>
        <w:br w:type="page"/>
      </w:r>
    </w:p>
    <w:p w14:paraId="5EA132F1">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Hans"/>
        </w:rPr>
      </w:pPr>
      <w:bookmarkStart w:id="121" w:name="_Toc1951788528"/>
      <w:r>
        <w:rPr>
          <w:rFonts w:hint="eastAsia" w:ascii="黑体" w:hAnsi="黑体" w:eastAsia="黑体" w:cs="黑体"/>
          <w:sz w:val="32"/>
          <w:szCs w:val="40"/>
          <w:lang w:val="en-US" w:eastAsia="zh-CN"/>
        </w:rPr>
        <w:t>加强生态文明建设，践行绿水青山就是金山银山</w:t>
      </w:r>
      <w:bookmarkEnd w:id="121"/>
    </w:p>
    <w:p w14:paraId="2A9A6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绿色发展是谱写中国式现代化</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篇章的靓丽底色。牢固树立和践行绿水青山就是金山银山的理念，坚持生态优先、绿色发展，统筹山水林田湖草系统治理，提升污染防治能力，创新生态环境治理体制机制，推动经济社会发展全面绿色转型，建成绿色生态经济示范县。</w:t>
      </w:r>
    </w:p>
    <w:p w14:paraId="39B4C2F7">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22" w:name="_Toc941803343"/>
      <w:bookmarkStart w:id="123" w:name="_Toc897082171"/>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筑牢生态安全屏障</w:t>
      </w:r>
      <w:bookmarkEnd w:id="122"/>
      <w:bookmarkEnd w:id="123"/>
    </w:p>
    <w:p w14:paraId="6DA04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color w:val="000000" w:themeColor="text1"/>
          <w:sz w:val="16"/>
          <w:szCs w:val="16"/>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加强生态保护红线管控，严守“三线一单”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生态保护红线、环境质量底线、资源利用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上限</w:t>
      </w:r>
      <w:r>
        <w:rPr>
          <w:rFonts w:hint="eastAsia" w:ascii="仿宋_GB2312" w:hAnsi="仿宋_GB2312" w:eastAsia="仿宋_GB2312" w:cs="仿宋_GB2312"/>
          <w:color w:val="000000" w:themeColor="text1"/>
          <w:sz w:val="32"/>
          <w:szCs w:val="32"/>
          <w:highlight w:val="none"/>
          <w14:textFill>
            <w14:solidFill>
              <w14:schemeClr w14:val="tx1"/>
            </w14:solidFill>
          </w14:textFill>
        </w:rPr>
        <w:t>和生态环境准入清单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落实主体功能区差别化环境政策，保护禁止开发区生态环境，严格控制生态空间内各类开发利用活动。加强山地森林生态系统保护，加大植树造林、森林抚育、森林防火、病虫害防治力度，提升森林质量和生态功能。加强河流、湖泊、湿地等水域生态保护，实施河道生态修复、湿地保护与恢复工程，维护水域生态平衡。加强生物多样性保护，建立健全生物多样性保护监测体系，保护野生动植物资源。</w:t>
      </w:r>
    </w:p>
    <w:p w14:paraId="674F0ED2">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24" w:name="_Toc1924846057"/>
      <w:bookmarkStart w:id="125" w:name="_Toc1934307411"/>
      <w:r>
        <w:rPr>
          <w:rFonts w:hint="eastAsia" w:ascii="楷体" w:hAnsi="楷体" w:eastAsia="楷体" w:cs="楷体"/>
          <w:color w:val="000000" w:themeColor="text1"/>
          <w:highlight w:val="none"/>
          <w:lang w:val="en-US" w:eastAsia="zh-Hans"/>
          <w14:textFill>
            <w14:solidFill>
              <w14:schemeClr w14:val="tx1"/>
            </w14:solidFill>
          </w14:textFill>
        </w:rPr>
        <w:t>第二节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持续推进生态环境综合治理</w:t>
      </w:r>
      <w:bookmarkEnd w:id="124"/>
      <w:bookmarkEnd w:id="125"/>
    </w:p>
    <w:p w14:paraId="059550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统筹推进水资源、土地资源、林业资源、矿产资源的保护与开发，重点抓好县域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融江、龙江、沙埔河及重点流域水环境和生态综合整治。健全工业废水污染防控体系，加快工业园区污水收集管网和污水处理站等环境基础设施建设。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水土流失整治、石漠化综合治理、矿山修复等重点生态项目建设，构建形成以森林为主体、以沿江沿路为骨干、以城市公园、村庄绿化为节点的绿色生态屏障。严厉打击破坏、买卖野生动植物违法犯罪行为，保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柳城</w:t>
      </w:r>
      <w:r>
        <w:rPr>
          <w:rFonts w:hint="eastAsia" w:ascii="仿宋_GB2312" w:hAnsi="仿宋_GB2312" w:eastAsia="仿宋_GB2312" w:cs="仿宋_GB2312"/>
          <w:color w:val="000000" w:themeColor="text1"/>
          <w:sz w:val="32"/>
          <w:szCs w:val="32"/>
          <w:highlight w:val="none"/>
          <w14:textFill>
            <w14:solidFill>
              <w14:schemeClr w14:val="tx1"/>
            </w14:solidFill>
          </w14:textFill>
        </w:rPr>
        <w:t>生物多样性。</w:t>
      </w:r>
    </w:p>
    <w:p w14:paraId="1D48D2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实施“蓝天工程”。</w:t>
      </w:r>
      <w:r>
        <w:rPr>
          <w:rFonts w:hint="eastAsia" w:ascii="仿宋_GB2312" w:hAnsi="仿宋_GB2312" w:eastAsia="仿宋_GB2312" w:cs="仿宋_GB2312"/>
          <w:color w:val="000000" w:themeColor="text1"/>
          <w:sz w:val="32"/>
          <w:szCs w:val="32"/>
          <w:highlight w:val="none"/>
          <w14:textFill>
            <w14:solidFill>
              <w14:schemeClr w14:val="tx1"/>
            </w14:solidFill>
          </w14:textFill>
        </w:rPr>
        <w:t>严格环境准入要求，优化调整产业结构。开展大气污染防治行动，强化重污染天气监测预警预报能力建设，大力推进燃煤烟气、机动车尾气、有机废气、城市扬尘等污染源治理。调整能源消费结构，推广使用新能源和可再生能源。完善工业园区热汽供给网络，加快淘汰中小燃煤锅炉。加大老旧机动车淘汰力度，鼓励更换新能源汽车。全面推进施工标准化管理，严格控制扬尘污染。积极发展生物质发电项目，提高秸秆综合利用率。</w:t>
      </w:r>
    </w:p>
    <w:p w14:paraId="543E7F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实施“碧水工程”。</w:t>
      </w:r>
      <w:r>
        <w:rPr>
          <w:rFonts w:hint="eastAsia" w:ascii="仿宋_GB2312" w:hAnsi="仿宋_GB2312" w:eastAsia="仿宋_GB2312" w:cs="仿宋_GB2312"/>
          <w:color w:val="000000" w:themeColor="text1"/>
          <w:sz w:val="32"/>
          <w:szCs w:val="32"/>
          <w:highlight w:val="none"/>
          <w14:textFill>
            <w14:solidFill>
              <w14:schemeClr w14:val="tx1"/>
            </w14:solidFill>
          </w14:textFill>
        </w:rPr>
        <w:t>严格饮用水水源地保护，建立饮用水水源监控信息系统与预警应急机制。开展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沙埔河</w:t>
      </w:r>
      <w:r>
        <w:rPr>
          <w:rFonts w:hint="eastAsia" w:ascii="仿宋_GB2312" w:hAnsi="仿宋_GB2312" w:eastAsia="仿宋_GB2312" w:cs="仿宋_GB2312"/>
          <w:color w:val="000000" w:themeColor="text1"/>
          <w:sz w:val="32"/>
          <w:szCs w:val="32"/>
          <w:highlight w:val="none"/>
          <w14:textFill>
            <w14:solidFill>
              <w14:schemeClr w14:val="tx1"/>
            </w14:solidFill>
          </w14:textFill>
        </w:rPr>
        <w:t>污水“零直排”三年行动计划，严格管控工业废水、生活污水随意排放。加大河道综合整治力度，严厉打击非法捕鱼、非法采砂、非法向河道内倾倒渣土等违法行为。推动工业园区污水处理和雨污分流设施升级改造，提高污水收集处理和循环水再利用水平。以黑臭水体为整治重点，加快城乡污水处理设施及管网建设，扩大生活污水处理覆盖面，力争到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年城镇污水处理率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达到</w:t>
      </w:r>
      <w:r>
        <w:rPr>
          <w:rFonts w:hint="eastAsia" w:ascii="仿宋_GB2312" w:hAnsi="仿宋_GB2312" w:eastAsia="仿宋_GB2312" w:cs="仿宋_GB2312"/>
          <w:color w:val="000000" w:themeColor="text1"/>
          <w:sz w:val="32"/>
          <w:szCs w:val="32"/>
          <w:highlight w:val="none"/>
          <w14:textFill>
            <w14:solidFill>
              <w14:schemeClr w14:val="tx1"/>
            </w14:solidFill>
          </w14:textFill>
        </w:rPr>
        <w:t>9</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%以上。</w:t>
      </w:r>
    </w:p>
    <w:p w14:paraId="5B6AA1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16"/>
          <w:szCs w:val="16"/>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实施“净土工程”。</w:t>
      </w:r>
      <w:r>
        <w:rPr>
          <w:rFonts w:hint="eastAsia" w:ascii="仿宋_GB2312" w:hAnsi="仿宋_GB2312" w:eastAsia="仿宋_GB2312" w:cs="仿宋_GB2312"/>
          <w:color w:val="000000" w:themeColor="text1"/>
          <w:sz w:val="32"/>
          <w:szCs w:val="32"/>
          <w:highlight w:val="none"/>
          <w14:textFill>
            <w14:solidFill>
              <w14:schemeClr w14:val="tx1"/>
            </w14:solidFill>
          </w14:textFill>
        </w:rPr>
        <w:t>开展土壤污染防治行动，坚持预防为主，保护优先、风险管控，促进土壤资源永续利用。严格环境准入，落实涉重金属行业新、改、扩建项目重金属污染物排放“减量置换”“等量置换”要求。开展企业搬迁地块、矿产资源开发遗留场地土壤污染综合治理与修复。加快固废处理设施建设，实现固废无害化、减量化、资源化。推广农业绿色生产技术，鼓励使用有机肥，降低农药化肥使用量，做好农业生产废弃物回收处理。</w:t>
      </w:r>
    </w:p>
    <w:p w14:paraId="4C6FFBF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26" w:name="_Toc1297208391"/>
      <w:bookmarkStart w:id="127" w:name="_Toc1194021591"/>
      <w:r>
        <w:rPr>
          <w:rFonts w:hint="eastAsia" w:ascii="楷体" w:hAnsi="楷体" w:eastAsia="楷体" w:cs="楷体"/>
          <w:color w:val="000000" w:themeColor="text1"/>
          <w:highlight w:val="none"/>
          <w:lang w:val="en-US" w:eastAsia="zh-Hans"/>
          <w14:textFill>
            <w14:solidFill>
              <w14:schemeClr w14:val="tx1"/>
            </w14:solidFill>
          </w14:textFill>
        </w:rPr>
        <w:t>第三节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推动绿色低碳循环发展</w:t>
      </w:r>
      <w:bookmarkEnd w:id="126"/>
      <w:bookmarkEnd w:id="127"/>
    </w:p>
    <w:p w14:paraId="13A318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强化资源高效</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配置</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严格落实节能审查等制度，鼓励和支持企业更新节能减排技术，</w:t>
      </w:r>
      <w:r>
        <w:rPr>
          <w:rFonts w:hint="eastAsia" w:ascii="仿宋_GB2312" w:hAnsi="仿宋_GB2312" w:eastAsia="仿宋_GB2312" w:cs="仿宋_GB2312"/>
          <w:color w:val="000000" w:themeColor="text1"/>
          <w:sz w:val="32"/>
          <w:szCs w:val="32"/>
          <w:highlight w:val="none"/>
          <w:lang w:val="en-US" w:eastAsia="zh-Hans"/>
          <w14:textFill>
            <w14:solidFill>
              <w14:schemeClr w14:val="tx1"/>
            </w14:solidFill>
          </w14:textFill>
        </w:rPr>
        <w:t>逐步</w:t>
      </w:r>
      <w:r>
        <w:rPr>
          <w:rFonts w:hint="eastAsia" w:ascii="仿宋_GB2312" w:hAnsi="仿宋_GB2312" w:eastAsia="仿宋_GB2312" w:cs="仿宋_GB2312"/>
          <w:i w:val="0"/>
          <w:iCs w:val="0"/>
          <w:caps w:val="0"/>
          <w:color w:val="000000" w:themeColor="text1"/>
          <w:spacing w:val="0"/>
          <w:sz w:val="30"/>
          <w:szCs w:val="30"/>
          <w:highlight w:val="none"/>
          <w:shd w:val="clear" w:fill="FFFFFF"/>
          <w:lang w:eastAsia="zh-Hans"/>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碳排放统计核算体系，稳步实施碳考核、行业碳管控、企业碳管理、项目碳评价、产品碳足迹等政策制度。发展分布式能源，建设零碳工厂和园区，提升能碳管理能力。加强交通、建设和公共领域的节能降耗，促进经济发展方式向绿色高效转变。建设节水型社会，落实最严格水资源管理制度，实行水资源消耗总量和强度“双控”，大力推广农业节水灌溉、循环水再利用等模式，全面提高用水效率。节约高效利用土地，推进建设用地立体利用、综合利用，提高土地利用效率。积极开展农村土地综合整治，加快引导农村闲置、废弃宅基地资源的有偿退出，推动农村建设用地存量盘活。</w:t>
      </w:r>
    </w:p>
    <w:p w14:paraId="2898AA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推动循环经济发展。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在工业领域全方位推进“源头减量、过程控制、末端利用”循环型生产方式，加快林木深加工、机械汽配、化工、建材、造纸、制糖等行业循环经济发展，构建循环型工业经济。大力发展绿色生态农业，推动种植业、林业与畜牧业循环经济发展，构建“畜-沼-果菜”“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田”生态循环生产模式。推进交通运输、商贸物流、旅游休闲、通信服务等领域循环经济发展，加快构建循环型服务业体系。</w:t>
      </w:r>
    </w:p>
    <w:p w14:paraId="0EB55F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color w:val="000000" w:themeColor="text1"/>
          <w:sz w:val="6"/>
          <w:szCs w:val="6"/>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倡导绿色低碳生活。</w:t>
      </w:r>
      <w:r>
        <w:rPr>
          <w:rFonts w:hint="eastAsia" w:ascii="仿宋_GB2312" w:hAnsi="仿宋_GB2312" w:eastAsia="仿宋_GB2312" w:cs="仿宋_GB2312"/>
          <w:color w:val="000000" w:themeColor="text1"/>
          <w:sz w:val="32"/>
          <w:szCs w:val="32"/>
          <w:highlight w:val="none"/>
          <w14:textFill>
            <w14:solidFill>
              <w14:schemeClr w14:val="tx1"/>
            </w14:solidFill>
          </w14:textFill>
        </w:rPr>
        <w:t>大力推进自然资源节约集约示范县创建</w:t>
      </w:r>
      <w:r>
        <w:rPr>
          <w:rFonts w:hint="eastAsia" w:ascii="仿宋_GB2312" w:hAnsi="仿宋_GB2312" w:eastAsia="仿宋_GB2312" w:cs="仿宋_GB2312"/>
          <w:color w:val="000000" w:themeColor="text1"/>
          <w:sz w:val="32"/>
          <w:szCs w:val="32"/>
          <w:highlight w:val="none"/>
          <w:lang w:eastAsia="zh-Hans"/>
          <w14:textFill>
            <w14:solidFill>
              <w14:schemeClr w14:val="tx1"/>
            </w14:solidFill>
          </w14:textFill>
        </w:rPr>
        <w:t>工作</w:t>
      </w:r>
      <w:r>
        <w:rPr>
          <w:rFonts w:hint="default" w:ascii="仿宋_GB2312" w:hAnsi="仿宋_GB2312" w:eastAsia="仿宋_GB2312" w:cs="仿宋_GB2312"/>
          <w:color w:val="000000" w:themeColor="text1"/>
          <w:sz w:val="32"/>
          <w:szCs w:val="32"/>
          <w:highlight w:val="none"/>
          <w:lang w:eastAsia="zh-Hans"/>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开展绿色生活行动，促进全民在衣、食、住、行、游等方面加快向勤俭节约、绿色低碳、文明健康的方式转变，塑造一批成效突出、特点鲜明的绿色机关、绿色企业、绿色社区等优秀典型，推动全社会形成绿色生活自觉。完善生活垃圾分类投放、收集、运输、处理设施体系，加快建筑垃圾资源化利用、再生资源集中处置等基础设施建设，畅通餐厨废弃物处理渠道，建立健全垃圾分类的全链条长效管理机制。健全绿色出行系统，鼓励使用清洁交通运输工具，推广绿色低碳公共交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倡导自行车等绿色出行方式。加大生态环保宣传，形成全民共建生态文明家园的良好氛围。</w:t>
      </w:r>
    </w:p>
    <w:p w14:paraId="00DC8DEA">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Hans"/>
          <w14:textFill>
            <w14:solidFill>
              <w14:schemeClr w14:val="tx1"/>
            </w14:solidFill>
          </w14:textFill>
        </w:rPr>
      </w:pPr>
      <w:bookmarkStart w:id="128" w:name="_Toc927443193"/>
      <w:bookmarkStart w:id="129" w:name="_Toc1833682369"/>
      <w:r>
        <w:rPr>
          <w:rFonts w:hint="eastAsia" w:ascii="楷体" w:hAnsi="楷体" w:eastAsia="楷体" w:cs="楷体"/>
          <w:color w:val="000000" w:themeColor="text1"/>
          <w:highlight w:val="none"/>
          <w:lang w:val="en-US" w:eastAsia="zh-Hans"/>
          <w14:textFill>
            <w14:solidFill>
              <w14:schemeClr w14:val="tx1"/>
            </w14:solidFill>
          </w14:textFill>
        </w:rPr>
        <w:t>第四节</w:t>
      </w:r>
      <w:r>
        <w:rPr>
          <w:rFonts w:hint="default" w:ascii="楷体" w:hAnsi="楷体" w:eastAsia="楷体" w:cs="楷体"/>
          <w:color w:val="000000" w:themeColor="text1"/>
          <w:highlight w:val="none"/>
          <w:lang w:val="en-US" w:eastAsia="zh-Hans"/>
          <w14:textFill>
            <w14:solidFill>
              <w14:schemeClr w14:val="tx1"/>
            </w14:solidFill>
          </w14:textFill>
        </w:rPr>
        <w:t xml:space="preserve">  </w:t>
      </w:r>
      <w:r>
        <w:rPr>
          <w:rFonts w:hint="eastAsia" w:ascii="楷体" w:hAnsi="楷体" w:eastAsia="楷体" w:cs="楷体"/>
          <w:color w:val="000000" w:themeColor="text1"/>
          <w:highlight w:val="none"/>
          <w:lang w:val="en-US" w:eastAsia="zh-Hans"/>
          <w14:textFill>
            <w14:solidFill>
              <w14:schemeClr w14:val="tx1"/>
            </w14:solidFill>
          </w14:textFill>
        </w:rPr>
        <w:t>健全生态环境治理体系</w:t>
      </w:r>
      <w:bookmarkEnd w:id="128"/>
      <w:bookmarkEnd w:id="129"/>
    </w:p>
    <w:p w14:paraId="273A7F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sz w:val="16"/>
          <w:szCs w:val="16"/>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完善生态环境保护法律法规和政策体系，加强生态环境监管执法，严厉打击生态环境违法行为。建立健全生态环境监测体系，提升生态环境监测能力。完善生态补偿机制，加强跨区域生态保护协作。健全生态环境公众参与机制，畅通公众参与渠道，鼓励公众参与生态环境保护。加强生态环境宣传教育，</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增强</w:t>
      </w:r>
      <w:r>
        <w:rPr>
          <w:rFonts w:hint="eastAsia" w:ascii="仿宋_GB2312" w:hAnsi="仿宋_GB2312" w:eastAsia="仿宋_GB2312" w:cs="仿宋_GB2312"/>
          <w:color w:val="000000" w:themeColor="text1"/>
          <w:sz w:val="32"/>
          <w:szCs w:val="32"/>
          <w:highlight w:val="none"/>
          <w14:textFill>
            <w14:solidFill>
              <w14:schemeClr w14:val="tx1"/>
            </w14:solidFill>
          </w14:textFill>
        </w:rPr>
        <w:t>全民生态环境保护意识，营造全社会共同参与生态环境保护的良好氛围。</w:t>
      </w:r>
    </w:p>
    <w:p w14:paraId="5532FE04">
      <w:pPr>
        <w:rPr>
          <w:rFonts w:hint="eastAsia" w:ascii="黑体" w:hAnsi="黑体" w:eastAsia="黑体" w:cs="黑体"/>
          <w:sz w:val="32"/>
          <w:szCs w:val="40"/>
          <w:lang w:val="en-US" w:eastAsia="zh-CN"/>
        </w:rPr>
      </w:pPr>
      <w:bookmarkStart w:id="130" w:name="_Toc1101434825"/>
      <w:r>
        <w:rPr>
          <w:rFonts w:hint="eastAsia" w:ascii="黑体" w:hAnsi="黑体" w:eastAsia="黑体" w:cs="黑体"/>
          <w:sz w:val="32"/>
          <w:szCs w:val="40"/>
          <w:lang w:val="en-US" w:eastAsia="zh-CN"/>
        </w:rPr>
        <w:br w:type="page"/>
      </w:r>
    </w:p>
    <w:p w14:paraId="3E595205">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CN"/>
        </w:rPr>
      </w:pPr>
      <w:bookmarkStart w:id="131" w:name="_Toc161757686"/>
      <w:r>
        <w:rPr>
          <w:rFonts w:hint="eastAsia" w:ascii="黑体" w:hAnsi="黑体" w:eastAsia="黑体" w:cs="黑体"/>
          <w:sz w:val="32"/>
          <w:szCs w:val="40"/>
          <w:lang w:val="en-US" w:eastAsia="zh-CN"/>
        </w:rPr>
        <w:t>统筹发展和安全，建设更高水平平安柳城</w:t>
      </w:r>
      <w:bookmarkEnd w:id="130"/>
      <w:bookmarkEnd w:id="131"/>
    </w:p>
    <w:p w14:paraId="008600AD">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坚持法治观念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全面推进严格执法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公正司法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全民守法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积极推进法治社会建设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营造全社会遵法守法用法的良好氛围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坚持依法治理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源头治理和综合治理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努力维护社会和谐稳定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保障人民群众安居乐业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524AEAD1">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CN"/>
          <w14:textFill>
            <w14:solidFill>
              <w14:schemeClr w14:val="tx1"/>
            </w14:solidFill>
          </w14:textFill>
        </w:rPr>
      </w:pPr>
      <w:bookmarkStart w:id="132" w:name="_Toc506066635"/>
      <w:bookmarkStart w:id="133" w:name="_Toc2094615147"/>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 xml:space="preserve">一节 </w:t>
      </w:r>
      <w:r>
        <w:rPr>
          <w:rFonts w:hint="eastAsia" w:ascii="楷体" w:hAnsi="楷体" w:eastAsia="楷体" w:cs="楷体"/>
          <w:color w:val="000000" w:themeColor="text1"/>
          <w:highlight w:val="none"/>
          <w:lang w:val="en-US" w:eastAsia="zh-Hans"/>
          <w14:textFill>
            <w14:solidFill>
              <w14:schemeClr w14:val="tx1"/>
            </w14:solidFill>
          </w14:textFill>
        </w:rPr>
        <w:t>建设法治柳</w:t>
      </w:r>
      <w:r>
        <w:rPr>
          <w:rFonts w:hint="eastAsia" w:ascii="楷体" w:hAnsi="楷体" w:eastAsia="楷体" w:cs="楷体"/>
          <w:color w:val="000000" w:themeColor="text1"/>
          <w:highlight w:val="none"/>
          <w:lang w:val="en-US" w:eastAsia="zh-CN"/>
          <w14:textFill>
            <w14:solidFill>
              <w14:schemeClr w14:val="tx1"/>
            </w14:solidFill>
          </w14:textFill>
        </w:rPr>
        <w:t>城</w:t>
      </w:r>
      <w:bookmarkEnd w:id="132"/>
      <w:bookmarkEnd w:id="133"/>
    </w:p>
    <w:p w14:paraId="1F5020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全面推进法治政府建设</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加快行政机构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职能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权限</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程序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责任法定化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规范行政事权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建立行政机关内部重大决策合法性审查制度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，加强府院联动，落实行政机关负责人依法出庭应诉制度，推进判后复盘机制，</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建立重大决策终身责任追究制度及责任倒查机制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健全重大政策事前评估和事后评价制度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畅通参与政策制定的渠道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提高决策科学化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民主化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法治化水平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全面落实行政执法责任制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完善执法程序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规范执法行为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强化行政执法监督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坚持以公开为常态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不公开为例外的原则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全面推进决策公开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执行公开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管理公开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服务公开以及结果公开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加强重点领域执法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推进执法规范化建设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全面落实行政执法责任制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加强廉政建设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建立健全教育</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监督并重的惩治预防腐败体系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实现公正廉洁执法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619D6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完善社会矛盾调解机制</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扎实推进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域社会治理现代化试点工作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创新社会治理方式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以重大问题为导向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树立综合治理理念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运用经济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行政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文化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道德等多种手段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增强社会治理效果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落实重大工程项目建设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重大政策制定和重要决策事项的风险评估制度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完善以人民调解为基础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人民调解与行政调解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司法调解衔接配合的大调解工作格局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使群众问题能反映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矛盾能化解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权益有保障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全面完善信访体制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落实信访稳定责任制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严格落实领导干部公开接访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下访和预约接访制度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推动信访工作重心下移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加快信访体系现代化建设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充分发挥互联网通达社情民意的作用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引导群众依法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理性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有序反映诉求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推动社会治理透明化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高度重视和主动回应社会热点问题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完善公共决策的社会公示制度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公众听证制度和专家咨询制度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扩大公众参与程度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20A9B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提升公共法律服务水平</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建设集法律咨询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人民调解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法律援助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普法宣传于一体的综合公共法律服务中心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一站式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法律服务窗口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乡</w:t>
      </w:r>
      <w:r>
        <w:rPr>
          <w:rFonts w:hint="eastAsia" w:ascii="仿宋_GB2312" w:hAnsi="仿宋_GB2312" w:eastAsia="仿宋_GB2312" w:cs="仿宋_GB2312"/>
          <w:color w:val="000000" w:themeColor="text1"/>
          <w:sz w:val="32"/>
          <w:szCs w:val="32"/>
          <w:highlight w:val="none"/>
          <w14:textFill>
            <w14:solidFill>
              <w14:schemeClr w14:val="tx1"/>
            </w14:solidFill>
          </w14:textFill>
        </w:rPr>
        <w:t>镇公共法律服务站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各村委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社区综合法律服务工作室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着力构建覆盖柳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城县</w:t>
      </w:r>
      <w:r>
        <w:rPr>
          <w:rFonts w:hint="eastAsia" w:ascii="仿宋_GB2312" w:hAnsi="仿宋_GB2312" w:eastAsia="仿宋_GB2312" w:cs="仿宋_GB2312"/>
          <w:color w:val="000000" w:themeColor="text1"/>
          <w:sz w:val="32"/>
          <w:szCs w:val="32"/>
          <w:highlight w:val="none"/>
          <w14:textFill>
            <w14:solidFill>
              <w14:schemeClr w14:val="tx1"/>
            </w14:solidFill>
          </w14:textFill>
        </w:rPr>
        <w:t>惠及全民的公共法律服务体系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09607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color w:val="000000" w:themeColor="text1"/>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增强全民法治意识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落实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谁执法谁普法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的普法责任制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开展群众性法治文化活动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积极搭建多层次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多渠道的法治宣传平台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形成浓厚的法治氛围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深化领导干部学法用法工作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增强领导干部和政府工作人员的法治观念和法律素质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加大全民普法工作力度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深入开展全民普法考试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提高全民学法用法的参与度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不断提升全体公民法治意识和法治素养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强化规则意识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倡导契约精神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引导公众自觉履行法定义务</w:t>
      </w:r>
      <w:r>
        <w:rPr>
          <w:rFonts w:hint="default" w:ascii="仿宋_GB2312" w:hAnsi="仿宋_GB2312" w:eastAsia="仿宋_GB2312" w:cs="仿宋_GB2312"/>
          <w:color w:val="000000" w:themeColor="text1"/>
          <w:sz w:val="32"/>
          <w:szCs w:val="32"/>
          <w:highlight w:val="none"/>
          <w14:textFill>
            <w14:solidFill>
              <w14:schemeClr w14:val="tx1"/>
            </w14:solidFill>
          </w14:textFill>
        </w:rPr>
        <w:t>。</w:t>
      </w:r>
    </w:p>
    <w:p w14:paraId="31F0EE98">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eastAsia" w:ascii="楷体" w:hAnsi="楷体" w:eastAsia="楷体" w:cs="楷体"/>
          <w:color w:val="000000" w:themeColor="text1"/>
          <w:highlight w:val="none"/>
          <w:lang w:val="en-US" w:eastAsia="zh-CN"/>
          <w14:textFill>
            <w14:solidFill>
              <w14:schemeClr w14:val="tx1"/>
            </w14:solidFill>
          </w14:textFill>
        </w:rPr>
      </w:pPr>
      <w:bookmarkStart w:id="134" w:name="_Toc1426692325"/>
      <w:bookmarkStart w:id="135" w:name="_Toc497350358"/>
      <w:r>
        <w:rPr>
          <w:rFonts w:hint="eastAsia" w:ascii="楷体" w:hAnsi="楷体" w:eastAsia="楷体" w:cs="楷体"/>
          <w:color w:val="000000" w:themeColor="text1"/>
          <w:highlight w:val="none"/>
          <w:lang w:val="en-US" w:eastAsia="zh-Hans"/>
          <w14:textFill>
            <w14:solidFill>
              <w14:schemeClr w14:val="tx1"/>
            </w14:solidFill>
          </w14:textFill>
        </w:rPr>
        <w:t>第</w:t>
      </w:r>
      <w:r>
        <w:rPr>
          <w:rFonts w:hint="eastAsia" w:ascii="楷体" w:hAnsi="楷体" w:eastAsia="楷体" w:cs="楷体"/>
          <w:color w:val="000000" w:themeColor="text1"/>
          <w:highlight w:val="none"/>
          <w:lang w:val="en-US" w:eastAsia="zh-CN"/>
          <w14:textFill>
            <w14:solidFill>
              <w14:schemeClr w14:val="tx1"/>
            </w14:solidFill>
          </w14:textFill>
        </w:rPr>
        <w:t xml:space="preserve">二节 </w:t>
      </w:r>
      <w:r>
        <w:rPr>
          <w:rFonts w:hint="eastAsia" w:ascii="楷体" w:hAnsi="楷体" w:eastAsia="楷体" w:cs="楷体"/>
          <w:color w:val="000000" w:themeColor="text1"/>
          <w:highlight w:val="none"/>
          <w:lang w:val="en-US" w:eastAsia="zh-Hans"/>
          <w14:textFill>
            <w14:solidFill>
              <w14:schemeClr w14:val="tx1"/>
            </w14:solidFill>
          </w14:textFill>
        </w:rPr>
        <w:t>建设平安柳</w:t>
      </w:r>
      <w:r>
        <w:rPr>
          <w:rFonts w:hint="eastAsia" w:ascii="楷体" w:hAnsi="楷体" w:eastAsia="楷体" w:cs="楷体"/>
          <w:color w:val="000000" w:themeColor="text1"/>
          <w:highlight w:val="none"/>
          <w:lang w:val="en-US" w:eastAsia="zh-CN"/>
          <w14:textFill>
            <w14:solidFill>
              <w14:schemeClr w14:val="tx1"/>
            </w14:solidFill>
          </w14:textFill>
        </w:rPr>
        <w:t>城</w:t>
      </w:r>
      <w:bookmarkEnd w:id="134"/>
      <w:bookmarkEnd w:id="135"/>
    </w:p>
    <w:p w14:paraId="633DDC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构建公共安全保障体系</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加强社会治安综合治理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积极构建点线面结合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人物技配套</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打防控一体的社会治安整体联动防控体系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切实提升社会治安整体防控水平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加大公共安全投入，扎实推进社区警务、专业森林消防队营房建设、柳城县应急物资储备库暨柳城县消防救援大队正规化建设工程、城东新区小型消防站建设、提升六塘精细化工园区消防站建设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；新建沙埔镇、马山镇、寨隆镇、冲脉镇、龙头镇、凤山镇、太平镇、古砦乡、社冲乡9个乡镇消防队；加快</w:t>
      </w:r>
      <w:r>
        <w:rPr>
          <w:rFonts w:hint="default" w:ascii="仿宋_GB2312" w:hAnsi="仿宋_GB2312" w:eastAsia="仿宋_GB2312" w:cs="仿宋_GB2312"/>
          <w:b w:val="0"/>
          <w:bCs w:val="0"/>
          <w:color w:val="000000" w:themeColor="text1"/>
          <w:kern w:val="2"/>
          <w:sz w:val="32"/>
          <w:szCs w:val="32"/>
          <w:highlight w:val="none"/>
          <w:u w:val="none"/>
          <w:lang w:eastAsia="zh-CN" w:bidi="ar-SA"/>
          <w14:textFill>
            <w14:solidFill>
              <w14:schemeClr w14:val="tx1"/>
            </w14:solidFill>
          </w14:textFill>
        </w:rPr>
        <w:t>食品医药（农产品加工）</w:t>
      </w:r>
      <w:r>
        <w:rPr>
          <w:rFonts w:hint="eastAsia" w:ascii="仿宋_GB2312" w:hAnsi="仿宋_GB2312" w:eastAsia="仿宋_GB2312" w:cs="仿宋_GB2312"/>
          <w:b w:val="0"/>
          <w:bCs w:val="0"/>
          <w:color w:val="000000" w:themeColor="text1"/>
          <w:kern w:val="2"/>
          <w:sz w:val="32"/>
          <w:szCs w:val="32"/>
          <w:highlight w:val="none"/>
          <w:u w:val="none"/>
          <w:lang w:val="en-US" w:eastAsia="zh-CN" w:bidi="ar-SA"/>
          <w14:textFill>
            <w14:solidFill>
              <w14:schemeClr w14:val="tx1"/>
            </w14:solidFill>
          </w14:textFill>
        </w:rPr>
        <w:t>、金属精加工、木材加工产业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园消防站建设，完善各乡镇、华侨管理区政府部门、医院、学校、企业以及人员密集的村落所在地段设置市政消防供水管网和室外消火栓，有条件的乡镇结合辖区实际，设置消防取水口（可结合村屯供水水塔设置）；结合辖区“智慧城市”建设，将“智慧消防”纳入项目同步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天网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工程建设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完善社会治安打防控管一体工作机制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依法打击各类违法犯罪行为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深入开展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打黑恶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反盗抢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防诈骗</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扫毒害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追逃犯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等系列安民行动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确保刑事发案稳中有降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突出抓好治安隐患重点场所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部位的集中整治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强化流动人口和特殊人群服务管理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确保重点场所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部位治安面貌明显好转</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高度重视禁毒防艾工作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进一步深化推进新时代禁毒人民战争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切实提高城市安全水平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2EA219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增强安全发展意识</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8"/>
          <w:sz w:val="32"/>
          <w:szCs w:val="32"/>
          <w:highlight w:val="none"/>
          <w:shd w:val="clear" w:fill="FFFFFF"/>
          <w14:textFill>
            <w14:solidFill>
              <w14:schemeClr w14:val="tx1"/>
            </w14:solidFill>
          </w14:textFill>
        </w:rPr>
        <w:t>坚决落实安全生产责任，防范道路交通、危化品、建筑施工</w:t>
      </w:r>
      <w:r>
        <w:rPr>
          <w:rFonts w:hint="eastAsia" w:ascii="仿宋_GB2312" w:hAnsi="仿宋_GB2312" w:eastAsia="仿宋_GB2312" w:cs="仿宋_GB2312"/>
          <w:b w:val="0"/>
          <w:bCs w:val="0"/>
          <w:i w:val="0"/>
          <w:iCs w:val="0"/>
          <w:caps w:val="0"/>
          <w:color w:val="000000" w:themeColor="text1"/>
          <w:spacing w:val="8"/>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8"/>
          <w:sz w:val="32"/>
          <w:szCs w:val="32"/>
          <w:highlight w:val="none"/>
          <w:shd w:val="clear" w:fill="FFFFFF"/>
          <w:lang w:val="en-US" w:eastAsia="zh-CN"/>
          <w14:textFill>
            <w14:solidFill>
              <w14:schemeClr w14:val="tx1"/>
            </w14:solidFill>
          </w14:textFill>
        </w:rPr>
        <w:t>消防</w:t>
      </w:r>
      <w:r>
        <w:rPr>
          <w:rFonts w:hint="eastAsia" w:ascii="仿宋_GB2312" w:hAnsi="仿宋_GB2312" w:eastAsia="仿宋_GB2312" w:cs="仿宋_GB2312"/>
          <w:b w:val="0"/>
          <w:bCs w:val="0"/>
          <w:i w:val="0"/>
          <w:iCs w:val="0"/>
          <w:caps w:val="0"/>
          <w:color w:val="000000" w:themeColor="text1"/>
          <w:spacing w:val="8"/>
          <w:sz w:val="32"/>
          <w:szCs w:val="32"/>
          <w:highlight w:val="none"/>
          <w:shd w:val="clear" w:fill="FFFFFF"/>
          <w14:textFill>
            <w14:solidFill>
              <w14:schemeClr w14:val="tx1"/>
            </w14:solidFill>
          </w14:textFill>
        </w:rPr>
        <w:t>等重点行业领域重特大事故。</w:t>
      </w:r>
      <w:r>
        <w:rPr>
          <w:rFonts w:hint="eastAsia" w:ascii="仿宋_GB2312" w:hAnsi="仿宋_GB2312" w:eastAsia="仿宋_GB2312" w:cs="仿宋_GB2312"/>
          <w:b w:val="0"/>
          <w:bCs w:val="0"/>
          <w:i w:val="0"/>
          <w:iCs w:val="0"/>
          <w:caps w:val="0"/>
          <w:color w:val="000000" w:themeColor="text1"/>
          <w:spacing w:val="8"/>
          <w:sz w:val="32"/>
          <w:szCs w:val="32"/>
          <w:highlight w:val="none"/>
          <w:shd w:val="clear" w:fill="FFFFFF"/>
          <w:lang w:val="en-US" w:eastAsia="zh-CN"/>
          <w14:textFill>
            <w14:solidFill>
              <w14:schemeClr w14:val="tx1"/>
            </w14:solidFill>
          </w14:textFill>
        </w:rPr>
        <w:t>推动</w:t>
      </w:r>
      <w:r>
        <w:rPr>
          <w:rStyle w:val="19"/>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科技创新，强化数智赋能，</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提升企业“本质安全”水平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强化食品药品安全监管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加强基层监管网络建设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深化消防执法等领域改革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强化应急平台和应急专业队伍建设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8"/>
          <w:sz w:val="32"/>
          <w:szCs w:val="32"/>
          <w:highlight w:val="none"/>
          <w:shd w:val="clear" w:fill="FFFFFF"/>
          <w:lang w:eastAsia="zh-CN"/>
          <w14:textFill>
            <w14:solidFill>
              <w14:schemeClr w14:val="tx1"/>
            </w14:solidFill>
          </w14:textFill>
        </w:rPr>
        <w:t>加强气象、水文、地质灾害监测预报预警，提高防灾减灾救灾和重大突发公共事件处置保障能力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DD766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健全</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社会组织</w:t>
      </w:r>
      <w:r>
        <w:rPr>
          <w:rFonts w:hint="eastAsia" w:ascii="仿宋_GB2312" w:hAnsi="仿宋_GB2312" w:eastAsia="仿宋_GB2312" w:cs="仿宋_GB2312"/>
          <w:b/>
          <w:bCs/>
          <w:color w:val="000000" w:themeColor="text1"/>
          <w:sz w:val="32"/>
          <w:szCs w:val="32"/>
          <w:highlight w:val="none"/>
          <w:lang w:eastAsia="zh-Hans"/>
          <w14:textFill>
            <w14:solidFill>
              <w14:schemeClr w14:val="tx1"/>
            </w14:solidFill>
          </w14:textFill>
        </w:rPr>
        <w:t>体系</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建立健全统一登记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各司其职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协调配合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分级负责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依法监管的社会组织管理体制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推进社会组织自身建设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指导社会组织依法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依章程开展活动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履行社会责任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激发社会组织活力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加大对志愿服务类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慈善公益类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社区事务类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文体活动类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社工类等社会组织扶持力度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发挥其在公共服务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反映利益诉求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规范社会行为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扩大公众参与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增强社会活力等方面的积极作用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力争到20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打造2个及以上特色志愿服务品牌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1D05791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加强和谐社区建设</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深入开展社区民主协商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让广大群众更好地参与基层公共事务管理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加大政府购买服务力度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在服务内容和实效上推动创新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探索建立政府购买社会力量参与社区服务的模式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深入开展文明单位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文明家庭</w:t>
      </w:r>
      <w:r>
        <w:rPr>
          <w:rFonts w:hint="eastAsia" w:ascii="仿宋_GB2312" w:hAnsi="仿宋_GB2312" w:eastAsia="仿宋_GB2312" w:cs="仿宋_GB2312"/>
          <w:color w:val="000000" w:themeColor="text1"/>
          <w:sz w:val="32"/>
          <w:szCs w:val="32"/>
          <w:highlight w:val="none"/>
          <w14:textFill>
            <w14:solidFill>
              <w14:schemeClr w14:val="tx1"/>
            </w14:solidFill>
          </w14:textFill>
        </w:rPr>
        <w:t>等精神文明创建活动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5473559D">
      <w:pPr>
        <w:pStyle w:val="21"/>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17DA4A3D">
      <w:pPr>
        <w:pStyle w:val="22"/>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3B1299B0">
      <w:pP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1FBF5A2B">
      <w:pPr>
        <w:pStyle w:val="21"/>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51CEAAB2">
      <w:pPr>
        <w:pStyle w:val="22"/>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306882B5">
      <w:pP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4D5CC630">
      <w:pPr>
        <w:pStyle w:val="21"/>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7EF22B58">
      <w:pPr>
        <w:pStyle w:val="22"/>
        <w:rPr>
          <w:rFonts w:hint="eastAsia"/>
        </w:rPr>
      </w:pPr>
    </w:p>
    <w:p w14:paraId="669DDB2D">
      <w:pPr>
        <w:pStyle w:val="4"/>
        <w:keepNext/>
        <w:keepLines/>
        <w:pageBreakBefore w:val="0"/>
        <w:widowControl w:val="0"/>
        <w:numPr>
          <w:ilvl w:val="0"/>
          <w:numId w:val="1"/>
        </w:numPr>
        <w:kinsoku/>
        <w:wordWrap/>
        <w:overflowPunct/>
        <w:topLinePunct w:val="0"/>
        <w:autoSpaceDE/>
        <w:autoSpaceDN/>
        <w:bidi w:val="0"/>
        <w:adjustRightInd/>
        <w:snapToGrid/>
        <w:spacing w:before="0" w:after="0" w:line="640" w:lineRule="exact"/>
        <w:ind w:left="0" w:leftChars="0" w:firstLine="0" w:firstLineChars="0"/>
        <w:jc w:val="center"/>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 xml:space="preserve"> </w:t>
      </w:r>
      <w:bookmarkStart w:id="136" w:name="_Toc961112782"/>
      <w:r>
        <w:rPr>
          <w:rFonts w:hint="eastAsia" w:ascii="黑体" w:hAnsi="黑体" w:eastAsia="黑体" w:cs="黑体"/>
          <w:sz w:val="32"/>
          <w:szCs w:val="40"/>
          <w:lang w:val="en-US" w:eastAsia="zh-CN"/>
        </w:rPr>
        <w:t>全</w:t>
      </w:r>
      <w:r>
        <w:rPr>
          <w:rFonts w:hint="eastAsia" w:ascii="黑体" w:hAnsi="黑体" w:eastAsia="黑体" w:cs="黑体"/>
          <w:sz w:val="32"/>
          <w:szCs w:val="40"/>
          <w:lang w:val="en-US" w:eastAsia="zh-Hans"/>
        </w:rPr>
        <w:t>县</w:t>
      </w:r>
      <w:r>
        <w:rPr>
          <w:rFonts w:hint="eastAsia" w:ascii="黑体" w:hAnsi="黑体" w:eastAsia="黑体" w:cs="黑体"/>
          <w:sz w:val="32"/>
          <w:szCs w:val="40"/>
          <w:lang w:val="en-US" w:eastAsia="zh-CN"/>
        </w:rPr>
        <w:t>人民团结起来为实现“十五五”而奋斗</w:t>
      </w:r>
      <w:bookmarkEnd w:id="136"/>
    </w:p>
    <w:p w14:paraId="703E74A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实现“十五五”规划目标任务，必须坚持党的全面领导，充分调动一切积极因素，广泛团结一切可以团结的力量，形成心往一处想、劲往一处使的强大合力，</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激发干事创业的信心和力量</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5E342E67">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CN"/>
          <w14:textFill>
            <w14:solidFill>
              <w14:schemeClr w14:val="tx1"/>
            </w14:solidFill>
          </w14:textFill>
        </w:rPr>
      </w:pPr>
      <w:bookmarkStart w:id="137" w:name="_Toc3321"/>
      <w:bookmarkStart w:id="138" w:name="_Toc31631"/>
      <w:bookmarkStart w:id="139" w:name="_Toc31432"/>
      <w:bookmarkStart w:id="140" w:name="_Toc31298"/>
      <w:bookmarkStart w:id="141" w:name="_Toc25944"/>
      <w:bookmarkStart w:id="142" w:name="_Toc14885"/>
      <w:bookmarkStart w:id="143" w:name="_Toc13269"/>
      <w:bookmarkStart w:id="144" w:name="_Toc16844"/>
      <w:bookmarkStart w:id="145" w:name="_Toc50534340"/>
      <w:r>
        <w:rPr>
          <w:rFonts w:hint="eastAsia" w:ascii="楷体" w:hAnsi="楷体" w:eastAsia="楷体" w:cs="楷体"/>
          <w:color w:val="000000" w:themeColor="text1"/>
          <w:highlight w:val="none"/>
          <w:lang w:val="en-US" w:eastAsia="zh-Hans"/>
          <w14:textFill>
            <w14:solidFill>
              <w14:schemeClr w14:val="tx1"/>
            </w14:solidFill>
          </w14:textFill>
        </w:rPr>
        <w:t>第一节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bookmarkEnd w:id="137"/>
      <w:bookmarkEnd w:id="138"/>
      <w:bookmarkEnd w:id="139"/>
      <w:bookmarkEnd w:id="140"/>
      <w:bookmarkEnd w:id="141"/>
      <w:bookmarkEnd w:id="142"/>
      <w:bookmarkEnd w:id="143"/>
      <w:bookmarkEnd w:id="144"/>
      <w:r>
        <w:rPr>
          <w:rFonts w:hint="default" w:ascii="楷体" w:hAnsi="楷体" w:eastAsia="楷体" w:cs="楷体"/>
          <w:color w:val="000000" w:themeColor="text1"/>
          <w:highlight w:val="none"/>
          <w:lang w:val="en-US" w:eastAsia="zh-CN"/>
          <w14:textFill>
            <w14:solidFill>
              <w14:schemeClr w14:val="tx1"/>
            </w14:solidFill>
          </w14:textFill>
        </w:rPr>
        <w:t xml:space="preserve"> 加强党的全面领导</w:t>
      </w:r>
      <w:bookmarkEnd w:id="145"/>
    </w:p>
    <w:p w14:paraId="0469B64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坚持党把方向、谋大局、定政策、促改革，健全党委研究经济社会发展战略、分析经济形势、</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制定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重大政策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工作机制，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党的领导贯穿规划实施全过程各环节。严格</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执行</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民主集中制，完善科学决策、民主决策、依法决策机制，不断提高决策水平。坚持正确用人导向，完善干部考核评价机制，调整不胜任现职干部，推进领导干部能上能下常态化，建设堪当重任的高素质专业化干部队伍。统筹推进各领域基层党组织建设，增强党组织政治功能和组织功能，发挥党员先锋模范作用。锲而不舍落实中央八项规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及其实施细则</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精神，健全</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作风建设常态化长效化制度机制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。深入开展整治形式主义为基层减负工作，减轻基层负担。始终保持反腐败高压态势，强化政治监督，深入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党风廉政建设和反腐败斗争，一体推进不敢腐、不能腐、不想腐，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以案促改、促治、促建，巩固拓展群众身边不正之风和腐败问题专项整治成果。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全面深化清廉柳城建设，持续营造风清气正的政治生态，为规划实施提供坚强政治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保障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6645B960">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CN"/>
          <w14:textFill>
            <w14:solidFill>
              <w14:schemeClr w14:val="tx1"/>
            </w14:solidFill>
          </w14:textFill>
        </w:rPr>
      </w:pPr>
      <w:bookmarkStart w:id="146" w:name="_Toc1074611815"/>
      <w:r>
        <w:rPr>
          <w:rFonts w:hint="eastAsia" w:ascii="楷体" w:hAnsi="楷体" w:eastAsia="楷体" w:cs="楷体"/>
          <w:color w:val="000000" w:themeColor="text1"/>
          <w:highlight w:val="none"/>
          <w:lang w:val="en-US" w:eastAsia="zh-Hans"/>
          <w14:textFill>
            <w14:solidFill>
              <w14:schemeClr w14:val="tx1"/>
            </w14:solidFill>
          </w14:textFill>
        </w:rPr>
        <w:t>第二节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default" w:ascii="楷体" w:hAnsi="楷体" w:eastAsia="楷体" w:cs="楷体"/>
          <w:color w:val="000000" w:themeColor="text1"/>
          <w:highlight w:val="none"/>
          <w:lang w:val="en-US" w:eastAsia="zh-CN"/>
          <w14:textFill>
            <w14:solidFill>
              <w14:schemeClr w14:val="tx1"/>
            </w14:solidFill>
          </w14:textFill>
        </w:rPr>
        <w:t xml:space="preserve"> 推进社会主义民主政治建设</w:t>
      </w:r>
      <w:bookmarkEnd w:id="146"/>
    </w:p>
    <w:p w14:paraId="6A34FEA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坚持党的领导、人民当家作主、依法治国有机统一，践行全过程人民民主，提升社会主义民主政治建设制度化、规范化和程序化水平。全面落实人民代表大会制度，支持和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保证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人大依法行使职权，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保障人民依法享有的各项民主权利和合法权益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。坚持和完善中国共产党领导的多党合作</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政治协商制度，发挥人民政协</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作为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专门协商机构作用，推动协商民主广泛、多层、制度化发展，提升建言献策质量和凝聚共识水平。健全基层民主制度，保障人民群众依法参与基层公共事务和公益事业管理。构建民意征集、民智汇聚长效机制，拓宽人民群众政治参与渠道。加强和改进党的群团工作，充分发挥工会、共青团、妇联等人民团体的桥梁纽带作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全力支持国防和军队现代化建设，深入开展双拥工作，推动军民融合深度发展。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巩固发展最广泛的爱国统一战线，完善大统战工作格局，加强同民主党派、无党派人士的团结合作，贯彻党的民族、宗教、侨务政策，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广泛凝聚社会各界智慧和力量。</w:t>
      </w:r>
    </w:p>
    <w:p w14:paraId="398574C2">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CN"/>
          <w14:textFill>
            <w14:solidFill>
              <w14:schemeClr w14:val="tx1"/>
            </w14:solidFill>
          </w14:textFill>
        </w:rPr>
      </w:pPr>
      <w:bookmarkStart w:id="147" w:name="_Toc663303435"/>
      <w:r>
        <w:rPr>
          <w:rFonts w:hint="eastAsia" w:ascii="楷体" w:hAnsi="楷体" w:eastAsia="楷体" w:cs="楷体"/>
          <w:color w:val="000000" w:themeColor="text1"/>
          <w:highlight w:val="none"/>
          <w:lang w:val="en-US" w:eastAsia="zh-Hans"/>
          <w14:textFill>
            <w14:solidFill>
              <w14:schemeClr w14:val="tx1"/>
            </w14:solidFill>
          </w14:textFill>
        </w:rPr>
        <w:t>第三节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default" w:ascii="楷体" w:hAnsi="楷体" w:eastAsia="楷体" w:cs="楷体"/>
          <w:color w:val="000000" w:themeColor="text1"/>
          <w:highlight w:val="none"/>
          <w:lang w:val="en-US" w:eastAsia="zh-CN"/>
          <w14:textFill>
            <w14:solidFill>
              <w14:schemeClr w14:val="tx1"/>
            </w14:solidFill>
          </w14:textFill>
        </w:rPr>
        <w:t xml:space="preserve"> 全面加强干部队伍建设</w:t>
      </w:r>
      <w:bookmarkEnd w:id="147"/>
    </w:p>
    <w:p w14:paraId="4262525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破思维定势，勇于创新求变，聚焦发展所需，重点提升干部在产业培育、项目策划、招商引资、服务群众、防范风险等方面的专业素养和实战本领，推动思想解放与能力转型。加强县委党校建设，充分发挥为党育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作用。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以钉钉子精神持续纠治“四风”，出重拳、下狠劲整治“慵、懒、散、推、拖、绕”等顽瘴痼疾，大力弘扬“真抓实干、马上就办、办就办好”的优良作风，以思想大解放、能力大提升、作风大转变为“十五五”经济社会发展提供组织保障。</w:t>
      </w:r>
    </w:p>
    <w:p w14:paraId="65163CCA">
      <w:pPr>
        <w:pStyle w:val="5"/>
        <w:keepNext/>
        <w:keepLines/>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楷体" w:hAnsi="楷体" w:eastAsia="楷体" w:cs="楷体"/>
          <w:color w:val="000000" w:themeColor="text1"/>
          <w:highlight w:val="none"/>
          <w:lang w:val="en-US" w:eastAsia="zh-CN"/>
          <w14:textFill>
            <w14:solidFill>
              <w14:schemeClr w14:val="tx1"/>
            </w14:solidFill>
          </w14:textFill>
        </w:rPr>
      </w:pPr>
      <w:bookmarkStart w:id="148" w:name="_Toc553220468"/>
      <w:r>
        <w:rPr>
          <w:rFonts w:hint="eastAsia" w:ascii="楷体" w:hAnsi="楷体" w:eastAsia="楷体" w:cs="楷体"/>
          <w:color w:val="000000" w:themeColor="text1"/>
          <w:highlight w:val="none"/>
          <w:lang w:val="en-US" w:eastAsia="zh-Hans"/>
          <w14:textFill>
            <w14:solidFill>
              <w14:schemeClr w14:val="tx1"/>
            </w14:solidFill>
          </w14:textFill>
        </w:rPr>
        <w:t>第四节</w:t>
      </w:r>
      <w:r>
        <w:rPr>
          <w:rFonts w:hint="eastAsia" w:ascii="楷体" w:hAnsi="楷体" w:eastAsia="楷体" w:cs="楷体"/>
          <w:color w:val="000000" w:themeColor="text1"/>
          <w:highlight w:val="none"/>
          <w:lang w:val="en-US" w:eastAsia="zh-CN"/>
          <w14:textFill>
            <w14:solidFill>
              <w14:schemeClr w14:val="tx1"/>
            </w14:solidFill>
          </w14:textFill>
        </w:rPr>
        <w:t xml:space="preserve"> </w:t>
      </w:r>
      <w:r>
        <w:rPr>
          <w:rFonts w:hint="default" w:ascii="楷体" w:hAnsi="楷体" w:eastAsia="楷体" w:cs="楷体"/>
          <w:color w:val="000000" w:themeColor="text1"/>
          <w:highlight w:val="none"/>
          <w:lang w:val="en-US" w:eastAsia="zh-CN"/>
          <w14:textFill>
            <w14:solidFill>
              <w14:schemeClr w14:val="tx1"/>
            </w14:solidFill>
          </w14:textFill>
        </w:rPr>
        <w:t xml:space="preserve"> 健全规划制定与落实机制</w:t>
      </w:r>
      <w:bookmarkEnd w:id="148"/>
    </w:p>
    <w:p w14:paraId="50A5CE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科学编制全县规划纲要及各个专项规划，形成定位准确、边界清晰、功能互补、统一衔接的规划体系。完善跨部门统筹协调、政策配套协同、任务一体推进的工作机制，强化项目、资金、人才等关键要素保障。建立科学合理的考核评价体系，加强对规划实施过程的全程监测评估、动态跟踪问效和常态化督促检查，</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建立以</w:t>
      </w:r>
      <w:r>
        <w:rPr>
          <w:rFonts w:hint="eastAsia" w:ascii="仿宋_GB2312" w:hAnsi="仿宋_GB2312" w:eastAsia="仿宋_GB2312" w:cs="仿宋_GB2312"/>
          <w:sz w:val="32"/>
          <w:szCs w:val="32"/>
        </w:rPr>
        <w:t>人大监督、审计监督、社会监督相结合的规划实施监测评估体系，</w:t>
      </w:r>
      <w:r>
        <w:rPr>
          <w:rFonts w:hint="eastAsia" w:ascii="Times New Roman" w:hAnsi="Times New Roman" w:eastAsia="仿宋_GB2312"/>
          <w:b w:val="0"/>
          <w:bCs/>
          <w:sz w:val="32"/>
          <w:szCs w:val="20"/>
          <w:lang w:val="en-US" w:eastAsia="zh-CN"/>
        </w:rPr>
        <w:t>积极做好中期</w:t>
      </w:r>
      <w:r>
        <w:rPr>
          <w:rFonts w:hint="eastAsia" w:ascii="仿宋_GB2312" w:hAnsi="仿宋_GB2312" w:eastAsia="仿宋_GB2312" w:cs="仿宋_GB2312"/>
          <w:sz w:val="32"/>
          <w:szCs w:val="32"/>
        </w:rPr>
        <w:t>评估和动态调整</w:t>
      </w:r>
      <w:r>
        <w:rPr>
          <w:rFonts w:hint="eastAsia" w:ascii="Times New Roman" w:hAnsi="Times New Roman" w:eastAsia="仿宋_GB2312"/>
          <w:b w:val="0"/>
          <w:bCs/>
          <w:sz w:val="32"/>
          <w:szCs w:val="20"/>
          <w:lang w:val="en-US" w:eastAsia="zh-CN"/>
        </w:rPr>
        <w:t>督促指导和评估工作，分析检查规划实施效果，及时找准差距、调整路径、完善措施，</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确保“十五五”时期各项决策部署落到实处，推动本</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规划</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明确的战略思路、主要目标</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任务</w:t>
      </w:r>
      <w:r>
        <w:rPr>
          <w:rFonts w:hint="default" w:ascii="Times New Roman" w:hAnsi="Times New Roman" w:eastAsia="仿宋_GB2312" w:cs="Times New Roman"/>
          <w:color w:val="000000" w:themeColor="text1"/>
          <w:sz w:val="32"/>
          <w:szCs w:val="32"/>
          <w:highlight w:val="none"/>
          <w:lang w:eastAsia="zh-Hans"/>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重点项目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和重大举措</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全面贯彻、有效执行</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13740E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实现“十五五”规划目标任务，使命光荣，责任重大。全县</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各级党组织和广大党员干部群众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要更加紧密地团结在以习近平同志为核心的党中央周围，在县委的坚强领导下，</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牢固树立“实干为要、创新为魂，用业绩说话、让人民评价”</w:t>
      </w:r>
      <w:r>
        <w:rPr>
          <w:rFonts w:hint="eastAsia" w:ascii="Times New Roman" w:hAnsi="Times New Roman" w:eastAsia="仿宋_GB2312" w:cs="Times New Roman"/>
          <w:color w:val="000000" w:themeColor="text1"/>
          <w:sz w:val="32"/>
          <w:szCs w:val="32"/>
          <w:highlight w:val="none"/>
          <w:lang w:eastAsia="zh-Hans"/>
          <w14:textFill>
            <w14:solidFill>
              <w14:schemeClr w14:val="tx1"/>
            </w14:solidFill>
          </w14:textFill>
        </w:rPr>
        <w:t>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鲜明导向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，坚定信心、锐意进取，埋头苦干、勇毅前行，为奋力谱写中国式现代化柳城新篇章而努力奋斗！</w:t>
      </w:r>
    </w:p>
    <w:p w14:paraId="0965C813">
      <w:pPr>
        <w:pStyle w:val="21"/>
        <w:rPr>
          <w:rFonts w:hint="default"/>
          <w:lang w:val="en-US" w:eastAsia="zh-CN"/>
        </w:rPr>
      </w:pPr>
    </w:p>
    <w:p w14:paraId="12DB8B30">
      <w:pPr>
        <w:pStyle w:val="22"/>
        <w:rPr>
          <w:rFonts w:hint="default"/>
          <w:lang w:val="en-US" w:eastAsia="zh-CN"/>
        </w:rPr>
      </w:pPr>
    </w:p>
    <w:p w14:paraId="50ED1FCD">
      <w:pPr>
        <w:rPr>
          <w:rFonts w:hint="default"/>
          <w:lang w:val="en-US" w:eastAsia="zh-CN"/>
        </w:rPr>
      </w:pPr>
    </w:p>
    <w:p w14:paraId="5D8F32C1">
      <w:pPr>
        <w:pStyle w:val="2"/>
        <w:rPr>
          <w:rFonts w:hint="default"/>
          <w:lang w:val="en-US" w:eastAsia="zh-CN"/>
        </w:rPr>
      </w:pPr>
    </w:p>
    <w:p w14:paraId="5D8FDA7A">
      <w:pPr>
        <w:pStyle w:val="3"/>
        <w:rPr>
          <w:rFonts w:hint="default"/>
          <w:lang w:val="en-US" w:eastAsia="zh-CN"/>
        </w:rPr>
      </w:pPr>
    </w:p>
    <w:p w14:paraId="6275D90F">
      <w:pPr>
        <w:rPr>
          <w:rFonts w:hint="default"/>
          <w:lang w:val="en-US" w:eastAsia="zh-CN"/>
        </w:rPr>
      </w:pPr>
    </w:p>
    <w:p w14:paraId="0BD2640C">
      <w:pPr>
        <w:pStyle w:val="2"/>
        <w:rPr>
          <w:rFonts w:hint="default"/>
          <w:lang w:val="en-US" w:eastAsia="zh-CN"/>
        </w:rPr>
      </w:pPr>
    </w:p>
    <w:p w14:paraId="568BCF30">
      <w:pPr>
        <w:pStyle w:val="3"/>
        <w:pBdr>
          <w:top w:val="none" w:color="auto" w:sz="0" w:space="0"/>
          <w:left w:val="none" w:color="auto" w:sz="0" w:space="0"/>
          <w:bottom w:val="none" w:color="auto" w:sz="0" w:space="0"/>
          <w:right w:val="none" w:color="auto" w:sz="0" w:space="0"/>
          <w:between w:val="none" w:color="auto" w:sz="0" w:space="0"/>
        </w:pBdr>
        <w:ind w:left="0" w:leftChars="0" w:firstLine="0" w:firstLineChars="0"/>
        <w:jc w:val="both"/>
        <w:rPr>
          <w:rFonts w:hint="default"/>
          <w:lang w:val="en-US" w:eastAsia="zh-CN"/>
        </w:rPr>
      </w:pPr>
    </w:p>
    <w:sectPr>
      <w:footerReference r:id="rId7" w:type="default"/>
      <w:pgSz w:w="11906" w:h="16838"/>
      <w:pgMar w:top="1440" w:right="1689" w:bottom="1440" w:left="1689"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8">
    <w:p/>
  </w:endnote>
  <w:endnote w:type="continuationSeparator" w:id="9">
    <w:p/>
  </w:endnote>
  <w:endnote w:id="0">
    <w:p w14:paraId="5169FE9F">
      <w:pPr>
        <w:pStyle w:val="4"/>
        <w:adjustRightInd w:val="0"/>
        <w:snapToGrid w:val="0"/>
        <w:spacing w:before="0" w:line="580" w:lineRule="exact"/>
        <w:ind w:firstLine="0" w:firstLineChars="0"/>
        <w:jc w:val="center"/>
        <w:rPr>
          <w:rFonts w:hint="eastAsia" w:ascii="方正小标宋简体" w:hAnsi="方正小标宋简体" w:eastAsia="方正小标宋简体" w:cs="方正小标宋简体"/>
          <w:b w:val="0"/>
          <w:sz w:val="44"/>
          <w:szCs w:val="52"/>
          <w:highlight w:val="none"/>
          <w:lang w:val="en-US" w:eastAsia="zh-CN"/>
        </w:rPr>
      </w:pPr>
      <w:r>
        <w:rPr>
          <w:rFonts w:hint="eastAsia" w:ascii="方正小标宋简体" w:hAnsi="方正小标宋简体" w:eastAsia="方正小标宋简体" w:cs="方正小标宋简体"/>
          <w:b w:val="0"/>
          <w:sz w:val="44"/>
          <w:szCs w:val="52"/>
          <w:highlight w:val="none"/>
          <w:lang w:val="en-US" w:eastAsia="zh-CN"/>
        </w:rPr>
        <w:t>名词解释</w:t>
      </w:r>
    </w:p>
    <w:p w14:paraId="6EB28347">
      <w:pPr>
        <w:pStyle w:val="2"/>
        <w:rPr>
          <w:rFonts w:hint="eastAsia"/>
          <w:highlight w:val="none"/>
        </w:rPr>
      </w:pPr>
    </w:p>
    <w:p w14:paraId="752BE701">
      <w:pPr>
        <w:keepNext w:val="0"/>
        <w:keepLines w:val="0"/>
        <w:pageBreakBefore w:val="0"/>
        <w:widowControl w:val="0"/>
        <w:kinsoku/>
        <w:wordWrap/>
        <w:overflowPunct/>
        <w:topLinePunct w:val="0"/>
        <w:autoSpaceDE/>
        <w:autoSpaceDN/>
        <w:bidi w:val="0"/>
        <w:adjustRightInd/>
        <w:snapToGrid/>
        <w:spacing w:after="200" w:line="480" w:lineRule="exact"/>
        <w:textAlignment w:val="auto"/>
        <w:rPr>
          <w:highlight w:val="none"/>
        </w:rPr>
      </w:pPr>
      <w:r>
        <w:rPr>
          <w:rFonts w:hint="eastAsia" w:ascii="Times New Roman" w:hAnsi="Times New Roman" w:eastAsia="仿宋_GB2312" w:cs="Times New Roman"/>
          <w:b/>
          <w:bCs/>
          <w:color w:val="auto"/>
          <w:sz w:val="32"/>
          <w:szCs w:val="32"/>
          <w:highlight w:val="none"/>
          <w:u w:val="none" w:color="auto"/>
          <w:lang w:val="en-US" w:eastAsia="zh-CN"/>
        </w:rPr>
        <w:t>[</w:t>
      </w:r>
      <w:r>
        <w:rPr>
          <w:rFonts w:hint="eastAsia" w:ascii="Times New Roman" w:hAnsi="Times New Roman" w:eastAsia="仿宋_GB2312" w:cs="Times New Roman"/>
          <w:b/>
          <w:bCs/>
          <w:color w:val="auto"/>
          <w:sz w:val="32"/>
          <w:szCs w:val="32"/>
          <w:highlight w:val="none"/>
          <w:u w:val="none" w:color="auto"/>
          <w:lang w:val="en-US" w:eastAsia="zh-CN"/>
        </w:rPr>
        <w:endnoteRef/>
      </w:r>
      <w:r>
        <w:rPr>
          <w:rFonts w:hint="eastAsia" w:ascii="Times New Roman" w:hAnsi="Times New Roman" w:eastAsia="仿宋_GB2312" w:cs="Times New Roman"/>
          <w:b/>
          <w:bCs/>
          <w:color w:val="auto"/>
          <w:sz w:val="32"/>
          <w:szCs w:val="32"/>
          <w:highlight w:val="none"/>
          <w:u w:val="none" w:color="auto"/>
          <w:lang w:val="en-US" w:eastAsia="zh-CN"/>
        </w:rPr>
        <w:t>]柳州“一主三新”：</w:t>
      </w:r>
      <w:r>
        <w:rPr>
          <w:rFonts w:hint="eastAsia" w:ascii="仿宋_GB2312" w:hAnsi="仿宋_GB2312" w:eastAsia="仿宋_GB2312" w:cs="仿宋_GB2312"/>
          <w:sz w:val="32"/>
          <w:highlight w:val="none"/>
        </w:rPr>
        <w:t>一主是指柳州市中心主城区，三新是指柳东新区、北部生态新区、柳江城区。</w:t>
      </w:r>
    </w:p>
  </w:endnote>
  <w:endnote w:id="1">
    <w:p w14:paraId="1FE71A50">
      <w:pPr>
        <w:keepNext w:val="0"/>
        <w:keepLines w:val="0"/>
        <w:pageBreakBefore w:val="0"/>
        <w:widowControl w:val="0"/>
        <w:kinsoku/>
        <w:wordWrap/>
        <w:overflowPunct/>
        <w:topLinePunct w:val="0"/>
        <w:autoSpaceDE/>
        <w:autoSpaceDN/>
        <w:bidi w:val="0"/>
        <w:adjustRightInd/>
        <w:snapToGrid/>
        <w:spacing w:after="200" w:line="480" w:lineRule="exact"/>
        <w:textAlignment w:val="auto"/>
        <w:rPr>
          <w:highlight w:val="none"/>
        </w:rPr>
      </w:pPr>
      <w:r>
        <w:rPr>
          <w:rFonts w:hint="eastAsia" w:ascii="Times New Roman" w:hAnsi="Times New Roman" w:eastAsia="仿宋_GB2312" w:cs="Times New Roman"/>
          <w:b/>
          <w:bCs/>
          <w:color w:val="auto"/>
          <w:sz w:val="32"/>
          <w:szCs w:val="32"/>
          <w:highlight w:val="none"/>
          <w:u w:val="none" w:color="auto"/>
          <w:lang w:val="en-US" w:eastAsia="zh-CN"/>
        </w:rPr>
        <w:t>[</w:t>
      </w:r>
      <w:r>
        <w:rPr>
          <w:rFonts w:hint="eastAsia" w:ascii="Times New Roman" w:hAnsi="Times New Roman" w:eastAsia="仿宋_GB2312" w:cs="Times New Roman"/>
          <w:b/>
          <w:bCs/>
          <w:color w:val="auto"/>
          <w:sz w:val="32"/>
          <w:szCs w:val="32"/>
          <w:highlight w:val="none"/>
          <w:u w:val="none" w:color="auto"/>
          <w:lang w:val="en-US" w:eastAsia="zh-CN"/>
        </w:rPr>
        <w:endnoteRef/>
      </w:r>
      <w:r>
        <w:rPr>
          <w:rFonts w:hint="eastAsia" w:ascii="Times New Roman" w:hAnsi="Times New Roman" w:eastAsia="仿宋_GB2312" w:cs="Times New Roman"/>
          <w:b/>
          <w:bCs/>
          <w:color w:val="auto"/>
          <w:sz w:val="32"/>
          <w:szCs w:val="32"/>
          <w:highlight w:val="none"/>
          <w:u w:val="none" w:color="auto"/>
          <w:lang w:val="en-US" w:eastAsia="zh-CN"/>
        </w:rPr>
        <w:t>]柳州市“一核两翼”：</w:t>
      </w:r>
      <w:r>
        <w:rPr>
          <w:rFonts w:hint="eastAsia" w:ascii="仿宋_GB2312" w:hAnsi="仿宋_GB2312" w:eastAsia="仿宋_GB2312" w:cs="仿宋_GB2312"/>
          <w:sz w:val="32"/>
          <w:highlight w:val="none"/>
        </w:rPr>
        <w:t>一核是指柳州市中心城区；两翼是指鹿寨县、柳城县。</w:t>
      </w:r>
    </w:p>
  </w:endnote>
  <w:endnote w:id="2">
    <w:p w14:paraId="799D0A96">
      <w:pPr>
        <w:keepNext w:val="0"/>
        <w:keepLines w:val="0"/>
        <w:pageBreakBefore w:val="0"/>
        <w:widowControl w:val="0"/>
        <w:kinsoku/>
        <w:wordWrap/>
        <w:overflowPunct/>
        <w:topLinePunct w:val="0"/>
        <w:autoSpaceDE/>
        <w:autoSpaceDN/>
        <w:bidi w:val="0"/>
        <w:adjustRightInd/>
        <w:snapToGrid/>
        <w:spacing w:after="200" w:line="480" w:lineRule="exact"/>
        <w:textAlignment w:val="auto"/>
        <w:rPr>
          <w:highlight w:val="none"/>
        </w:rPr>
      </w:pPr>
      <w:r>
        <w:rPr>
          <w:rFonts w:hint="eastAsia" w:ascii="Times New Roman" w:hAnsi="Times New Roman" w:eastAsia="仿宋_GB2312" w:cs="Times New Roman"/>
          <w:b/>
          <w:bCs/>
          <w:color w:val="auto"/>
          <w:sz w:val="32"/>
          <w:szCs w:val="32"/>
          <w:highlight w:val="none"/>
          <w:u w:val="none" w:color="auto"/>
          <w:lang w:val="en-US" w:eastAsia="zh-CN"/>
        </w:rPr>
        <w:t>[</w:t>
      </w:r>
      <w:r>
        <w:rPr>
          <w:rFonts w:hint="eastAsia" w:ascii="Times New Roman" w:hAnsi="Times New Roman" w:eastAsia="仿宋_GB2312" w:cs="Times New Roman"/>
          <w:b/>
          <w:bCs/>
          <w:color w:val="auto"/>
          <w:sz w:val="32"/>
          <w:szCs w:val="32"/>
          <w:highlight w:val="none"/>
          <w:u w:val="none" w:color="auto"/>
          <w:lang w:val="en-US" w:eastAsia="zh-CN"/>
        </w:rPr>
        <w:endnoteRef/>
      </w:r>
      <w:r>
        <w:rPr>
          <w:rFonts w:hint="eastAsia" w:ascii="Times New Roman" w:hAnsi="Times New Roman" w:eastAsia="仿宋_GB2312" w:cs="Times New Roman"/>
          <w:b/>
          <w:bCs/>
          <w:color w:val="auto"/>
          <w:sz w:val="32"/>
          <w:szCs w:val="32"/>
          <w:highlight w:val="none"/>
          <w:u w:val="none" w:color="auto"/>
          <w:lang w:val="en-US" w:eastAsia="zh-CN"/>
        </w:rPr>
        <w:t>]“三企入桂”行动：</w:t>
      </w:r>
      <w:r>
        <w:rPr>
          <w:rFonts w:hint="eastAsia" w:ascii="仿宋_GB2312" w:hAnsi="仿宋_GB2312" w:eastAsia="仿宋_GB2312" w:cs="仿宋_GB2312"/>
          <w:sz w:val="32"/>
          <w:highlight w:val="none"/>
        </w:rPr>
        <w:t>央企入桂、民企入桂、湾企入桂。</w:t>
      </w:r>
    </w:p>
  </w:endnote>
  <w:endnote w:id="3">
    <w:p w14:paraId="5A78A651">
      <w:pPr>
        <w:keepNext w:val="0"/>
        <w:keepLines w:val="0"/>
        <w:pageBreakBefore w:val="0"/>
        <w:widowControl w:val="0"/>
        <w:kinsoku/>
        <w:wordWrap/>
        <w:overflowPunct/>
        <w:topLinePunct w:val="0"/>
        <w:autoSpaceDE/>
        <w:autoSpaceDN/>
        <w:bidi w:val="0"/>
        <w:adjustRightInd/>
        <w:snapToGrid/>
        <w:spacing w:after="200" w:line="480" w:lineRule="exact"/>
        <w:textAlignment w:val="auto"/>
        <w:rPr>
          <w:rFonts w:hint="eastAsia" w:ascii="仿宋_GB2312" w:hAnsi="仿宋_GB2312" w:eastAsia="仿宋_GB2312" w:cs="仿宋_GB2312"/>
          <w:b/>
          <w:bCs/>
          <w:color w:val="FF0000"/>
          <w:sz w:val="30"/>
          <w:szCs w:val="30"/>
          <w:highlight w:val="none"/>
          <w:lang w:val="en-US" w:eastAsia="zh-CN"/>
        </w:rPr>
      </w:pPr>
      <w:r>
        <w:rPr>
          <w:rFonts w:hint="eastAsia" w:ascii="Times New Roman" w:hAnsi="Times New Roman" w:eastAsia="仿宋_GB2312" w:cs="Times New Roman"/>
          <w:b/>
          <w:bCs/>
          <w:color w:val="auto"/>
          <w:sz w:val="32"/>
          <w:szCs w:val="32"/>
          <w:highlight w:val="none"/>
          <w:u w:val="none" w:color="auto"/>
          <w:lang w:val="en-US" w:eastAsia="zh-CN"/>
        </w:rPr>
        <w:t>[</w:t>
      </w:r>
      <w:r>
        <w:rPr>
          <w:rFonts w:hint="eastAsia" w:ascii="Times New Roman" w:hAnsi="Times New Roman" w:eastAsia="仿宋_GB2312" w:cs="Times New Roman"/>
          <w:b/>
          <w:bCs/>
          <w:color w:val="auto"/>
          <w:sz w:val="32"/>
          <w:szCs w:val="32"/>
          <w:highlight w:val="none"/>
          <w:u w:val="none" w:color="auto"/>
          <w:lang w:val="en-US" w:eastAsia="zh-CN"/>
        </w:rPr>
        <w:endnoteRef/>
      </w:r>
      <w:r>
        <w:rPr>
          <w:rFonts w:hint="eastAsia" w:ascii="Times New Roman" w:hAnsi="Times New Roman" w:eastAsia="仿宋_GB2312" w:cs="Times New Roman"/>
          <w:b/>
          <w:bCs/>
          <w:color w:val="auto"/>
          <w:sz w:val="32"/>
          <w:szCs w:val="32"/>
          <w:highlight w:val="none"/>
          <w:u w:val="none" w:color="auto"/>
          <w:lang w:val="en-US" w:eastAsia="zh-CN"/>
        </w:rPr>
        <w:t>]“两轴三板块”：</w:t>
      </w:r>
      <w:r>
        <w:rPr>
          <w:rFonts w:hint="eastAsia" w:ascii="仿宋_GB2312" w:hAnsi="仿宋_GB2312" w:eastAsia="仿宋_GB2312" w:cs="仿宋_GB2312"/>
          <w:sz w:val="32"/>
          <w:highlight w:val="none"/>
        </w:rPr>
        <w:t>以融江河和河东大道南（县住房城乡建设局至柳城碧桂园）为两轴，将县城分为三大板块，即河西产城融合发展板块、当前人口较为集中的中心城区板块和城东新区板块。</w:t>
      </w:r>
    </w:p>
    <w:p w14:paraId="6DAF492F">
      <w:pPr>
        <w:keepNext w:val="0"/>
        <w:keepLines w:val="0"/>
        <w:pageBreakBefore w:val="0"/>
        <w:widowControl w:val="0"/>
        <w:kinsoku/>
        <w:wordWrap/>
        <w:overflowPunct/>
        <w:topLinePunct w:val="0"/>
        <w:bidi w:val="0"/>
        <w:adjustRightInd/>
        <w:snapToGrid/>
        <w:spacing w:line="520" w:lineRule="exact"/>
        <w:textAlignment w:val="auto"/>
        <w:rPr>
          <w:rFonts w:hint="eastAsia" w:ascii="仿宋_GB2312" w:hAnsi="仿宋_GB2312" w:eastAsia="仿宋_GB2312" w:cs="仿宋_GB2312"/>
          <w:b/>
          <w:bCs/>
          <w:color w:val="FF0000"/>
          <w:sz w:val="30"/>
          <w:szCs w:val="30"/>
          <w:highlight w:val="none"/>
          <w:lang w:val="en-US" w:eastAsia="zh-CN"/>
        </w:rPr>
      </w:pPr>
    </w:p>
    <w:p w14:paraId="0D46F914">
      <w:pPr>
        <w:keepNext w:val="0"/>
        <w:keepLines w:val="0"/>
        <w:pageBreakBefore w:val="0"/>
        <w:widowControl w:val="0"/>
        <w:kinsoku/>
        <w:wordWrap/>
        <w:overflowPunct/>
        <w:topLinePunct w:val="0"/>
        <w:bidi w:val="0"/>
        <w:adjustRightInd/>
        <w:snapToGrid/>
        <w:spacing w:line="520" w:lineRule="exact"/>
        <w:textAlignment w:val="auto"/>
        <w:rPr>
          <w:rFonts w:hint="default" w:eastAsia="仿宋_GB2312"/>
          <w:color w:val="000000" w:themeColor="text1"/>
          <w:sz w:val="30"/>
          <w:szCs w:val="30"/>
          <w:highlight w:val="none"/>
          <w:lang w:val="en-US" w:eastAsia="zh-CN"/>
          <w14:textFill>
            <w14:solidFill>
              <w14:schemeClr w14:val="tx1"/>
            </w14:solidFill>
          </w14:textFil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roma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DC49">
    <w:pPr>
      <w:spacing w:line="164" w:lineRule="auto"/>
      <w:rPr>
        <w:rFonts w:ascii="Arial" w:hAnsi="Arial" w:eastAsia="Arial" w:cs="Arial"/>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A9DAC">
    <w:pPr>
      <w:spacing w:line="164" w:lineRule="auto"/>
      <w:rPr>
        <w:rFonts w:ascii="Arial" w:hAnsi="Arial" w:eastAsia="Arial" w:cs="Arial"/>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C1C7">
    <w:pPr>
      <w:spacing w:line="164" w:lineRule="auto"/>
      <w:rPr>
        <w:rFonts w:ascii="Arial" w:hAnsi="Arial" w:eastAsia="Arial" w:cs="Arial"/>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2F3B2">
                          <w:pPr>
                            <w:pStyle w:val="10"/>
                            <w:rPr>
                              <w:rFonts w:hint="default" w:ascii="Times New Roman" w:hAnsi="Times New Roman" w:cs="Times New Roman"/>
                              <w:color w:val="auto"/>
                              <w:sz w:val="22"/>
                              <w:szCs w:val="32"/>
                            </w:rPr>
                          </w:pPr>
                          <w:r>
                            <w:rPr>
                              <w:rFonts w:hint="default" w:ascii="Times New Roman" w:hAnsi="Times New Roman" w:cs="Times New Roman"/>
                              <w:color w:val="auto"/>
                              <w:sz w:val="22"/>
                              <w:szCs w:val="32"/>
                            </w:rPr>
                            <w:t xml:space="preserve">— </w:t>
                          </w:r>
                          <w:r>
                            <w:rPr>
                              <w:rFonts w:hint="default" w:ascii="Times New Roman" w:hAnsi="Times New Roman" w:cs="Times New Roman"/>
                              <w:color w:val="auto"/>
                              <w:sz w:val="22"/>
                              <w:szCs w:val="32"/>
                            </w:rPr>
                            <w:fldChar w:fldCharType="begin"/>
                          </w:r>
                          <w:r>
                            <w:rPr>
                              <w:rFonts w:hint="default" w:ascii="Times New Roman" w:hAnsi="Times New Roman" w:cs="Times New Roman"/>
                              <w:color w:val="auto"/>
                              <w:sz w:val="22"/>
                              <w:szCs w:val="32"/>
                            </w:rPr>
                            <w:instrText xml:space="preserve"> PAGE  \* MERGEFORMAT </w:instrText>
                          </w:r>
                          <w:r>
                            <w:rPr>
                              <w:rFonts w:hint="default" w:ascii="Times New Roman" w:hAnsi="Times New Roman" w:cs="Times New Roman"/>
                              <w:color w:val="auto"/>
                              <w:sz w:val="22"/>
                              <w:szCs w:val="32"/>
                            </w:rPr>
                            <w:fldChar w:fldCharType="separate"/>
                          </w:r>
                          <w:r>
                            <w:rPr>
                              <w:rFonts w:hint="default" w:ascii="Times New Roman" w:hAnsi="Times New Roman" w:cs="Times New Roman"/>
                              <w:color w:val="auto"/>
                              <w:sz w:val="22"/>
                              <w:szCs w:val="32"/>
                            </w:rPr>
                            <w:t>1</w:t>
                          </w:r>
                          <w:r>
                            <w:rPr>
                              <w:rFonts w:hint="default" w:ascii="Times New Roman" w:hAnsi="Times New Roman" w:cs="Times New Roman"/>
                              <w:color w:val="auto"/>
                              <w:sz w:val="22"/>
                              <w:szCs w:val="32"/>
                            </w:rPr>
                            <w:fldChar w:fldCharType="end"/>
                          </w:r>
                          <w:r>
                            <w:rPr>
                              <w:rFonts w:hint="default" w:ascii="Times New Roman" w:hAnsi="Times New Roman" w:cs="Times New Roman"/>
                              <w:color w:val="auto"/>
                              <w:sz w:val="2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0A2F3B2">
                    <w:pPr>
                      <w:pStyle w:val="10"/>
                      <w:rPr>
                        <w:rFonts w:hint="default" w:ascii="Times New Roman" w:hAnsi="Times New Roman" w:cs="Times New Roman"/>
                        <w:color w:val="auto"/>
                        <w:sz w:val="22"/>
                        <w:szCs w:val="32"/>
                      </w:rPr>
                    </w:pPr>
                    <w:r>
                      <w:rPr>
                        <w:rFonts w:hint="default" w:ascii="Times New Roman" w:hAnsi="Times New Roman" w:cs="Times New Roman"/>
                        <w:color w:val="auto"/>
                        <w:sz w:val="22"/>
                        <w:szCs w:val="32"/>
                      </w:rPr>
                      <w:t xml:space="preserve">— </w:t>
                    </w:r>
                    <w:r>
                      <w:rPr>
                        <w:rFonts w:hint="default" w:ascii="Times New Roman" w:hAnsi="Times New Roman" w:cs="Times New Roman"/>
                        <w:color w:val="auto"/>
                        <w:sz w:val="22"/>
                        <w:szCs w:val="32"/>
                      </w:rPr>
                      <w:fldChar w:fldCharType="begin"/>
                    </w:r>
                    <w:r>
                      <w:rPr>
                        <w:rFonts w:hint="default" w:ascii="Times New Roman" w:hAnsi="Times New Roman" w:cs="Times New Roman"/>
                        <w:color w:val="auto"/>
                        <w:sz w:val="22"/>
                        <w:szCs w:val="32"/>
                      </w:rPr>
                      <w:instrText xml:space="preserve"> PAGE  \* MERGEFORMAT </w:instrText>
                    </w:r>
                    <w:r>
                      <w:rPr>
                        <w:rFonts w:hint="default" w:ascii="Times New Roman" w:hAnsi="Times New Roman" w:cs="Times New Roman"/>
                        <w:color w:val="auto"/>
                        <w:sz w:val="22"/>
                        <w:szCs w:val="32"/>
                      </w:rPr>
                      <w:fldChar w:fldCharType="separate"/>
                    </w:r>
                    <w:r>
                      <w:rPr>
                        <w:rFonts w:hint="default" w:ascii="Times New Roman" w:hAnsi="Times New Roman" w:cs="Times New Roman"/>
                        <w:color w:val="auto"/>
                        <w:sz w:val="22"/>
                        <w:szCs w:val="32"/>
                      </w:rPr>
                      <w:t>1</w:t>
                    </w:r>
                    <w:r>
                      <w:rPr>
                        <w:rFonts w:hint="default" w:ascii="Times New Roman" w:hAnsi="Times New Roman" w:cs="Times New Roman"/>
                        <w:color w:val="auto"/>
                        <w:sz w:val="22"/>
                        <w:szCs w:val="32"/>
                      </w:rPr>
                      <w:fldChar w:fldCharType="end"/>
                    </w:r>
                    <w:r>
                      <w:rPr>
                        <w:rFonts w:hint="default" w:ascii="Times New Roman" w:hAnsi="Times New Roman" w:cs="Times New Roman"/>
                        <w:color w:val="auto"/>
                        <w:sz w:val="2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7170C"/>
    <w:multiLevelType w:val="multilevel"/>
    <w:tmpl w:val="C507170C"/>
    <w:lvl w:ilvl="0" w:tentative="0">
      <w:start w:val="1"/>
      <w:numFmt w:val="chineseCounting"/>
      <w:suff w:val="nothing"/>
      <w:lvlText w:val="第%1章 "/>
      <w:lvlJc w:val="left"/>
      <w:pPr>
        <w:ind w:left="0" w:firstLine="0"/>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8"/>
    <w:endnote w:id="9"/>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326FBF"/>
    <w:rsid w:val="00042539"/>
    <w:rsid w:val="00091883"/>
    <w:rsid w:val="001C66E0"/>
    <w:rsid w:val="001D740C"/>
    <w:rsid w:val="001F1BC1"/>
    <w:rsid w:val="0026154C"/>
    <w:rsid w:val="00284A4F"/>
    <w:rsid w:val="002A37D5"/>
    <w:rsid w:val="002B4929"/>
    <w:rsid w:val="002D0ED7"/>
    <w:rsid w:val="003D1171"/>
    <w:rsid w:val="003E0886"/>
    <w:rsid w:val="003F4674"/>
    <w:rsid w:val="004B3D0A"/>
    <w:rsid w:val="004C398A"/>
    <w:rsid w:val="004F490E"/>
    <w:rsid w:val="00501EE6"/>
    <w:rsid w:val="006954B8"/>
    <w:rsid w:val="006A67BD"/>
    <w:rsid w:val="006C6CC2"/>
    <w:rsid w:val="006D0CE9"/>
    <w:rsid w:val="006F2C45"/>
    <w:rsid w:val="007156DE"/>
    <w:rsid w:val="00733E26"/>
    <w:rsid w:val="00785AD3"/>
    <w:rsid w:val="008244AC"/>
    <w:rsid w:val="008322BB"/>
    <w:rsid w:val="008A1270"/>
    <w:rsid w:val="008A4AF3"/>
    <w:rsid w:val="008C7FF6"/>
    <w:rsid w:val="008E7C76"/>
    <w:rsid w:val="00986007"/>
    <w:rsid w:val="00995688"/>
    <w:rsid w:val="009B47FF"/>
    <w:rsid w:val="009D248F"/>
    <w:rsid w:val="009E7F11"/>
    <w:rsid w:val="00B014B0"/>
    <w:rsid w:val="00B249B3"/>
    <w:rsid w:val="00B9653C"/>
    <w:rsid w:val="00BE429C"/>
    <w:rsid w:val="00C448CD"/>
    <w:rsid w:val="00C5234F"/>
    <w:rsid w:val="00C967D6"/>
    <w:rsid w:val="00CB77BE"/>
    <w:rsid w:val="00CC775B"/>
    <w:rsid w:val="00CE367A"/>
    <w:rsid w:val="00CF16A4"/>
    <w:rsid w:val="00D17466"/>
    <w:rsid w:val="00DB6195"/>
    <w:rsid w:val="00E041FD"/>
    <w:rsid w:val="00EC5A91"/>
    <w:rsid w:val="00F471FC"/>
    <w:rsid w:val="00FC02AA"/>
    <w:rsid w:val="00FF4AB2"/>
    <w:rsid w:val="0100390C"/>
    <w:rsid w:val="01006CB0"/>
    <w:rsid w:val="01017FB5"/>
    <w:rsid w:val="01025A37"/>
    <w:rsid w:val="010975C0"/>
    <w:rsid w:val="010E1128"/>
    <w:rsid w:val="010E72CB"/>
    <w:rsid w:val="010F7FF3"/>
    <w:rsid w:val="01101675"/>
    <w:rsid w:val="01104365"/>
    <w:rsid w:val="011A30DE"/>
    <w:rsid w:val="011D6260"/>
    <w:rsid w:val="011E6068"/>
    <w:rsid w:val="011F7565"/>
    <w:rsid w:val="01284C10"/>
    <w:rsid w:val="012B0DF9"/>
    <w:rsid w:val="012D4C9E"/>
    <w:rsid w:val="0130075E"/>
    <w:rsid w:val="01305551"/>
    <w:rsid w:val="0131747F"/>
    <w:rsid w:val="0133398C"/>
    <w:rsid w:val="01345E86"/>
    <w:rsid w:val="013B7B59"/>
    <w:rsid w:val="01420A1F"/>
    <w:rsid w:val="014903A9"/>
    <w:rsid w:val="01583748"/>
    <w:rsid w:val="01595F68"/>
    <w:rsid w:val="0160298A"/>
    <w:rsid w:val="01617E13"/>
    <w:rsid w:val="016853DB"/>
    <w:rsid w:val="01686163"/>
    <w:rsid w:val="01695955"/>
    <w:rsid w:val="016A6360"/>
    <w:rsid w:val="01757F74"/>
    <w:rsid w:val="01762172"/>
    <w:rsid w:val="01806305"/>
    <w:rsid w:val="01823A06"/>
    <w:rsid w:val="01846F0A"/>
    <w:rsid w:val="018A376C"/>
    <w:rsid w:val="018A4696"/>
    <w:rsid w:val="0194674A"/>
    <w:rsid w:val="01981D96"/>
    <w:rsid w:val="01A06E9D"/>
    <w:rsid w:val="01B56049"/>
    <w:rsid w:val="01B76BC6"/>
    <w:rsid w:val="01B7C9FD"/>
    <w:rsid w:val="01B976C9"/>
    <w:rsid w:val="01BD33DF"/>
    <w:rsid w:val="01C205FE"/>
    <w:rsid w:val="01C866F9"/>
    <w:rsid w:val="01CC0983"/>
    <w:rsid w:val="01CE0603"/>
    <w:rsid w:val="01DA571A"/>
    <w:rsid w:val="01DB2E0E"/>
    <w:rsid w:val="01DB319C"/>
    <w:rsid w:val="01DE4C01"/>
    <w:rsid w:val="01EB622B"/>
    <w:rsid w:val="01ED30B6"/>
    <w:rsid w:val="01F178BE"/>
    <w:rsid w:val="01F30842"/>
    <w:rsid w:val="01F33470"/>
    <w:rsid w:val="01F504C2"/>
    <w:rsid w:val="01F739C5"/>
    <w:rsid w:val="01FF0DD2"/>
    <w:rsid w:val="02005A7B"/>
    <w:rsid w:val="0204742C"/>
    <w:rsid w:val="020700C0"/>
    <w:rsid w:val="021E44BA"/>
    <w:rsid w:val="021E4F0A"/>
    <w:rsid w:val="02204B8A"/>
    <w:rsid w:val="02262316"/>
    <w:rsid w:val="02267465"/>
    <w:rsid w:val="02355837"/>
    <w:rsid w:val="02370032"/>
    <w:rsid w:val="02382230"/>
    <w:rsid w:val="02397CB2"/>
    <w:rsid w:val="023A0FB7"/>
    <w:rsid w:val="023A5733"/>
    <w:rsid w:val="023D1F3B"/>
    <w:rsid w:val="023D2D34"/>
    <w:rsid w:val="024141DC"/>
    <w:rsid w:val="024261A6"/>
    <w:rsid w:val="024737BC"/>
    <w:rsid w:val="02497534"/>
    <w:rsid w:val="02497F4C"/>
    <w:rsid w:val="0265787C"/>
    <w:rsid w:val="02671FEC"/>
    <w:rsid w:val="02684F7E"/>
    <w:rsid w:val="026929FF"/>
    <w:rsid w:val="026F018C"/>
    <w:rsid w:val="027A3F9F"/>
    <w:rsid w:val="02843E55"/>
    <w:rsid w:val="028945B9"/>
    <w:rsid w:val="028A5091"/>
    <w:rsid w:val="028E0A41"/>
    <w:rsid w:val="02902A6D"/>
    <w:rsid w:val="02906F11"/>
    <w:rsid w:val="0293294A"/>
    <w:rsid w:val="02936601"/>
    <w:rsid w:val="029638CF"/>
    <w:rsid w:val="02971350"/>
    <w:rsid w:val="02985677"/>
    <w:rsid w:val="029A6A52"/>
    <w:rsid w:val="02A276E1"/>
    <w:rsid w:val="02A50666"/>
    <w:rsid w:val="02A613EB"/>
    <w:rsid w:val="02AB78A7"/>
    <w:rsid w:val="02AF35E5"/>
    <w:rsid w:val="02B2797C"/>
    <w:rsid w:val="02B475FB"/>
    <w:rsid w:val="02B80E7E"/>
    <w:rsid w:val="02B81885"/>
    <w:rsid w:val="02B8562E"/>
    <w:rsid w:val="02BA4D88"/>
    <w:rsid w:val="02C10646"/>
    <w:rsid w:val="02C7409E"/>
    <w:rsid w:val="02CD5FA7"/>
    <w:rsid w:val="02CF14AA"/>
    <w:rsid w:val="02D93198"/>
    <w:rsid w:val="02DC07C0"/>
    <w:rsid w:val="02E30909"/>
    <w:rsid w:val="02E76B51"/>
    <w:rsid w:val="02E87E56"/>
    <w:rsid w:val="02E910D4"/>
    <w:rsid w:val="02F403E5"/>
    <w:rsid w:val="02F577E7"/>
    <w:rsid w:val="02FA5B72"/>
    <w:rsid w:val="03001C79"/>
    <w:rsid w:val="03056101"/>
    <w:rsid w:val="0309038A"/>
    <w:rsid w:val="031201A3"/>
    <w:rsid w:val="03163E1D"/>
    <w:rsid w:val="03175122"/>
    <w:rsid w:val="031B3B28"/>
    <w:rsid w:val="031E4AAC"/>
    <w:rsid w:val="03212577"/>
    <w:rsid w:val="03292E3E"/>
    <w:rsid w:val="032D72C5"/>
    <w:rsid w:val="032E24D1"/>
    <w:rsid w:val="03350E4E"/>
    <w:rsid w:val="033930D8"/>
    <w:rsid w:val="03393EE0"/>
    <w:rsid w:val="0344493E"/>
    <w:rsid w:val="034B6875"/>
    <w:rsid w:val="03514002"/>
    <w:rsid w:val="03533C82"/>
    <w:rsid w:val="03572688"/>
    <w:rsid w:val="03652CA2"/>
    <w:rsid w:val="036916A9"/>
    <w:rsid w:val="036A712A"/>
    <w:rsid w:val="036F35B2"/>
    <w:rsid w:val="03701033"/>
    <w:rsid w:val="0371289F"/>
    <w:rsid w:val="037441B6"/>
    <w:rsid w:val="037554BB"/>
    <w:rsid w:val="037A7A4E"/>
    <w:rsid w:val="03855756"/>
    <w:rsid w:val="03870C59"/>
    <w:rsid w:val="03897016"/>
    <w:rsid w:val="038D16A3"/>
    <w:rsid w:val="038D72DF"/>
    <w:rsid w:val="03903AE7"/>
    <w:rsid w:val="039446EB"/>
    <w:rsid w:val="03B325B7"/>
    <w:rsid w:val="03BB5A82"/>
    <w:rsid w:val="03C020B7"/>
    <w:rsid w:val="03C037D5"/>
    <w:rsid w:val="03C661BF"/>
    <w:rsid w:val="03CD5B4A"/>
    <w:rsid w:val="03CF7469"/>
    <w:rsid w:val="03D60954"/>
    <w:rsid w:val="03D96B77"/>
    <w:rsid w:val="03DB06E3"/>
    <w:rsid w:val="03DC28E1"/>
    <w:rsid w:val="03DE1667"/>
    <w:rsid w:val="03E2006E"/>
    <w:rsid w:val="03E37CED"/>
    <w:rsid w:val="03E644F5"/>
    <w:rsid w:val="03EC7ADB"/>
    <w:rsid w:val="03ED482A"/>
    <w:rsid w:val="03EF3B00"/>
    <w:rsid w:val="03F12886"/>
    <w:rsid w:val="03F82227"/>
    <w:rsid w:val="03FE1B9C"/>
    <w:rsid w:val="03FE411B"/>
    <w:rsid w:val="04074A2A"/>
    <w:rsid w:val="040F043C"/>
    <w:rsid w:val="040F1E36"/>
    <w:rsid w:val="041078B8"/>
    <w:rsid w:val="0411533A"/>
    <w:rsid w:val="041901C7"/>
    <w:rsid w:val="041A5C49"/>
    <w:rsid w:val="041B14CC"/>
    <w:rsid w:val="041F679F"/>
    <w:rsid w:val="04230AD7"/>
    <w:rsid w:val="042B5EE3"/>
    <w:rsid w:val="042D4C6A"/>
    <w:rsid w:val="043A3F7F"/>
    <w:rsid w:val="043B1A01"/>
    <w:rsid w:val="043B2EAD"/>
    <w:rsid w:val="04471F90"/>
    <w:rsid w:val="044B6418"/>
    <w:rsid w:val="04532C16"/>
    <w:rsid w:val="045B52FD"/>
    <w:rsid w:val="045B6D74"/>
    <w:rsid w:val="045F2EBA"/>
    <w:rsid w:val="045F7637"/>
    <w:rsid w:val="04611964"/>
    <w:rsid w:val="04634AFC"/>
    <w:rsid w:val="04654DC4"/>
    <w:rsid w:val="04700BD6"/>
    <w:rsid w:val="04793A64"/>
    <w:rsid w:val="047A14E6"/>
    <w:rsid w:val="04847877"/>
    <w:rsid w:val="04860B7C"/>
    <w:rsid w:val="04881B00"/>
    <w:rsid w:val="048B4053"/>
    <w:rsid w:val="048C7EA2"/>
    <w:rsid w:val="048D2705"/>
    <w:rsid w:val="048D6709"/>
    <w:rsid w:val="04912ACD"/>
    <w:rsid w:val="049A1A1A"/>
    <w:rsid w:val="049A7BD3"/>
    <w:rsid w:val="049B749C"/>
    <w:rsid w:val="049D76C3"/>
    <w:rsid w:val="04A071A7"/>
    <w:rsid w:val="04A5362F"/>
    <w:rsid w:val="04A57DAB"/>
    <w:rsid w:val="04A62A1C"/>
    <w:rsid w:val="04AC3CBC"/>
    <w:rsid w:val="04B32944"/>
    <w:rsid w:val="04B74160"/>
    <w:rsid w:val="04B80FCA"/>
    <w:rsid w:val="04B96A4C"/>
    <w:rsid w:val="04BF0955"/>
    <w:rsid w:val="04C01C5A"/>
    <w:rsid w:val="04C13E58"/>
    <w:rsid w:val="04C609C8"/>
    <w:rsid w:val="04C73FAD"/>
    <w:rsid w:val="04C81265"/>
    <w:rsid w:val="04CA4768"/>
    <w:rsid w:val="04CB21E9"/>
    <w:rsid w:val="04CC1D57"/>
    <w:rsid w:val="04CC5A6D"/>
    <w:rsid w:val="04D04473"/>
    <w:rsid w:val="04D07C68"/>
    <w:rsid w:val="04D806FC"/>
    <w:rsid w:val="04E416EA"/>
    <w:rsid w:val="04E67986"/>
    <w:rsid w:val="04E8539D"/>
    <w:rsid w:val="04EC3DA3"/>
    <w:rsid w:val="04F0022B"/>
    <w:rsid w:val="04F75026"/>
    <w:rsid w:val="04F81DB4"/>
    <w:rsid w:val="04FB327C"/>
    <w:rsid w:val="04FD623C"/>
    <w:rsid w:val="04FE77AD"/>
    <w:rsid w:val="050104C5"/>
    <w:rsid w:val="05025F47"/>
    <w:rsid w:val="05043648"/>
    <w:rsid w:val="050642D1"/>
    <w:rsid w:val="05086396"/>
    <w:rsid w:val="050B2FD3"/>
    <w:rsid w:val="051416E4"/>
    <w:rsid w:val="051538E2"/>
    <w:rsid w:val="052109FA"/>
    <w:rsid w:val="05251EC0"/>
    <w:rsid w:val="052615FE"/>
    <w:rsid w:val="05295E06"/>
    <w:rsid w:val="052B1173"/>
    <w:rsid w:val="052B7F62"/>
    <w:rsid w:val="053002AA"/>
    <w:rsid w:val="05322E93"/>
    <w:rsid w:val="05330914"/>
    <w:rsid w:val="0539061F"/>
    <w:rsid w:val="053E2528"/>
    <w:rsid w:val="053F7359"/>
    <w:rsid w:val="053F7FAA"/>
    <w:rsid w:val="054134AD"/>
    <w:rsid w:val="05420F2F"/>
    <w:rsid w:val="054F6046"/>
    <w:rsid w:val="0550188C"/>
    <w:rsid w:val="05534A4C"/>
    <w:rsid w:val="05595CE0"/>
    <w:rsid w:val="055B78DA"/>
    <w:rsid w:val="055D57F8"/>
    <w:rsid w:val="055D7FF5"/>
    <w:rsid w:val="055F2A5D"/>
    <w:rsid w:val="05631463"/>
    <w:rsid w:val="056501EA"/>
    <w:rsid w:val="05655876"/>
    <w:rsid w:val="056C7B74"/>
    <w:rsid w:val="056F0AF9"/>
    <w:rsid w:val="0570657B"/>
    <w:rsid w:val="057B1E25"/>
    <w:rsid w:val="0586071E"/>
    <w:rsid w:val="05876EBC"/>
    <w:rsid w:val="058D22A7"/>
    <w:rsid w:val="058D5B2B"/>
    <w:rsid w:val="058E35AC"/>
    <w:rsid w:val="058F45E8"/>
    <w:rsid w:val="05914531"/>
    <w:rsid w:val="059609B9"/>
    <w:rsid w:val="059F73BD"/>
    <w:rsid w:val="05A32BC9"/>
    <w:rsid w:val="05A37CCE"/>
    <w:rsid w:val="05A40B88"/>
    <w:rsid w:val="05AA5F48"/>
    <w:rsid w:val="05B6346C"/>
    <w:rsid w:val="05B747B5"/>
    <w:rsid w:val="05BA3E5F"/>
    <w:rsid w:val="05C16088"/>
    <w:rsid w:val="05C22B02"/>
    <w:rsid w:val="05C24D00"/>
    <w:rsid w:val="05C55C85"/>
    <w:rsid w:val="05C869C2"/>
    <w:rsid w:val="05C86C09"/>
    <w:rsid w:val="05C9363F"/>
    <w:rsid w:val="05C9468B"/>
    <w:rsid w:val="05CB200E"/>
    <w:rsid w:val="05CE29BF"/>
    <w:rsid w:val="05CF1E17"/>
    <w:rsid w:val="05CF6594"/>
    <w:rsid w:val="05D53D21"/>
    <w:rsid w:val="05D71422"/>
    <w:rsid w:val="05D84CA5"/>
    <w:rsid w:val="05DA0135"/>
    <w:rsid w:val="05DA01A8"/>
    <w:rsid w:val="05E42CB6"/>
    <w:rsid w:val="05F0234C"/>
    <w:rsid w:val="05F61781"/>
    <w:rsid w:val="05F92C5C"/>
    <w:rsid w:val="05FD5DDE"/>
    <w:rsid w:val="06056158"/>
    <w:rsid w:val="061816F7"/>
    <w:rsid w:val="06187C8D"/>
    <w:rsid w:val="06190F92"/>
    <w:rsid w:val="062005AC"/>
    <w:rsid w:val="0620235A"/>
    <w:rsid w:val="062102F1"/>
    <w:rsid w:val="06236D2A"/>
    <w:rsid w:val="06285D29"/>
    <w:rsid w:val="062B0739"/>
    <w:rsid w:val="062E2F61"/>
    <w:rsid w:val="063353A5"/>
    <w:rsid w:val="06385FC4"/>
    <w:rsid w:val="06393A45"/>
    <w:rsid w:val="063A5C43"/>
    <w:rsid w:val="063A78C0"/>
    <w:rsid w:val="063E20CB"/>
    <w:rsid w:val="064552D9"/>
    <w:rsid w:val="06462D5B"/>
    <w:rsid w:val="06493B1E"/>
    <w:rsid w:val="06497B03"/>
    <w:rsid w:val="064A58D9"/>
    <w:rsid w:val="064C13E1"/>
    <w:rsid w:val="064D79F0"/>
    <w:rsid w:val="06551CF0"/>
    <w:rsid w:val="065751F3"/>
    <w:rsid w:val="065A6178"/>
    <w:rsid w:val="06631006"/>
    <w:rsid w:val="06680D11"/>
    <w:rsid w:val="066E2C1A"/>
    <w:rsid w:val="067177E1"/>
    <w:rsid w:val="067D3496"/>
    <w:rsid w:val="067F41B9"/>
    <w:rsid w:val="06832BC0"/>
    <w:rsid w:val="06887047"/>
    <w:rsid w:val="068943A3"/>
    <w:rsid w:val="06896819"/>
    <w:rsid w:val="068A254B"/>
    <w:rsid w:val="068F69D2"/>
    <w:rsid w:val="069408DC"/>
    <w:rsid w:val="0695635D"/>
    <w:rsid w:val="06963DDF"/>
    <w:rsid w:val="069C2465"/>
    <w:rsid w:val="06A00E6B"/>
    <w:rsid w:val="06A2436E"/>
    <w:rsid w:val="06A3206C"/>
    <w:rsid w:val="06A461F7"/>
    <w:rsid w:val="06A52D74"/>
    <w:rsid w:val="06A665F7"/>
    <w:rsid w:val="06A72A7B"/>
    <w:rsid w:val="06B350F6"/>
    <w:rsid w:val="06B3590D"/>
    <w:rsid w:val="06B81B4A"/>
    <w:rsid w:val="06B93F93"/>
    <w:rsid w:val="06BD621D"/>
    <w:rsid w:val="06C66B2C"/>
    <w:rsid w:val="06D25D4A"/>
    <w:rsid w:val="06D50ED2"/>
    <w:rsid w:val="06D61345"/>
    <w:rsid w:val="06D849E3"/>
    <w:rsid w:val="06DF2215"/>
    <w:rsid w:val="06E22BD9"/>
    <w:rsid w:val="06E65352"/>
    <w:rsid w:val="06F24DE2"/>
    <w:rsid w:val="06F366F7"/>
    <w:rsid w:val="06FD4A88"/>
    <w:rsid w:val="06FF0E81"/>
    <w:rsid w:val="07017C0B"/>
    <w:rsid w:val="0703310E"/>
    <w:rsid w:val="07044413"/>
    <w:rsid w:val="07056611"/>
    <w:rsid w:val="07155F76"/>
    <w:rsid w:val="07175632"/>
    <w:rsid w:val="071952B1"/>
    <w:rsid w:val="071D753B"/>
    <w:rsid w:val="07235BC1"/>
    <w:rsid w:val="07272049"/>
    <w:rsid w:val="072C2912"/>
    <w:rsid w:val="072F7455"/>
    <w:rsid w:val="07304ED7"/>
    <w:rsid w:val="07342561"/>
    <w:rsid w:val="073501B8"/>
    <w:rsid w:val="073E397E"/>
    <w:rsid w:val="07442066"/>
    <w:rsid w:val="075E6BE6"/>
    <w:rsid w:val="076300DA"/>
    <w:rsid w:val="07632E46"/>
    <w:rsid w:val="0765792F"/>
    <w:rsid w:val="076653B1"/>
    <w:rsid w:val="076B50BC"/>
    <w:rsid w:val="077009B2"/>
    <w:rsid w:val="07762B44"/>
    <w:rsid w:val="0776564B"/>
    <w:rsid w:val="078139DC"/>
    <w:rsid w:val="078636E7"/>
    <w:rsid w:val="07871169"/>
    <w:rsid w:val="078901E4"/>
    <w:rsid w:val="078D77EF"/>
    <w:rsid w:val="079429FD"/>
    <w:rsid w:val="0795267D"/>
    <w:rsid w:val="079600FE"/>
    <w:rsid w:val="07986E84"/>
    <w:rsid w:val="07994906"/>
    <w:rsid w:val="079D4E7C"/>
    <w:rsid w:val="07A47555"/>
    <w:rsid w:val="07A50D69"/>
    <w:rsid w:val="07B11FAD"/>
    <w:rsid w:val="07BB6140"/>
    <w:rsid w:val="07BE4E06"/>
    <w:rsid w:val="07C3354C"/>
    <w:rsid w:val="07C644D1"/>
    <w:rsid w:val="07C97654"/>
    <w:rsid w:val="07CC279A"/>
    <w:rsid w:val="07CE18DD"/>
    <w:rsid w:val="07CF4038"/>
    <w:rsid w:val="07D00738"/>
    <w:rsid w:val="07D14A60"/>
    <w:rsid w:val="07D56CE9"/>
    <w:rsid w:val="07D60EE8"/>
    <w:rsid w:val="07DA78EE"/>
    <w:rsid w:val="07DE1B77"/>
    <w:rsid w:val="07EA340B"/>
    <w:rsid w:val="07EB560A"/>
    <w:rsid w:val="07EC2E3C"/>
    <w:rsid w:val="07EE1E12"/>
    <w:rsid w:val="07F01A92"/>
    <w:rsid w:val="07F341CA"/>
    <w:rsid w:val="08043FB5"/>
    <w:rsid w:val="080A5EBF"/>
    <w:rsid w:val="080B3940"/>
    <w:rsid w:val="080D6E43"/>
    <w:rsid w:val="081A786B"/>
    <w:rsid w:val="08261F6C"/>
    <w:rsid w:val="08273E74"/>
    <w:rsid w:val="08296773"/>
    <w:rsid w:val="08334B08"/>
    <w:rsid w:val="0837350B"/>
    <w:rsid w:val="083C0756"/>
    <w:rsid w:val="083D2818"/>
    <w:rsid w:val="083F0917"/>
    <w:rsid w:val="084A5DB4"/>
    <w:rsid w:val="084B472A"/>
    <w:rsid w:val="084D3FD0"/>
    <w:rsid w:val="084E78AD"/>
    <w:rsid w:val="08533D34"/>
    <w:rsid w:val="08545039"/>
    <w:rsid w:val="08583A3F"/>
    <w:rsid w:val="0860699A"/>
    <w:rsid w:val="086168CD"/>
    <w:rsid w:val="0862654D"/>
    <w:rsid w:val="086552D4"/>
    <w:rsid w:val="0867023A"/>
    <w:rsid w:val="08686B9D"/>
    <w:rsid w:val="086C1887"/>
    <w:rsid w:val="086D1CBF"/>
    <w:rsid w:val="087150EF"/>
    <w:rsid w:val="087E3C7F"/>
    <w:rsid w:val="08854B43"/>
    <w:rsid w:val="088D2C15"/>
    <w:rsid w:val="089922AB"/>
    <w:rsid w:val="089D7C92"/>
    <w:rsid w:val="08A15138"/>
    <w:rsid w:val="08A22BBA"/>
    <w:rsid w:val="08A54BFF"/>
    <w:rsid w:val="08AF444E"/>
    <w:rsid w:val="08B11B50"/>
    <w:rsid w:val="08B62903"/>
    <w:rsid w:val="08BF22FE"/>
    <w:rsid w:val="08C40B70"/>
    <w:rsid w:val="08C971F6"/>
    <w:rsid w:val="08CC5F7D"/>
    <w:rsid w:val="08D21CBE"/>
    <w:rsid w:val="08D5688C"/>
    <w:rsid w:val="08DB07BA"/>
    <w:rsid w:val="08F10D8A"/>
    <w:rsid w:val="08F759D5"/>
    <w:rsid w:val="08F81EA1"/>
    <w:rsid w:val="08FB6ACC"/>
    <w:rsid w:val="08FE41CD"/>
    <w:rsid w:val="09015EFE"/>
    <w:rsid w:val="09033ED8"/>
    <w:rsid w:val="0908255E"/>
    <w:rsid w:val="09095DE2"/>
    <w:rsid w:val="090F4990"/>
    <w:rsid w:val="09105002"/>
    <w:rsid w:val="09137F54"/>
    <w:rsid w:val="09146371"/>
    <w:rsid w:val="091E2504"/>
    <w:rsid w:val="091F3AB3"/>
    <w:rsid w:val="091F672A"/>
    <w:rsid w:val="0923440D"/>
    <w:rsid w:val="09241E8E"/>
    <w:rsid w:val="09265392"/>
    <w:rsid w:val="092B7994"/>
    <w:rsid w:val="093C4C32"/>
    <w:rsid w:val="093D4FB7"/>
    <w:rsid w:val="09405F3B"/>
    <w:rsid w:val="094C55D1"/>
    <w:rsid w:val="095161D6"/>
    <w:rsid w:val="0955045F"/>
    <w:rsid w:val="095600DF"/>
    <w:rsid w:val="09594501"/>
    <w:rsid w:val="095C1FE8"/>
    <w:rsid w:val="095C586C"/>
    <w:rsid w:val="095E5D74"/>
    <w:rsid w:val="09627775"/>
    <w:rsid w:val="09631973"/>
    <w:rsid w:val="0966277A"/>
    <w:rsid w:val="0966617B"/>
    <w:rsid w:val="09684C13"/>
    <w:rsid w:val="09685DFB"/>
    <w:rsid w:val="096C2283"/>
    <w:rsid w:val="096D21F5"/>
    <w:rsid w:val="096D5288"/>
    <w:rsid w:val="096D5B06"/>
    <w:rsid w:val="096E76FD"/>
    <w:rsid w:val="097351C2"/>
    <w:rsid w:val="097A5149"/>
    <w:rsid w:val="097D5DA0"/>
    <w:rsid w:val="09804472"/>
    <w:rsid w:val="09860C2E"/>
    <w:rsid w:val="098766B0"/>
    <w:rsid w:val="098B72B4"/>
    <w:rsid w:val="098F153E"/>
    <w:rsid w:val="09937F44"/>
    <w:rsid w:val="09953447"/>
    <w:rsid w:val="09957BC4"/>
    <w:rsid w:val="09AC306C"/>
    <w:rsid w:val="09B01C47"/>
    <w:rsid w:val="09B3627A"/>
    <w:rsid w:val="09BF428B"/>
    <w:rsid w:val="09C1778E"/>
    <w:rsid w:val="09C30A93"/>
    <w:rsid w:val="09C36515"/>
    <w:rsid w:val="09C53944"/>
    <w:rsid w:val="09C87119"/>
    <w:rsid w:val="09CD0A4B"/>
    <w:rsid w:val="09D32F2C"/>
    <w:rsid w:val="09DA28B7"/>
    <w:rsid w:val="09DD383B"/>
    <w:rsid w:val="09DE4B40"/>
    <w:rsid w:val="09DF6D3E"/>
    <w:rsid w:val="09E23546"/>
    <w:rsid w:val="09E7414B"/>
    <w:rsid w:val="09E85450"/>
    <w:rsid w:val="09E9764E"/>
    <w:rsid w:val="09EE4F77"/>
    <w:rsid w:val="09F359DF"/>
    <w:rsid w:val="09FA2EDD"/>
    <w:rsid w:val="0A0414FD"/>
    <w:rsid w:val="0A0D3D28"/>
    <w:rsid w:val="0A0E00A8"/>
    <w:rsid w:val="0A1641A0"/>
    <w:rsid w:val="0A171CC6"/>
    <w:rsid w:val="0A1D7EA8"/>
    <w:rsid w:val="0A1E592A"/>
    <w:rsid w:val="0A1F7B28"/>
    <w:rsid w:val="0A2729B6"/>
    <w:rsid w:val="0A372D7F"/>
    <w:rsid w:val="0A374116"/>
    <w:rsid w:val="0A3864D3"/>
    <w:rsid w:val="0A3E03DD"/>
    <w:rsid w:val="0A3E6D92"/>
    <w:rsid w:val="0A402FCB"/>
    <w:rsid w:val="0A434865"/>
    <w:rsid w:val="0A482EEB"/>
    <w:rsid w:val="0A4A1C71"/>
    <w:rsid w:val="0A4A3E4A"/>
    <w:rsid w:val="0A534AFF"/>
    <w:rsid w:val="0A5A6688"/>
    <w:rsid w:val="0A612F86"/>
    <w:rsid w:val="0A6244C4"/>
    <w:rsid w:val="0A634D99"/>
    <w:rsid w:val="0A6F0BAC"/>
    <w:rsid w:val="0A721B30"/>
    <w:rsid w:val="0A7375B2"/>
    <w:rsid w:val="0A765FB8"/>
    <w:rsid w:val="0A777940"/>
    <w:rsid w:val="0A79028B"/>
    <w:rsid w:val="0A7A49BE"/>
    <w:rsid w:val="0A7D5943"/>
    <w:rsid w:val="0A7E3AF3"/>
    <w:rsid w:val="0A82564E"/>
    <w:rsid w:val="0A8E1461"/>
    <w:rsid w:val="0A952FEA"/>
    <w:rsid w:val="0A9B46A5"/>
    <w:rsid w:val="0AA16DFC"/>
    <w:rsid w:val="0AA572D2"/>
    <w:rsid w:val="0AAA550E"/>
    <w:rsid w:val="0AAE6112"/>
    <w:rsid w:val="0AB6351E"/>
    <w:rsid w:val="0AB87005"/>
    <w:rsid w:val="0ABF3E2E"/>
    <w:rsid w:val="0AC30636"/>
    <w:rsid w:val="0ACC456C"/>
    <w:rsid w:val="0AD22E4F"/>
    <w:rsid w:val="0AD46352"/>
    <w:rsid w:val="0ADF77FB"/>
    <w:rsid w:val="0AE51E6F"/>
    <w:rsid w:val="0AE962F7"/>
    <w:rsid w:val="0AEA04F5"/>
    <w:rsid w:val="0AEE277F"/>
    <w:rsid w:val="0AF05C82"/>
    <w:rsid w:val="0AF10769"/>
    <w:rsid w:val="0AF36C07"/>
    <w:rsid w:val="0AF671E5"/>
    <w:rsid w:val="0AFB5E75"/>
    <w:rsid w:val="0B072024"/>
    <w:rsid w:val="0B14713B"/>
    <w:rsid w:val="0B1D155E"/>
    <w:rsid w:val="0B220922"/>
    <w:rsid w:val="0B236999"/>
    <w:rsid w:val="0B287FDA"/>
    <w:rsid w:val="0B3514F3"/>
    <w:rsid w:val="0B372D02"/>
    <w:rsid w:val="0B387425"/>
    <w:rsid w:val="0B3B6FFB"/>
    <w:rsid w:val="0B434C20"/>
    <w:rsid w:val="0B436D71"/>
    <w:rsid w:val="0B4463AC"/>
    <w:rsid w:val="0B4A1814"/>
    <w:rsid w:val="0B4E5DDB"/>
    <w:rsid w:val="0B4E601C"/>
    <w:rsid w:val="0B50371D"/>
    <w:rsid w:val="0B542123"/>
    <w:rsid w:val="0B560EAA"/>
    <w:rsid w:val="0B57692B"/>
    <w:rsid w:val="0B5A4560"/>
    <w:rsid w:val="0B6251C3"/>
    <w:rsid w:val="0B6423BD"/>
    <w:rsid w:val="0B6658C1"/>
    <w:rsid w:val="0B6E3B68"/>
    <w:rsid w:val="0B7735DC"/>
    <w:rsid w:val="0B796AE0"/>
    <w:rsid w:val="0B8213C1"/>
    <w:rsid w:val="0B914186"/>
    <w:rsid w:val="0B927A0A"/>
    <w:rsid w:val="0B941A7E"/>
    <w:rsid w:val="0B9D4E7C"/>
    <w:rsid w:val="0BA269CC"/>
    <w:rsid w:val="0BA50C29"/>
    <w:rsid w:val="0BA847BB"/>
    <w:rsid w:val="0BAE3AB7"/>
    <w:rsid w:val="0BB1312B"/>
    <w:rsid w:val="0BB337C2"/>
    <w:rsid w:val="0BC25FDA"/>
    <w:rsid w:val="0BC3355F"/>
    <w:rsid w:val="0BC33A5C"/>
    <w:rsid w:val="0BC97B63"/>
    <w:rsid w:val="0BCC68EA"/>
    <w:rsid w:val="0BD33CF6"/>
    <w:rsid w:val="0BD64C7B"/>
    <w:rsid w:val="0BD726FC"/>
    <w:rsid w:val="0BDB6711"/>
    <w:rsid w:val="0BE07789"/>
    <w:rsid w:val="0BE36304"/>
    <w:rsid w:val="0BE53C10"/>
    <w:rsid w:val="0BEB5B1A"/>
    <w:rsid w:val="0BEC359B"/>
    <w:rsid w:val="0BED0F30"/>
    <w:rsid w:val="0BEF5DA8"/>
    <w:rsid w:val="0BF409A8"/>
    <w:rsid w:val="0BF928B1"/>
    <w:rsid w:val="0BFB3BB6"/>
    <w:rsid w:val="0BFD70B9"/>
    <w:rsid w:val="0BFF003E"/>
    <w:rsid w:val="0C0F6901"/>
    <w:rsid w:val="0C120997"/>
    <w:rsid w:val="0C182195"/>
    <w:rsid w:val="0C190A67"/>
    <w:rsid w:val="0C2427FC"/>
    <w:rsid w:val="0C2775A7"/>
    <w:rsid w:val="0C2A0BF5"/>
    <w:rsid w:val="0C2B2187"/>
    <w:rsid w:val="0C2E310B"/>
    <w:rsid w:val="0C3347AB"/>
    <w:rsid w:val="0C354C94"/>
    <w:rsid w:val="0C360518"/>
    <w:rsid w:val="0C383A1B"/>
    <w:rsid w:val="0C431408"/>
    <w:rsid w:val="0C452D30"/>
    <w:rsid w:val="0C48085D"/>
    <w:rsid w:val="0C4843B9"/>
    <w:rsid w:val="0C5C2956"/>
    <w:rsid w:val="0C5C7024"/>
    <w:rsid w:val="0C60135C"/>
    <w:rsid w:val="0C610FDC"/>
    <w:rsid w:val="0C690BAD"/>
    <w:rsid w:val="0C691C6B"/>
    <w:rsid w:val="0C7041F5"/>
    <w:rsid w:val="0C770F81"/>
    <w:rsid w:val="0C7D2E8A"/>
    <w:rsid w:val="0C853B1A"/>
    <w:rsid w:val="0C86159B"/>
    <w:rsid w:val="0C8834CB"/>
    <w:rsid w:val="0C8B45C5"/>
    <w:rsid w:val="0C9772B7"/>
    <w:rsid w:val="0C9F3B69"/>
    <w:rsid w:val="0CA041F5"/>
    <w:rsid w:val="0CA04344"/>
    <w:rsid w:val="0CA4026C"/>
    <w:rsid w:val="0CA6624D"/>
    <w:rsid w:val="0CB0701F"/>
    <w:rsid w:val="0CB819EA"/>
    <w:rsid w:val="0CC47EE3"/>
    <w:rsid w:val="0CCE2C4F"/>
    <w:rsid w:val="0CDA5F62"/>
    <w:rsid w:val="0CE7033B"/>
    <w:rsid w:val="0CE95A3D"/>
    <w:rsid w:val="0CEB0F40"/>
    <w:rsid w:val="0CEB6D41"/>
    <w:rsid w:val="0CEF7946"/>
    <w:rsid w:val="0CF208CB"/>
    <w:rsid w:val="0CFC317C"/>
    <w:rsid w:val="0CFC3251"/>
    <w:rsid w:val="0D0343E8"/>
    <w:rsid w:val="0D0578EB"/>
    <w:rsid w:val="0D06756B"/>
    <w:rsid w:val="0D074FED"/>
    <w:rsid w:val="0D080870"/>
    <w:rsid w:val="0D0B7276"/>
    <w:rsid w:val="0D0C1474"/>
    <w:rsid w:val="0D0D2779"/>
    <w:rsid w:val="0D11117F"/>
    <w:rsid w:val="0D273323"/>
    <w:rsid w:val="0D2966C9"/>
    <w:rsid w:val="0D2D19A9"/>
    <w:rsid w:val="0D3600BA"/>
    <w:rsid w:val="0D36520A"/>
    <w:rsid w:val="0D444E52"/>
    <w:rsid w:val="0D4A4AC2"/>
    <w:rsid w:val="0D4A7718"/>
    <w:rsid w:val="0D4D3563"/>
    <w:rsid w:val="0D4F31E3"/>
    <w:rsid w:val="0D5242BD"/>
    <w:rsid w:val="0D53546C"/>
    <w:rsid w:val="0D591574"/>
    <w:rsid w:val="0D5D37FD"/>
    <w:rsid w:val="0D604782"/>
    <w:rsid w:val="0D607838"/>
    <w:rsid w:val="0D635706"/>
    <w:rsid w:val="0D6B4803"/>
    <w:rsid w:val="0D6B4D11"/>
    <w:rsid w:val="0D706F9B"/>
    <w:rsid w:val="0D774F56"/>
    <w:rsid w:val="0D7B1328"/>
    <w:rsid w:val="0D7B2671"/>
    <w:rsid w:val="0D7C4FAB"/>
    <w:rsid w:val="0D7D7339"/>
    <w:rsid w:val="0D8323B8"/>
    <w:rsid w:val="0D8920C3"/>
    <w:rsid w:val="0D9116CE"/>
    <w:rsid w:val="0D92714F"/>
    <w:rsid w:val="0D930F90"/>
    <w:rsid w:val="0D954907"/>
    <w:rsid w:val="0D9613D9"/>
    <w:rsid w:val="0D9848DC"/>
    <w:rsid w:val="0D984ECC"/>
    <w:rsid w:val="0D9A30C4"/>
    <w:rsid w:val="0D9A6E96"/>
    <w:rsid w:val="0D9E67E5"/>
    <w:rsid w:val="0DA306EE"/>
    <w:rsid w:val="0DAF0B58"/>
    <w:rsid w:val="0DB32F07"/>
    <w:rsid w:val="0DB90694"/>
    <w:rsid w:val="0DBB0313"/>
    <w:rsid w:val="0DC331A1"/>
    <w:rsid w:val="0DC835AD"/>
    <w:rsid w:val="0DCA63AF"/>
    <w:rsid w:val="0DCD2DC7"/>
    <w:rsid w:val="0DCE1532"/>
    <w:rsid w:val="0DD04A36"/>
    <w:rsid w:val="0DDA0BC8"/>
    <w:rsid w:val="0DDD75CE"/>
    <w:rsid w:val="0DE201D3"/>
    <w:rsid w:val="0DE436D6"/>
    <w:rsid w:val="0DE85960"/>
    <w:rsid w:val="0DEC6564"/>
    <w:rsid w:val="0DF24358"/>
    <w:rsid w:val="0DF2626F"/>
    <w:rsid w:val="0DFA5B87"/>
    <w:rsid w:val="0DFF08AB"/>
    <w:rsid w:val="0E011878"/>
    <w:rsid w:val="0E026509"/>
    <w:rsid w:val="0E0D58BA"/>
    <w:rsid w:val="0E160A2D"/>
    <w:rsid w:val="0E214EC1"/>
    <w:rsid w:val="0E2449B2"/>
    <w:rsid w:val="0E25010D"/>
    <w:rsid w:val="0E321257"/>
    <w:rsid w:val="0E46377B"/>
    <w:rsid w:val="0E4D7882"/>
    <w:rsid w:val="0E511B0C"/>
    <w:rsid w:val="0E530759"/>
    <w:rsid w:val="0E5B241B"/>
    <w:rsid w:val="0E5F68A3"/>
    <w:rsid w:val="0E643BC1"/>
    <w:rsid w:val="0E6507AC"/>
    <w:rsid w:val="0E66622E"/>
    <w:rsid w:val="0E6D5BB9"/>
    <w:rsid w:val="0E721BC1"/>
    <w:rsid w:val="0E76345F"/>
    <w:rsid w:val="0E7B0752"/>
    <w:rsid w:val="0E8954E9"/>
    <w:rsid w:val="0E914B75"/>
    <w:rsid w:val="0E980F7A"/>
    <w:rsid w:val="0E9A7981"/>
    <w:rsid w:val="0E9D0906"/>
    <w:rsid w:val="0E9E1C0B"/>
    <w:rsid w:val="0EA0510E"/>
    <w:rsid w:val="0EA76C97"/>
    <w:rsid w:val="0EA94D62"/>
    <w:rsid w:val="0EB714B0"/>
    <w:rsid w:val="0EBD0E3B"/>
    <w:rsid w:val="0EBD33B9"/>
    <w:rsid w:val="0EC01DBF"/>
    <w:rsid w:val="0EC07BC1"/>
    <w:rsid w:val="0ECD6DF7"/>
    <w:rsid w:val="0EDB61ED"/>
    <w:rsid w:val="0EDB6718"/>
    <w:rsid w:val="0EDC703A"/>
    <w:rsid w:val="0EE77A81"/>
    <w:rsid w:val="0EE91E83"/>
    <w:rsid w:val="0EEC1973"/>
    <w:rsid w:val="0EEC778C"/>
    <w:rsid w:val="0EEE2C8F"/>
    <w:rsid w:val="0EF25E12"/>
    <w:rsid w:val="0EF37117"/>
    <w:rsid w:val="0EF6229A"/>
    <w:rsid w:val="0EF9078E"/>
    <w:rsid w:val="0EF94CF1"/>
    <w:rsid w:val="0EFB6721"/>
    <w:rsid w:val="0EFE54A8"/>
    <w:rsid w:val="0F00642C"/>
    <w:rsid w:val="0F02192F"/>
    <w:rsid w:val="0F0415AF"/>
    <w:rsid w:val="0F044E32"/>
    <w:rsid w:val="0F0767C9"/>
    <w:rsid w:val="0F133DC8"/>
    <w:rsid w:val="0F191555"/>
    <w:rsid w:val="0F1B3A4E"/>
    <w:rsid w:val="0F1E59DC"/>
    <w:rsid w:val="0F20565C"/>
    <w:rsid w:val="0F216961"/>
    <w:rsid w:val="0F2243E3"/>
    <w:rsid w:val="0F255367"/>
    <w:rsid w:val="0F2862EC"/>
    <w:rsid w:val="0F307AB2"/>
    <w:rsid w:val="0F3320FE"/>
    <w:rsid w:val="0F340C24"/>
    <w:rsid w:val="0F36539A"/>
    <w:rsid w:val="0F3A1A89"/>
    <w:rsid w:val="0F3A2F05"/>
    <w:rsid w:val="0F422EC4"/>
    <w:rsid w:val="0F4C3028"/>
    <w:rsid w:val="0F565B36"/>
    <w:rsid w:val="0F58441F"/>
    <w:rsid w:val="0F584C9F"/>
    <w:rsid w:val="0F5C32C3"/>
    <w:rsid w:val="0F5E2F43"/>
    <w:rsid w:val="0F5F4663"/>
    <w:rsid w:val="0F660ADF"/>
    <w:rsid w:val="0F6A005A"/>
    <w:rsid w:val="0F6D0FDF"/>
    <w:rsid w:val="0F6D1F78"/>
    <w:rsid w:val="0F7066E0"/>
    <w:rsid w:val="0F773AEC"/>
    <w:rsid w:val="0F794DF1"/>
    <w:rsid w:val="0F7AA55F"/>
    <w:rsid w:val="0F7D37F7"/>
    <w:rsid w:val="0F833182"/>
    <w:rsid w:val="0F837E14"/>
    <w:rsid w:val="0F845381"/>
    <w:rsid w:val="0F864107"/>
    <w:rsid w:val="0F876305"/>
    <w:rsid w:val="0F8F3712"/>
    <w:rsid w:val="0F937CCB"/>
    <w:rsid w:val="0F950E9E"/>
    <w:rsid w:val="0F9878A4"/>
    <w:rsid w:val="0F9C7BC2"/>
    <w:rsid w:val="0F9D0EBF"/>
    <w:rsid w:val="0F9E1CC2"/>
    <w:rsid w:val="0FA7463C"/>
    <w:rsid w:val="0FA97864"/>
    <w:rsid w:val="0FAC3208"/>
    <w:rsid w:val="0FB41EF9"/>
    <w:rsid w:val="0FB43951"/>
    <w:rsid w:val="0FC20ED8"/>
    <w:rsid w:val="0FC21361"/>
    <w:rsid w:val="0FC33F6C"/>
    <w:rsid w:val="0FC71965"/>
    <w:rsid w:val="0FCD487B"/>
    <w:rsid w:val="0FD34206"/>
    <w:rsid w:val="0FDDCF1F"/>
    <w:rsid w:val="0FDF70B7"/>
    <w:rsid w:val="0FE444A1"/>
    <w:rsid w:val="0FE54120"/>
    <w:rsid w:val="0FE85017"/>
    <w:rsid w:val="0FEA3E2B"/>
    <w:rsid w:val="0FED152D"/>
    <w:rsid w:val="0FF024B1"/>
    <w:rsid w:val="0FF33436"/>
    <w:rsid w:val="0FF46D31"/>
    <w:rsid w:val="0FF56939"/>
    <w:rsid w:val="0FF59FA5"/>
    <w:rsid w:val="0FFBA3BA"/>
    <w:rsid w:val="0FFF4FE8"/>
    <w:rsid w:val="10013AC5"/>
    <w:rsid w:val="10033834"/>
    <w:rsid w:val="10111AED"/>
    <w:rsid w:val="101218C0"/>
    <w:rsid w:val="10123CEB"/>
    <w:rsid w:val="101C7E7E"/>
    <w:rsid w:val="101D58FF"/>
    <w:rsid w:val="101E557F"/>
    <w:rsid w:val="10204305"/>
    <w:rsid w:val="102B6E13"/>
    <w:rsid w:val="102E7D98"/>
    <w:rsid w:val="1030329B"/>
    <w:rsid w:val="10331CA1"/>
    <w:rsid w:val="103C4234"/>
    <w:rsid w:val="103F5AB4"/>
    <w:rsid w:val="1057315A"/>
    <w:rsid w:val="105B1B61"/>
    <w:rsid w:val="105C75E2"/>
    <w:rsid w:val="10610D99"/>
    <w:rsid w:val="106D0B81"/>
    <w:rsid w:val="10700CA2"/>
    <w:rsid w:val="10710382"/>
    <w:rsid w:val="10717588"/>
    <w:rsid w:val="10782796"/>
    <w:rsid w:val="10810F88"/>
    <w:rsid w:val="10817E99"/>
    <w:rsid w:val="108A31F2"/>
    <w:rsid w:val="10992CCA"/>
    <w:rsid w:val="10997447"/>
    <w:rsid w:val="109A074C"/>
    <w:rsid w:val="109B71AD"/>
    <w:rsid w:val="109C2F25"/>
    <w:rsid w:val="109D6760"/>
    <w:rsid w:val="109F4BD4"/>
    <w:rsid w:val="10A65B52"/>
    <w:rsid w:val="10A92F65"/>
    <w:rsid w:val="10AE73EC"/>
    <w:rsid w:val="10B412F6"/>
    <w:rsid w:val="10B56D77"/>
    <w:rsid w:val="10B81EFA"/>
    <w:rsid w:val="10C06529"/>
    <w:rsid w:val="10C3028B"/>
    <w:rsid w:val="10C33B0F"/>
    <w:rsid w:val="10C41590"/>
    <w:rsid w:val="10C65C27"/>
    <w:rsid w:val="10C87F96"/>
    <w:rsid w:val="10CE1EA0"/>
    <w:rsid w:val="10DD46B8"/>
    <w:rsid w:val="10DF343F"/>
    <w:rsid w:val="10E478C7"/>
    <w:rsid w:val="10E55348"/>
    <w:rsid w:val="10E7084B"/>
    <w:rsid w:val="10E82A49"/>
    <w:rsid w:val="10E904CB"/>
    <w:rsid w:val="10EA771A"/>
    <w:rsid w:val="10EB7251"/>
    <w:rsid w:val="10ED2754"/>
    <w:rsid w:val="10F036D9"/>
    <w:rsid w:val="10F26257"/>
    <w:rsid w:val="10FD716C"/>
    <w:rsid w:val="10FE7210"/>
    <w:rsid w:val="11082369"/>
    <w:rsid w:val="110F2909"/>
    <w:rsid w:val="111331E7"/>
    <w:rsid w:val="11134B92"/>
    <w:rsid w:val="111C7A20"/>
    <w:rsid w:val="111E2F24"/>
    <w:rsid w:val="111E5122"/>
    <w:rsid w:val="111F09A5"/>
    <w:rsid w:val="11200625"/>
    <w:rsid w:val="11223B28"/>
    <w:rsid w:val="11230F50"/>
    <w:rsid w:val="112428AE"/>
    <w:rsid w:val="1124702B"/>
    <w:rsid w:val="1126252E"/>
    <w:rsid w:val="11292A0B"/>
    <w:rsid w:val="113616F5"/>
    <w:rsid w:val="1139154F"/>
    <w:rsid w:val="11416F6F"/>
    <w:rsid w:val="11442263"/>
    <w:rsid w:val="114C276E"/>
    <w:rsid w:val="114D01EF"/>
    <w:rsid w:val="115F642C"/>
    <w:rsid w:val="11632393"/>
    <w:rsid w:val="11663318"/>
    <w:rsid w:val="116752E1"/>
    <w:rsid w:val="116972AB"/>
    <w:rsid w:val="116D0724"/>
    <w:rsid w:val="11714F2C"/>
    <w:rsid w:val="11724BAC"/>
    <w:rsid w:val="1173AA89"/>
    <w:rsid w:val="117874EE"/>
    <w:rsid w:val="118151C6"/>
    <w:rsid w:val="11822C48"/>
    <w:rsid w:val="118273C5"/>
    <w:rsid w:val="118328C8"/>
    <w:rsid w:val="11834E46"/>
    <w:rsid w:val="11840349"/>
    <w:rsid w:val="118770D0"/>
    <w:rsid w:val="118D31D7"/>
    <w:rsid w:val="118E0C59"/>
    <w:rsid w:val="119B5D70"/>
    <w:rsid w:val="11A021F8"/>
    <w:rsid w:val="11A5035A"/>
    <w:rsid w:val="11A622AD"/>
    <w:rsid w:val="11AA0CFB"/>
    <w:rsid w:val="11AB600B"/>
    <w:rsid w:val="11B13797"/>
    <w:rsid w:val="11B5219D"/>
    <w:rsid w:val="11BF5949"/>
    <w:rsid w:val="11D14753"/>
    <w:rsid w:val="11D95855"/>
    <w:rsid w:val="11DB27C0"/>
    <w:rsid w:val="11DC67DA"/>
    <w:rsid w:val="11E85E6F"/>
    <w:rsid w:val="11EA1373"/>
    <w:rsid w:val="11F03528"/>
    <w:rsid w:val="11F0700F"/>
    <w:rsid w:val="11F12EFC"/>
    <w:rsid w:val="12065BD6"/>
    <w:rsid w:val="12071BEC"/>
    <w:rsid w:val="12117034"/>
    <w:rsid w:val="121656BA"/>
    <w:rsid w:val="12280E57"/>
    <w:rsid w:val="122B448F"/>
    <w:rsid w:val="122D0B62"/>
    <w:rsid w:val="122D2862"/>
    <w:rsid w:val="122F4065"/>
    <w:rsid w:val="12317569"/>
    <w:rsid w:val="123516E9"/>
    <w:rsid w:val="1235663D"/>
    <w:rsid w:val="12394975"/>
    <w:rsid w:val="123C051C"/>
    <w:rsid w:val="123C58FA"/>
    <w:rsid w:val="123F000C"/>
    <w:rsid w:val="123F499D"/>
    <w:rsid w:val="12404300"/>
    <w:rsid w:val="12413F80"/>
    <w:rsid w:val="124E6A14"/>
    <w:rsid w:val="12541464"/>
    <w:rsid w:val="12576123"/>
    <w:rsid w:val="125D38B0"/>
    <w:rsid w:val="126122B6"/>
    <w:rsid w:val="12666FD3"/>
    <w:rsid w:val="127A580F"/>
    <w:rsid w:val="127C2276"/>
    <w:rsid w:val="127C9731"/>
    <w:rsid w:val="12802419"/>
    <w:rsid w:val="1285376F"/>
    <w:rsid w:val="128A74D9"/>
    <w:rsid w:val="128C697D"/>
    <w:rsid w:val="12905DC8"/>
    <w:rsid w:val="12945D0B"/>
    <w:rsid w:val="12966EF5"/>
    <w:rsid w:val="12A20B21"/>
    <w:rsid w:val="12A365A3"/>
    <w:rsid w:val="12A63CA4"/>
    <w:rsid w:val="12AB243A"/>
    <w:rsid w:val="12AF45B4"/>
    <w:rsid w:val="12B90746"/>
    <w:rsid w:val="12BA2945"/>
    <w:rsid w:val="12BD38C9"/>
    <w:rsid w:val="12BD6CCE"/>
    <w:rsid w:val="12BE4BCE"/>
    <w:rsid w:val="12BE6DCC"/>
    <w:rsid w:val="12C54559"/>
    <w:rsid w:val="12E54A8E"/>
    <w:rsid w:val="12E65D92"/>
    <w:rsid w:val="12E666D9"/>
    <w:rsid w:val="12EE319F"/>
    <w:rsid w:val="12EF1689"/>
    <w:rsid w:val="12FB3F33"/>
    <w:rsid w:val="12FC7CAB"/>
    <w:rsid w:val="13041ABF"/>
    <w:rsid w:val="13045342"/>
    <w:rsid w:val="13052DC4"/>
    <w:rsid w:val="131C29E9"/>
    <w:rsid w:val="132135EE"/>
    <w:rsid w:val="13272F78"/>
    <w:rsid w:val="132867FC"/>
    <w:rsid w:val="132D4308"/>
    <w:rsid w:val="13340090"/>
    <w:rsid w:val="13386A96"/>
    <w:rsid w:val="134C430D"/>
    <w:rsid w:val="134E6A3B"/>
    <w:rsid w:val="134F44BD"/>
    <w:rsid w:val="135172E5"/>
    <w:rsid w:val="13522B08"/>
    <w:rsid w:val="13530945"/>
    <w:rsid w:val="13566046"/>
    <w:rsid w:val="135D59D1"/>
    <w:rsid w:val="1363315E"/>
    <w:rsid w:val="136775E5"/>
    <w:rsid w:val="13795301"/>
    <w:rsid w:val="137A6F71"/>
    <w:rsid w:val="137F1409"/>
    <w:rsid w:val="13806E8A"/>
    <w:rsid w:val="13824654"/>
    <w:rsid w:val="138B0A9F"/>
    <w:rsid w:val="138C6520"/>
    <w:rsid w:val="13960100"/>
    <w:rsid w:val="13995836"/>
    <w:rsid w:val="139B5716"/>
    <w:rsid w:val="139F5747"/>
    <w:rsid w:val="13AA232B"/>
    <w:rsid w:val="13AF57DB"/>
    <w:rsid w:val="13B14F39"/>
    <w:rsid w:val="13B47081"/>
    <w:rsid w:val="13B576E5"/>
    <w:rsid w:val="13BA67FF"/>
    <w:rsid w:val="13BB1914"/>
    <w:rsid w:val="13BC4AF1"/>
    <w:rsid w:val="13C540FC"/>
    <w:rsid w:val="13CF248D"/>
    <w:rsid w:val="13E15C2A"/>
    <w:rsid w:val="13E75935"/>
    <w:rsid w:val="13EF4F40"/>
    <w:rsid w:val="13F25EC4"/>
    <w:rsid w:val="13F72177"/>
    <w:rsid w:val="13F75BCF"/>
    <w:rsid w:val="13FD6FBA"/>
    <w:rsid w:val="14000A5D"/>
    <w:rsid w:val="14052967"/>
    <w:rsid w:val="14072DAB"/>
    <w:rsid w:val="141241FB"/>
    <w:rsid w:val="141B71EA"/>
    <w:rsid w:val="14200F92"/>
    <w:rsid w:val="1423579A"/>
    <w:rsid w:val="142D2826"/>
    <w:rsid w:val="14345A34"/>
    <w:rsid w:val="14492156"/>
    <w:rsid w:val="1449490E"/>
    <w:rsid w:val="145304E8"/>
    <w:rsid w:val="1457366A"/>
    <w:rsid w:val="145C3375"/>
    <w:rsid w:val="145E6E6F"/>
    <w:rsid w:val="146124BC"/>
    <w:rsid w:val="146401FE"/>
    <w:rsid w:val="146756AF"/>
    <w:rsid w:val="146A010D"/>
    <w:rsid w:val="146C3610"/>
    <w:rsid w:val="146C7C56"/>
    <w:rsid w:val="146D0E60"/>
    <w:rsid w:val="146E6B13"/>
    <w:rsid w:val="14725519"/>
    <w:rsid w:val="147A2925"/>
    <w:rsid w:val="147A384D"/>
    <w:rsid w:val="147E73A4"/>
    <w:rsid w:val="14831037"/>
    <w:rsid w:val="148914F5"/>
    <w:rsid w:val="148A09C2"/>
    <w:rsid w:val="148C60C3"/>
    <w:rsid w:val="1494463F"/>
    <w:rsid w:val="149C54E8"/>
    <w:rsid w:val="14B20501"/>
    <w:rsid w:val="14B24AFC"/>
    <w:rsid w:val="14BE7B97"/>
    <w:rsid w:val="14C31DF2"/>
    <w:rsid w:val="14D6523E"/>
    <w:rsid w:val="14DA74C7"/>
    <w:rsid w:val="14DB4F49"/>
    <w:rsid w:val="14DC7D94"/>
    <w:rsid w:val="14DE0052"/>
    <w:rsid w:val="14F40071"/>
    <w:rsid w:val="14F40346"/>
    <w:rsid w:val="14FC547D"/>
    <w:rsid w:val="15000600"/>
    <w:rsid w:val="15001CD4"/>
    <w:rsid w:val="150554BE"/>
    <w:rsid w:val="1508348E"/>
    <w:rsid w:val="1510411E"/>
    <w:rsid w:val="1518152A"/>
    <w:rsid w:val="151B46AD"/>
    <w:rsid w:val="151B6C2C"/>
    <w:rsid w:val="152068BB"/>
    <w:rsid w:val="15262A3E"/>
    <w:rsid w:val="15314652"/>
    <w:rsid w:val="15353059"/>
    <w:rsid w:val="15393438"/>
    <w:rsid w:val="153D71B1"/>
    <w:rsid w:val="154126EF"/>
    <w:rsid w:val="15520288"/>
    <w:rsid w:val="1552040A"/>
    <w:rsid w:val="15566E11"/>
    <w:rsid w:val="156051A2"/>
    <w:rsid w:val="15624E21"/>
    <w:rsid w:val="156947AC"/>
    <w:rsid w:val="156E66B6"/>
    <w:rsid w:val="15701BB9"/>
    <w:rsid w:val="157250BC"/>
    <w:rsid w:val="1573093F"/>
    <w:rsid w:val="15774ACC"/>
    <w:rsid w:val="15782848"/>
    <w:rsid w:val="15787ABD"/>
    <w:rsid w:val="157B027F"/>
    <w:rsid w:val="15830BD9"/>
    <w:rsid w:val="15835356"/>
    <w:rsid w:val="158A0564"/>
    <w:rsid w:val="158B5FE6"/>
    <w:rsid w:val="158C3A67"/>
    <w:rsid w:val="158D36E7"/>
    <w:rsid w:val="158F43FD"/>
    <w:rsid w:val="15907EEF"/>
    <w:rsid w:val="15930E74"/>
    <w:rsid w:val="15931142"/>
    <w:rsid w:val="159D1783"/>
    <w:rsid w:val="15A032C1"/>
    <w:rsid w:val="15A50D8E"/>
    <w:rsid w:val="15A5462A"/>
    <w:rsid w:val="15A75916"/>
    <w:rsid w:val="15AD3816"/>
    <w:rsid w:val="15B029A2"/>
    <w:rsid w:val="15BE749A"/>
    <w:rsid w:val="15BF51BB"/>
    <w:rsid w:val="15C02C3D"/>
    <w:rsid w:val="15C570C4"/>
    <w:rsid w:val="15C9134E"/>
    <w:rsid w:val="15CF79D4"/>
    <w:rsid w:val="15D612E1"/>
    <w:rsid w:val="15DD7FEE"/>
    <w:rsid w:val="15DF34F1"/>
    <w:rsid w:val="15E46F00"/>
    <w:rsid w:val="15E50088"/>
    <w:rsid w:val="15E53468"/>
    <w:rsid w:val="15E675F9"/>
    <w:rsid w:val="15EF5D0A"/>
    <w:rsid w:val="15F15AC1"/>
    <w:rsid w:val="15F26515"/>
    <w:rsid w:val="15F630D7"/>
    <w:rsid w:val="15FB15A9"/>
    <w:rsid w:val="15FD2AA2"/>
    <w:rsid w:val="16016143"/>
    <w:rsid w:val="16080E33"/>
    <w:rsid w:val="160E65BF"/>
    <w:rsid w:val="16117544"/>
    <w:rsid w:val="16154968"/>
    <w:rsid w:val="161A7E53"/>
    <w:rsid w:val="161B2052"/>
    <w:rsid w:val="161F1337"/>
    <w:rsid w:val="16205B41"/>
    <w:rsid w:val="16281367"/>
    <w:rsid w:val="162B00EE"/>
    <w:rsid w:val="162B2D81"/>
    <w:rsid w:val="162D57EF"/>
    <w:rsid w:val="162E3271"/>
    <w:rsid w:val="1631177A"/>
    <w:rsid w:val="163A7083"/>
    <w:rsid w:val="16406A0E"/>
    <w:rsid w:val="16414490"/>
    <w:rsid w:val="16445BF1"/>
    <w:rsid w:val="16452E96"/>
    <w:rsid w:val="1646419B"/>
    <w:rsid w:val="164F37A5"/>
    <w:rsid w:val="16513EB0"/>
    <w:rsid w:val="16546F0A"/>
    <w:rsid w:val="16576633"/>
    <w:rsid w:val="165B7DDA"/>
    <w:rsid w:val="165C72B0"/>
    <w:rsid w:val="165E3DC0"/>
    <w:rsid w:val="16604D44"/>
    <w:rsid w:val="1664374B"/>
    <w:rsid w:val="16666C4E"/>
    <w:rsid w:val="166746CF"/>
    <w:rsid w:val="166938A9"/>
    <w:rsid w:val="166C2EC7"/>
    <w:rsid w:val="1677496A"/>
    <w:rsid w:val="167823EB"/>
    <w:rsid w:val="167A36F0"/>
    <w:rsid w:val="168356FE"/>
    <w:rsid w:val="16864F84"/>
    <w:rsid w:val="16895CFA"/>
    <w:rsid w:val="16922815"/>
    <w:rsid w:val="1694429A"/>
    <w:rsid w:val="1696571A"/>
    <w:rsid w:val="169D4BA9"/>
    <w:rsid w:val="169E262B"/>
    <w:rsid w:val="16A44534"/>
    <w:rsid w:val="16A51FB6"/>
    <w:rsid w:val="16A641B4"/>
    <w:rsid w:val="16A754B9"/>
    <w:rsid w:val="16ABBBA8"/>
    <w:rsid w:val="16AC1941"/>
    <w:rsid w:val="16B17693"/>
    <w:rsid w:val="16B25A48"/>
    <w:rsid w:val="16B334CA"/>
    <w:rsid w:val="16B569CD"/>
    <w:rsid w:val="16B90C56"/>
    <w:rsid w:val="16B953D3"/>
    <w:rsid w:val="16BC6358"/>
    <w:rsid w:val="16C55D8F"/>
    <w:rsid w:val="16D801F5"/>
    <w:rsid w:val="16E477FC"/>
    <w:rsid w:val="16E762A2"/>
    <w:rsid w:val="16E8494F"/>
    <w:rsid w:val="16E85F22"/>
    <w:rsid w:val="16ED6288"/>
    <w:rsid w:val="16EE36AF"/>
    <w:rsid w:val="16F342B3"/>
    <w:rsid w:val="16F7073B"/>
    <w:rsid w:val="16F75359"/>
    <w:rsid w:val="16FA74C1"/>
    <w:rsid w:val="16FC4BC3"/>
    <w:rsid w:val="17072F54"/>
    <w:rsid w:val="17084259"/>
    <w:rsid w:val="170A508C"/>
    <w:rsid w:val="170B195A"/>
    <w:rsid w:val="17101F77"/>
    <w:rsid w:val="17137606"/>
    <w:rsid w:val="17143815"/>
    <w:rsid w:val="171B5478"/>
    <w:rsid w:val="17222C66"/>
    <w:rsid w:val="17237001"/>
    <w:rsid w:val="1732013F"/>
    <w:rsid w:val="1732509D"/>
    <w:rsid w:val="17363AA3"/>
    <w:rsid w:val="173B2478"/>
    <w:rsid w:val="173E54D7"/>
    <w:rsid w:val="173F6931"/>
    <w:rsid w:val="17461B3F"/>
    <w:rsid w:val="17472E65"/>
    <w:rsid w:val="174C5C47"/>
    <w:rsid w:val="174D4F79"/>
    <w:rsid w:val="174F6BCB"/>
    <w:rsid w:val="1750464D"/>
    <w:rsid w:val="17507ED0"/>
    <w:rsid w:val="17570011"/>
    <w:rsid w:val="17592D5E"/>
    <w:rsid w:val="175A07E0"/>
    <w:rsid w:val="175B29DE"/>
    <w:rsid w:val="17681170"/>
    <w:rsid w:val="17681DB3"/>
    <w:rsid w:val="176E0FB5"/>
    <w:rsid w:val="177D4217"/>
    <w:rsid w:val="177E005E"/>
    <w:rsid w:val="1780739A"/>
    <w:rsid w:val="1781069F"/>
    <w:rsid w:val="178B572B"/>
    <w:rsid w:val="178F389A"/>
    <w:rsid w:val="179761F4"/>
    <w:rsid w:val="17995D46"/>
    <w:rsid w:val="179E74A2"/>
    <w:rsid w:val="17A80401"/>
    <w:rsid w:val="17A86360"/>
    <w:rsid w:val="17B0376D"/>
    <w:rsid w:val="17B1375A"/>
    <w:rsid w:val="17B368F0"/>
    <w:rsid w:val="17BD0C8D"/>
    <w:rsid w:val="17BF2E32"/>
    <w:rsid w:val="17C15C05"/>
    <w:rsid w:val="17CB1D98"/>
    <w:rsid w:val="17CD529B"/>
    <w:rsid w:val="17D271A5"/>
    <w:rsid w:val="17D77DA9"/>
    <w:rsid w:val="17D96B2F"/>
    <w:rsid w:val="17E3743F"/>
    <w:rsid w:val="17E840C0"/>
    <w:rsid w:val="17E85AC5"/>
    <w:rsid w:val="17EA27C8"/>
    <w:rsid w:val="17ED1F4D"/>
    <w:rsid w:val="17EF3C3D"/>
    <w:rsid w:val="17F90564"/>
    <w:rsid w:val="17FB0B65"/>
    <w:rsid w:val="17FD7FE9"/>
    <w:rsid w:val="1811250D"/>
    <w:rsid w:val="18170B93"/>
    <w:rsid w:val="182633AB"/>
    <w:rsid w:val="1829415E"/>
    <w:rsid w:val="182B30B6"/>
    <w:rsid w:val="182E403B"/>
    <w:rsid w:val="183539C6"/>
    <w:rsid w:val="183A58CF"/>
    <w:rsid w:val="183D6D9C"/>
    <w:rsid w:val="183F1D57"/>
    <w:rsid w:val="18422CDC"/>
    <w:rsid w:val="184A22E6"/>
    <w:rsid w:val="184A3267"/>
    <w:rsid w:val="185254F4"/>
    <w:rsid w:val="1858450F"/>
    <w:rsid w:val="185E1C23"/>
    <w:rsid w:val="18671C16"/>
    <w:rsid w:val="186E7023"/>
    <w:rsid w:val="187831B6"/>
    <w:rsid w:val="18787932"/>
    <w:rsid w:val="187B7266"/>
    <w:rsid w:val="187E50BF"/>
    <w:rsid w:val="188624CB"/>
    <w:rsid w:val="188C65D3"/>
    <w:rsid w:val="18A26578"/>
    <w:rsid w:val="18AD238B"/>
    <w:rsid w:val="18B8071C"/>
    <w:rsid w:val="18BA5E1D"/>
    <w:rsid w:val="18BB0F95"/>
    <w:rsid w:val="18BC1320"/>
    <w:rsid w:val="18CC73BC"/>
    <w:rsid w:val="18D86A52"/>
    <w:rsid w:val="18DA1F55"/>
    <w:rsid w:val="18E21560"/>
    <w:rsid w:val="18E55D68"/>
    <w:rsid w:val="18E67433"/>
    <w:rsid w:val="18EF0876"/>
    <w:rsid w:val="19031A95"/>
    <w:rsid w:val="19063631"/>
    <w:rsid w:val="19073D1E"/>
    <w:rsid w:val="190D49C0"/>
    <w:rsid w:val="190E58A7"/>
    <w:rsid w:val="1913051A"/>
    <w:rsid w:val="191C0440"/>
    <w:rsid w:val="19204742"/>
    <w:rsid w:val="192B2C59"/>
    <w:rsid w:val="192C06DB"/>
    <w:rsid w:val="19314B52"/>
    <w:rsid w:val="19345480"/>
    <w:rsid w:val="19354776"/>
    <w:rsid w:val="19440139"/>
    <w:rsid w:val="19464B08"/>
    <w:rsid w:val="19495A8C"/>
    <w:rsid w:val="19516372"/>
    <w:rsid w:val="1954601C"/>
    <w:rsid w:val="19553A9D"/>
    <w:rsid w:val="195B37A8"/>
    <w:rsid w:val="19636636"/>
    <w:rsid w:val="19650358"/>
    <w:rsid w:val="196717B9"/>
    <w:rsid w:val="19682ABE"/>
    <w:rsid w:val="196842EC"/>
    <w:rsid w:val="196F7429"/>
    <w:rsid w:val="19717B4A"/>
    <w:rsid w:val="1973304D"/>
    <w:rsid w:val="19736EC8"/>
    <w:rsid w:val="197BE17A"/>
    <w:rsid w:val="197D71E0"/>
    <w:rsid w:val="198048E1"/>
    <w:rsid w:val="19815BE6"/>
    <w:rsid w:val="19840D69"/>
    <w:rsid w:val="198432E8"/>
    <w:rsid w:val="1986533E"/>
    <w:rsid w:val="198673A2"/>
    <w:rsid w:val="19885571"/>
    <w:rsid w:val="198951F1"/>
    <w:rsid w:val="19923117"/>
    <w:rsid w:val="19967E8A"/>
    <w:rsid w:val="19A35324"/>
    <w:rsid w:val="19A85140"/>
    <w:rsid w:val="19A91329"/>
    <w:rsid w:val="19AC44AC"/>
    <w:rsid w:val="19B17E47"/>
    <w:rsid w:val="19B823ED"/>
    <w:rsid w:val="19BE5A4B"/>
    <w:rsid w:val="19BF56CB"/>
    <w:rsid w:val="19D368EA"/>
    <w:rsid w:val="19D55670"/>
    <w:rsid w:val="19D865F5"/>
    <w:rsid w:val="19DD2F2D"/>
    <w:rsid w:val="19DF45AE"/>
    <w:rsid w:val="19E16F05"/>
    <w:rsid w:val="19E47E89"/>
    <w:rsid w:val="19E52087"/>
    <w:rsid w:val="19E67B09"/>
    <w:rsid w:val="19E70E0E"/>
    <w:rsid w:val="19EA1D92"/>
    <w:rsid w:val="19EC6CCB"/>
    <w:rsid w:val="19EE2997"/>
    <w:rsid w:val="19F1171D"/>
    <w:rsid w:val="19F35017"/>
    <w:rsid w:val="19F53DD2"/>
    <w:rsid w:val="19F945AB"/>
    <w:rsid w:val="1A004525"/>
    <w:rsid w:val="1A027439"/>
    <w:rsid w:val="1A077661"/>
    <w:rsid w:val="1A092647"/>
    <w:rsid w:val="1A0B14C4"/>
    <w:rsid w:val="1A0B5B4A"/>
    <w:rsid w:val="1A0C4C78"/>
    <w:rsid w:val="1A0D104E"/>
    <w:rsid w:val="1A101A2C"/>
    <w:rsid w:val="1A117A54"/>
    <w:rsid w:val="1A16195D"/>
    <w:rsid w:val="1A187AC0"/>
    <w:rsid w:val="1A1A0363"/>
    <w:rsid w:val="1A1B5DE5"/>
    <w:rsid w:val="1A2453EF"/>
    <w:rsid w:val="1A287679"/>
    <w:rsid w:val="1A2D3B01"/>
    <w:rsid w:val="1A2E3780"/>
    <w:rsid w:val="1A35698F"/>
    <w:rsid w:val="1A391B12"/>
    <w:rsid w:val="1A3C423D"/>
    <w:rsid w:val="1A3E181D"/>
    <w:rsid w:val="1A422421"/>
    <w:rsid w:val="1A441E72"/>
    <w:rsid w:val="1A48432A"/>
    <w:rsid w:val="1A4C6C0E"/>
    <w:rsid w:val="1A4E1AB7"/>
    <w:rsid w:val="1A512A3C"/>
    <w:rsid w:val="1A520169"/>
    <w:rsid w:val="1A6900E2"/>
    <w:rsid w:val="1A702BDF"/>
    <w:rsid w:val="1A7032F0"/>
    <w:rsid w:val="1A7B3880"/>
    <w:rsid w:val="1A7C1301"/>
    <w:rsid w:val="1A7E1F01"/>
    <w:rsid w:val="1A7F5B09"/>
    <w:rsid w:val="1A8213DE"/>
    <w:rsid w:val="1A830C8C"/>
    <w:rsid w:val="1A8A775E"/>
    <w:rsid w:val="1A8E4A9F"/>
    <w:rsid w:val="1A913825"/>
    <w:rsid w:val="1A9D50B9"/>
    <w:rsid w:val="1A9F05BC"/>
    <w:rsid w:val="1AA1023C"/>
    <w:rsid w:val="1AA13ABF"/>
    <w:rsid w:val="1AA3373F"/>
    <w:rsid w:val="1AA524C6"/>
    <w:rsid w:val="1AAA694D"/>
    <w:rsid w:val="1AB0041E"/>
    <w:rsid w:val="1AB45603"/>
    <w:rsid w:val="1AB75C63"/>
    <w:rsid w:val="1AB87E61"/>
    <w:rsid w:val="1ABF1CEA"/>
    <w:rsid w:val="1AC570D5"/>
    <w:rsid w:val="1AC629FA"/>
    <w:rsid w:val="1AD9749D"/>
    <w:rsid w:val="1AE16AA7"/>
    <w:rsid w:val="1AE2232B"/>
    <w:rsid w:val="1AE97737"/>
    <w:rsid w:val="1AEE3BBF"/>
    <w:rsid w:val="1AF97D1E"/>
    <w:rsid w:val="1AFA5418"/>
    <w:rsid w:val="1B014DDE"/>
    <w:rsid w:val="1B0A3FE6"/>
    <w:rsid w:val="1B0C316F"/>
    <w:rsid w:val="1B0D536D"/>
    <w:rsid w:val="1B127276"/>
    <w:rsid w:val="1B225312"/>
    <w:rsid w:val="1B256297"/>
    <w:rsid w:val="1B33302E"/>
    <w:rsid w:val="1B356531"/>
    <w:rsid w:val="1B3758BA"/>
    <w:rsid w:val="1B384A0B"/>
    <w:rsid w:val="1B3A29B9"/>
    <w:rsid w:val="1B3C5EBC"/>
    <w:rsid w:val="1B3D71C1"/>
    <w:rsid w:val="1B435847"/>
    <w:rsid w:val="1B446B4C"/>
    <w:rsid w:val="1B4C6157"/>
    <w:rsid w:val="1B4E745B"/>
    <w:rsid w:val="1B532E8D"/>
    <w:rsid w:val="1B612879"/>
    <w:rsid w:val="1B6603B7"/>
    <w:rsid w:val="1B682203"/>
    <w:rsid w:val="1B6D1F0E"/>
    <w:rsid w:val="1B6D668B"/>
    <w:rsid w:val="1B6F3710"/>
    <w:rsid w:val="1B786E34"/>
    <w:rsid w:val="1B79433B"/>
    <w:rsid w:val="1B7E150E"/>
    <w:rsid w:val="1B7F1E29"/>
    <w:rsid w:val="1B812439"/>
    <w:rsid w:val="1B81532C"/>
    <w:rsid w:val="1B872291"/>
    <w:rsid w:val="1B8E2443"/>
    <w:rsid w:val="1B944AF4"/>
    <w:rsid w:val="1B974531"/>
    <w:rsid w:val="1B9D4C5C"/>
    <w:rsid w:val="1BAB3F72"/>
    <w:rsid w:val="1BAC6712"/>
    <w:rsid w:val="1BB003F9"/>
    <w:rsid w:val="1BB12DDD"/>
    <w:rsid w:val="1BB846D6"/>
    <w:rsid w:val="1BBF7C5E"/>
    <w:rsid w:val="1BC007FC"/>
    <w:rsid w:val="1BC65E20"/>
    <w:rsid w:val="1BD50C4F"/>
    <w:rsid w:val="1BD712B5"/>
    <w:rsid w:val="1BD815BE"/>
    <w:rsid w:val="1BD87319"/>
    <w:rsid w:val="1BDB6CBF"/>
    <w:rsid w:val="1BDE7C44"/>
    <w:rsid w:val="1BE475CF"/>
    <w:rsid w:val="1BEB27DD"/>
    <w:rsid w:val="1BF70B1B"/>
    <w:rsid w:val="1BF84071"/>
    <w:rsid w:val="1BFE5F7A"/>
    <w:rsid w:val="1C0D0793"/>
    <w:rsid w:val="1C1027E3"/>
    <w:rsid w:val="1C135F20"/>
    <w:rsid w:val="1C146065"/>
    <w:rsid w:val="1C1A7AA9"/>
    <w:rsid w:val="1C243C3B"/>
    <w:rsid w:val="1C2564C4"/>
    <w:rsid w:val="1C2A5B45"/>
    <w:rsid w:val="1C36422E"/>
    <w:rsid w:val="1C3B3861"/>
    <w:rsid w:val="1C444B9D"/>
    <w:rsid w:val="1C4572DE"/>
    <w:rsid w:val="1C487B4D"/>
    <w:rsid w:val="1C4A4D75"/>
    <w:rsid w:val="1C582FB6"/>
    <w:rsid w:val="1C656C23"/>
    <w:rsid w:val="1C6C2B3F"/>
    <w:rsid w:val="1C6F2DB6"/>
    <w:rsid w:val="1C700838"/>
    <w:rsid w:val="1C784A0B"/>
    <w:rsid w:val="1C7A6BC9"/>
    <w:rsid w:val="1C7B464A"/>
    <w:rsid w:val="1C7E1D4C"/>
    <w:rsid w:val="1C80524F"/>
    <w:rsid w:val="1C835DC7"/>
    <w:rsid w:val="1C8C2366"/>
    <w:rsid w:val="1C900D6C"/>
    <w:rsid w:val="1C943EEF"/>
    <w:rsid w:val="1C9A167C"/>
    <w:rsid w:val="1C9A47BD"/>
    <w:rsid w:val="1CA11007"/>
    <w:rsid w:val="1CA20C86"/>
    <w:rsid w:val="1CA73F55"/>
    <w:rsid w:val="1CAA6093"/>
    <w:rsid w:val="1CAE4A99"/>
    <w:rsid w:val="1CB369A2"/>
    <w:rsid w:val="1CB44424"/>
    <w:rsid w:val="1CB65729"/>
    <w:rsid w:val="1CB753A9"/>
    <w:rsid w:val="1CBA09BB"/>
    <w:rsid w:val="1CCB4523"/>
    <w:rsid w:val="1CCE13F9"/>
    <w:rsid w:val="1CD55FDE"/>
    <w:rsid w:val="1CD92CEB"/>
    <w:rsid w:val="1CDB4C49"/>
    <w:rsid w:val="1CDB5968"/>
    <w:rsid w:val="1CE44F73"/>
    <w:rsid w:val="1CE54FF7"/>
    <w:rsid w:val="1CE56278"/>
    <w:rsid w:val="1CED3684"/>
    <w:rsid w:val="1CFA7117"/>
    <w:rsid w:val="1CFD009B"/>
    <w:rsid w:val="1D031FA5"/>
    <w:rsid w:val="1D054606"/>
    <w:rsid w:val="1D07422E"/>
    <w:rsid w:val="1D1327C1"/>
    <w:rsid w:val="1D13655E"/>
    <w:rsid w:val="1D152095"/>
    <w:rsid w:val="1D181F4A"/>
    <w:rsid w:val="1D185917"/>
    <w:rsid w:val="1D1C0950"/>
    <w:rsid w:val="1D1E6052"/>
    <w:rsid w:val="1D1F2520"/>
    <w:rsid w:val="1D2B10A9"/>
    <w:rsid w:val="1D3A5731"/>
    <w:rsid w:val="1D411DB3"/>
    <w:rsid w:val="1D443981"/>
    <w:rsid w:val="1D457596"/>
    <w:rsid w:val="1D5231CF"/>
    <w:rsid w:val="1D562F59"/>
    <w:rsid w:val="1D5D13BA"/>
    <w:rsid w:val="1D5F48BD"/>
    <w:rsid w:val="1D6923E1"/>
    <w:rsid w:val="1D6A64D1"/>
    <w:rsid w:val="1D6B06CF"/>
    <w:rsid w:val="1D6C348C"/>
    <w:rsid w:val="1D740FDF"/>
    <w:rsid w:val="1D7E63B6"/>
    <w:rsid w:val="1D8315F9"/>
    <w:rsid w:val="1D885A81"/>
    <w:rsid w:val="1D891719"/>
    <w:rsid w:val="1D8D6E42"/>
    <w:rsid w:val="1D954F84"/>
    <w:rsid w:val="1D970CFC"/>
    <w:rsid w:val="1D982B17"/>
    <w:rsid w:val="1D9C4FE8"/>
    <w:rsid w:val="1DA43F14"/>
    <w:rsid w:val="1DB16EE3"/>
    <w:rsid w:val="1DB925D4"/>
    <w:rsid w:val="1DC37D43"/>
    <w:rsid w:val="1DC85359"/>
    <w:rsid w:val="1DD3267D"/>
    <w:rsid w:val="1DDF4451"/>
    <w:rsid w:val="1DE13B91"/>
    <w:rsid w:val="1DE32918"/>
    <w:rsid w:val="1DF7B47B"/>
    <w:rsid w:val="1DFD6643"/>
    <w:rsid w:val="1E073DD1"/>
    <w:rsid w:val="1E081852"/>
    <w:rsid w:val="1E1025AA"/>
    <w:rsid w:val="1E117F64"/>
    <w:rsid w:val="1E1467F1"/>
    <w:rsid w:val="1E1660C5"/>
    <w:rsid w:val="1E1E7279"/>
    <w:rsid w:val="1E285EAC"/>
    <w:rsid w:val="1E2A78D2"/>
    <w:rsid w:val="1E2B6317"/>
    <w:rsid w:val="1E303A24"/>
    <w:rsid w:val="1E387E23"/>
    <w:rsid w:val="1E3D18A3"/>
    <w:rsid w:val="1E4502E1"/>
    <w:rsid w:val="1E4538B6"/>
    <w:rsid w:val="1E4A35C1"/>
    <w:rsid w:val="1E4B3E1D"/>
    <w:rsid w:val="1E4F41C5"/>
    <w:rsid w:val="1E532BCB"/>
    <w:rsid w:val="1E682698"/>
    <w:rsid w:val="1E685864"/>
    <w:rsid w:val="1E702BF6"/>
    <w:rsid w:val="1E77318B"/>
    <w:rsid w:val="1E7A4110"/>
    <w:rsid w:val="1E81151C"/>
    <w:rsid w:val="1E85324A"/>
    <w:rsid w:val="1E857F22"/>
    <w:rsid w:val="1E9062B3"/>
    <w:rsid w:val="1E913D35"/>
    <w:rsid w:val="1E9239B5"/>
    <w:rsid w:val="1E9553D5"/>
    <w:rsid w:val="1E97491F"/>
    <w:rsid w:val="1E993340"/>
    <w:rsid w:val="1E9A4645"/>
    <w:rsid w:val="1EA37AC2"/>
    <w:rsid w:val="1EAE4E82"/>
    <w:rsid w:val="1EB51E74"/>
    <w:rsid w:val="1EB573ED"/>
    <w:rsid w:val="1EB80371"/>
    <w:rsid w:val="1EBA1E97"/>
    <w:rsid w:val="1EBA66B8"/>
    <w:rsid w:val="1EBC2FC3"/>
    <w:rsid w:val="1EBE5AFE"/>
    <w:rsid w:val="1EBF50DB"/>
    <w:rsid w:val="1ECA7392"/>
    <w:rsid w:val="1ECE2E43"/>
    <w:rsid w:val="1ED0129B"/>
    <w:rsid w:val="1ED12C19"/>
    <w:rsid w:val="1ED15714"/>
    <w:rsid w:val="1ED33929"/>
    <w:rsid w:val="1EDE21B0"/>
    <w:rsid w:val="1EE559BD"/>
    <w:rsid w:val="1EE739FA"/>
    <w:rsid w:val="1EEE2B9E"/>
    <w:rsid w:val="1EF03D4E"/>
    <w:rsid w:val="1EF321D1"/>
    <w:rsid w:val="1EF65C58"/>
    <w:rsid w:val="1EF76329"/>
    <w:rsid w:val="1EFA20E0"/>
    <w:rsid w:val="1EFB52BB"/>
    <w:rsid w:val="1F050471"/>
    <w:rsid w:val="1F065EF2"/>
    <w:rsid w:val="1F073974"/>
    <w:rsid w:val="1F073C5F"/>
    <w:rsid w:val="1F093E7B"/>
    <w:rsid w:val="1F0C367F"/>
    <w:rsid w:val="1F0F0D80"/>
    <w:rsid w:val="1F102085"/>
    <w:rsid w:val="1F117B06"/>
    <w:rsid w:val="1F125588"/>
    <w:rsid w:val="1F154C40"/>
    <w:rsid w:val="1F181690"/>
    <w:rsid w:val="1F197111"/>
    <w:rsid w:val="1F1A0416"/>
    <w:rsid w:val="1F1A7E37"/>
    <w:rsid w:val="1F1E3599"/>
    <w:rsid w:val="1F1F101A"/>
    <w:rsid w:val="1F2059A4"/>
    <w:rsid w:val="1F2567A7"/>
    <w:rsid w:val="1F265F2D"/>
    <w:rsid w:val="1F325ABD"/>
    <w:rsid w:val="1F3659A0"/>
    <w:rsid w:val="1F3D1C8E"/>
    <w:rsid w:val="1F420031"/>
    <w:rsid w:val="1F423B59"/>
    <w:rsid w:val="1F447463"/>
    <w:rsid w:val="1F452741"/>
    <w:rsid w:val="1F512AEE"/>
    <w:rsid w:val="1F5534A4"/>
    <w:rsid w:val="1F5749F8"/>
    <w:rsid w:val="1F5A597C"/>
    <w:rsid w:val="1F674C92"/>
    <w:rsid w:val="1F685C3D"/>
    <w:rsid w:val="1F6B3698"/>
    <w:rsid w:val="1F6C111A"/>
    <w:rsid w:val="1F6E1F30"/>
    <w:rsid w:val="1F7538D1"/>
    <w:rsid w:val="1F777440"/>
    <w:rsid w:val="1F7E26B9"/>
    <w:rsid w:val="1F7F25FA"/>
    <w:rsid w:val="1F8232BD"/>
    <w:rsid w:val="1F877EF4"/>
    <w:rsid w:val="1F8C7450"/>
    <w:rsid w:val="1F904D65"/>
    <w:rsid w:val="1F923E71"/>
    <w:rsid w:val="1F925C1F"/>
    <w:rsid w:val="1F9757E1"/>
    <w:rsid w:val="1F9B4659"/>
    <w:rsid w:val="1F9D516C"/>
    <w:rsid w:val="1FA328F8"/>
    <w:rsid w:val="1FA6387D"/>
    <w:rsid w:val="1FA94802"/>
    <w:rsid w:val="1FAC1F03"/>
    <w:rsid w:val="1FB13E0C"/>
    <w:rsid w:val="1FB35111"/>
    <w:rsid w:val="1FB42314"/>
    <w:rsid w:val="1FB66096"/>
    <w:rsid w:val="1FB83797"/>
    <w:rsid w:val="1FC353AC"/>
    <w:rsid w:val="1FC37E18"/>
    <w:rsid w:val="1FCF567D"/>
    <w:rsid w:val="1FD552C6"/>
    <w:rsid w:val="1FD665CB"/>
    <w:rsid w:val="1FD81ACE"/>
    <w:rsid w:val="1FD941DA"/>
    <w:rsid w:val="1FD9754F"/>
    <w:rsid w:val="1FDD26D2"/>
    <w:rsid w:val="1FDF1459"/>
    <w:rsid w:val="1FE04BDC"/>
    <w:rsid w:val="1FE24F2F"/>
    <w:rsid w:val="1FE3205D"/>
    <w:rsid w:val="1FE37E5F"/>
    <w:rsid w:val="1FE449CC"/>
    <w:rsid w:val="1FE709DB"/>
    <w:rsid w:val="1FE864E5"/>
    <w:rsid w:val="1FE93F66"/>
    <w:rsid w:val="1FF02946"/>
    <w:rsid w:val="1FF43E83"/>
    <w:rsid w:val="1FFDA6ED"/>
    <w:rsid w:val="1FFE2024"/>
    <w:rsid w:val="1FFEC118"/>
    <w:rsid w:val="1FFF3F0C"/>
    <w:rsid w:val="20071D4E"/>
    <w:rsid w:val="20104D96"/>
    <w:rsid w:val="20182501"/>
    <w:rsid w:val="20187034"/>
    <w:rsid w:val="20201EC2"/>
    <w:rsid w:val="20251BCD"/>
    <w:rsid w:val="20263DCB"/>
    <w:rsid w:val="20286583"/>
    <w:rsid w:val="20294D50"/>
    <w:rsid w:val="202E4A5B"/>
    <w:rsid w:val="20342460"/>
    <w:rsid w:val="203978C9"/>
    <w:rsid w:val="203B42C4"/>
    <w:rsid w:val="203F2777"/>
    <w:rsid w:val="20404975"/>
    <w:rsid w:val="20474300"/>
    <w:rsid w:val="20485605"/>
    <w:rsid w:val="20497803"/>
    <w:rsid w:val="204B2D06"/>
    <w:rsid w:val="20576CB7"/>
    <w:rsid w:val="20586E69"/>
    <w:rsid w:val="205F522A"/>
    <w:rsid w:val="20602CAB"/>
    <w:rsid w:val="206D1FC1"/>
    <w:rsid w:val="20752C51"/>
    <w:rsid w:val="20791657"/>
    <w:rsid w:val="207922E0"/>
    <w:rsid w:val="207A3855"/>
    <w:rsid w:val="207C3653"/>
    <w:rsid w:val="20816A63"/>
    <w:rsid w:val="20857668"/>
    <w:rsid w:val="208D02F8"/>
    <w:rsid w:val="208F215E"/>
    <w:rsid w:val="20987265"/>
    <w:rsid w:val="209C728D"/>
    <w:rsid w:val="20A26F98"/>
    <w:rsid w:val="20A7561E"/>
    <w:rsid w:val="20AF2A2B"/>
    <w:rsid w:val="20AF62AE"/>
    <w:rsid w:val="20B02187"/>
    <w:rsid w:val="20B15F2E"/>
    <w:rsid w:val="20B239AF"/>
    <w:rsid w:val="20B6593D"/>
    <w:rsid w:val="20C626AD"/>
    <w:rsid w:val="20CB235B"/>
    <w:rsid w:val="20D17AE7"/>
    <w:rsid w:val="20D364EF"/>
    <w:rsid w:val="20DD55C0"/>
    <w:rsid w:val="20E144FE"/>
    <w:rsid w:val="20E76408"/>
    <w:rsid w:val="20E9518E"/>
    <w:rsid w:val="20EA738C"/>
    <w:rsid w:val="20EF5162"/>
    <w:rsid w:val="20F37C9C"/>
    <w:rsid w:val="20FA476B"/>
    <w:rsid w:val="20FA7627"/>
    <w:rsid w:val="20FB50A8"/>
    <w:rsid w:val="20FD3E2F"/>
    <w:rsid w:val="21024A33"/>
    <w:rsid w:val="210A38D7"/>
    <w:rsid w:val="210E1B4B"/>
    <w:rsid w:val="21112ACF"/>
    <w:rsid w:val="21141DD0"/>
    <w:rsid w:val="2116462E"/>
    <w:rsid w:val="2118245A"/>
    <w:rsid w:val="21283444"/>
    <w:rsid w:val="212D20A3"/>
    <w:rsid w:val="212E1977"/>
    <w:rsid w:val="21396212"/>
    <w:rsid w:val="214210A0"/>
    <w:rsid w:val="21447A99"/>
    <w:rsid w:val="21465528"/>
    <w:rsid w:val="214A06AB"/>
    <w:rsid w:val="214B612C"/>
    <w:rsid w:val="214F2F97"/>
    <w:rsid w:val="215142C5"/>
    <w:rsid w:val="21533539"/>
    <w:rsid w:val="215544BD"/>
    <w:rsid w:val="215F0650"/>
    <w:rsid w:val="2160488C"/>
    <w:rsid w:val="21652559"/>
    <w:rsid w:val="21664758"/>
    <w:rsid w:val="21690C01"/>
    <w:rsid w:val="216C24A0"/>
    <w:rsid w:val="216D6F57"/>
    <w:rsid w:val="216E129E"/>
    <w:rsid w:val="216F2E69"/>
    <w:rsid w:val="21723F5A"/>
    <w:rsid w:val="21747CD2"/>
    <w:rsid w:val="21754D72"/>
    <w:rsid w:val="21760275"/>
    <w:rsid w:val="21772473"/>
    <w:rsid w:val="21803A4E"/>
    <w:rsid w:val="218250DB"/>
    <w:rsid w:val="2187050F"/>
    <w:rsid w:val="21902632"/>
    <w:rsid w:val="219279E2"/>
    <w:rsid w:val="21947825"/>
    <w:rsid w:val="219828A0"/>
    <w:rsid w:val="219E39B8"/>
    <w:rsid w:val="21A37E40"/>
    <w:rsid w:val="21BC51D5"/>
    <w:rsid w:val="21BE2BE8"/>
    <w:rsid w:val="21C704CF"/>
    <w:rsid w:val="21C85928"/>
    <w:rsid w:val="21CD0C84"/>
    <w:rsid w:val="21CF4187"/>
    <w:rsid w:val="21D175BF"/>
    <w:rsid w:val="21D27754"/>
    <w:rsid w:val="21D56090"/>
    <w:rsid w:val="21D87015"/>
    <w:rsid w:val="21D94A96"/>
    <w:rsid w:val="21DD6EFA"/>
    <w:rsid w:val="21DE0F1E"/>
    <w:rsid w:val="21E06620"/>
    <w:rsid w:val="21E32E28"/>
    <w:rsid w:val="21EA6022"/>
    <w:rsid w:val="21F33ACF"/>
    <w:rsid w:val="21FA5CFD"/>
    <w:rsid w:val="21FF6ED4"/>
    <w:rsid w:val="21FF7C6D"/>
    <w:rsid w:val="220B656A"/>
    <w:rsid w:val="220B7F0B"/>
    <w:rsid w:val="220C3FEC"/>
    <w:rsid w:val="221413F8"/>
    <w:rsid w:val="221B56B0"/>
    <w:rsid w:val="221C4286"/>
    <w:rsid w:val="22214E8B"/>
    <w:rsid w:val="22241693"/>
    <w:rsid w:val="22264B96"/>
    <w:rsid w:val="22302F27"/>
    <w:rsid w:val="223076A3"/>
    <w:rsid w:val="22315125"/>
    <w:rsid w:val="22326FBF"/>
    <w:rsid w:val="2234192D"/>
    <w:rsid w:val="223573AF"/>
    <w:rsid w:val="22364E30"/>
    <w:rsid w:val="223D0F38"/>
    <w:rsid w:val="22446344"/>
    <w:rsid w:val="224A18E5"/>
    <w:rsid w:val="224E24D7"/>
    <w:rsid w:val="225678E3"/>
    <w:rsid w:val="22575365"/>
    <w:rsid w:val="225E4CF0"/>
    <w:rsid w:val="2264625C"/>
    <w:rsid w:val="226755FF"/>
    <w:rsid w:val="22690B02"/>
    <w:rsid w:val="226A65F7"/>
    <w:rsid w:val="226F3FF6"/>
    <w:rsid w:val="22703D10"/>
    <w:rsid w:val="22711C11"/>
    <w:rsid w:val="2274496A"/>
    <w:rsid w:val="22775899"/>
    <w:rsid w:val="227D6B74"/>
    <w:rsid w:val="22850432"/>
    <w:rsid w:val="22857CBD"/>
    <w:rsid w:val="22862631"/>
    <w:rsid w:val="22885B34"/>
    <w:rsid w:val="22894F6C"/>
    <w:rsid w:val="228B233C"/>
    <w:rsid w:val="228D26CE"/>
    <w:rsid w:val="22902F40"/>
    <w:rsid w:val="22921CC7"/>
    <w:rsid w:val="229B4DEB"/>
    <w:rsid w:val="22A031DB"/>
    <w:rsid w:val="22A5796D"/>
    <w:rsid w:val="22A805E7"/>
    <w:rsid w:val="22AA7723"/>
    <w:rsid w:val="22B03475"/>
    <w:rsid w:val="22B6537E"/>
    <w:rsid w:val="22C55999"/>
    <w:rsid w:val="22C8691D"/>
    <w:rsid w:val="22CC2DA5"/>
    <w:rsid w:val="22CF0F4A"/>
    <w:rsid w:val="22D24A4D"/>
    <w:rsid w:val="22D622C7"/>
    <w:rsid w:val="22D66F38"/>
    <w:rsid w:val="22D82117"/>
    <w:rsid w:val="22D94639"/>
    <w:rsid w:val="22DA2031"/>
    <w:rsid w:val="22DB7B3C"/>
    <w:rsid w:val="22DC7E46"/>
    <w:rsid w:val="22DF561F"/>
    <w:rsid w:val="22E152C9"/>
    <w:rsid w:val="22E3039A"/>
    <w:rsid w:val="22E6302E"/>
    <w:rsid w:val="22E86E52"/>
    <w:rsid w:val="22EA7B20"/>
    <w:rsid w:val="22EC408D"/>
    <w:rsid w:val="22F17A87"/>
    <w:rsid w:val="22FB5E73"/>
    <w:rsid w:val="22FB7F7F"/>
    <w:rsid w:val="23013DEC"/>
    <w:rsid w:val="2302327F"/>
    <w:rsid w:val="23081905"/>
    <w:rsid w:val="23085188"/>
    <w:rsid w:val="230E45B8"/>
    <w:rsid w:val="23156A1D"/>
    <w:rsid w:val="231860A1"/>
    <w:rsid w:val="231E732C"/>
    <w:rsid w:val="23231A73"/>
    <w:rsid w:val="232B0BC0"/>
    <w:rsid w:val="232C6642"/>
    <w:rsid w:val="23312A20"/>
    <w:rsid w:val="233F7E6C"/>
    <w:rsid w:val="234260D3"/>
    <w:rsid w:val="234671EC"/>
    <w:rsid w:val="234704F0"/>
    <w:rsid w:val="23512FFE"/>
    <w:rsid w:val="23571966"/>
    <w:rsid w:val="23580F2E"/>
    <w:rsid w:val="235D02F2"/>
    <w:rsid w:val="235D6E11"/>
    <w:rsid w:val="23615817"/>
    <w:rsid w:val="2363459D"/>
    <w:rsid w:val="23641B90"/>
    <w:rsid w:val="23675615"/>
    <w:rsid w:val="236A26C9"/>
    <w:rsid w:val="236A6126"/>
    <w:rsid w:val="236F0F4B"/>
    <w:rsid w:val="23700030"/>
    <w:rsid w:val="23703F97"/>
    <w:rsid w:val="2379093F"/>
    <w:rsid w:val="237D5147"/>
    <w:rsid w:val="237F1814"/>
    <w:rsid w:val="23815D4C"/>
    <w:rsid w:val="23827050"/>
    <w:rsid w:val="238C7960"/>
    <w:rsid w:val="23921869"/>
    <w:rsid w:val="2392443F"/>
    <w:rsid w:val="23A4711D"/>
    <w:rsid w:val="23AD3718"/>
    <w:rsid w:val="23B32608"/>
    <w:rsid w:val="23B755D9"/>
    <w:rsid w:val="23C639FD"/>
    <w:rsid w:val="23C93F42"/>
    <w:rsid w:val="23CD191B"/>
    <w:rsid w:val="23D662A3"/>
    <w:rsid w:val="23D87206"/>
    <w:rsid w:val="23DA54E1"/>
    <w:rsid w:val="23DF3620"/>
    <w:rsid w:val="23E634F2"/>
    <w:rsid w:val="23F30609"/>
    <w:rsid w:val="24027D8C"/>
    <w:rsid w:val="240C6FB5"/>
    <w:rsid w:val="24140B3E"/>
    <w:rsid w:val="24155071"/>
    <w:rsid w:val="241903C6"/>
    <w:rsid w:val="24212E47"/>
    <w:rsid w:val="242A3B82"/>
    <w:rsid w:val="242F29EC"/>
    <w:rsid w:val="24304BEB"/>
    <w:rsid w:val="24377DF9"/>
    <w:rsid w:val="243D7784"/>
    <w:rsid w:val="243F7403"/>
    <w:rsid w:val="244B0C98"/>
    <w:rsid w:val="244C69C1"/>
    <w:rsid w:val="245473A9"/>
    <w:rsid w:val="246C2851"/>
    <w:rsid w:val="24705167"/>
    <w:rsid w:val="24716CD9"/>
    <w:rsid w:val="247A4C56"/>
    <w:rsid w:val="247B1377"/>
    <w:rsid w:val="247D056D"/>
    <w:rsid w:val="247D4CEA"/>
    <w:rsid w:val="24805C6F"/>
    <w:rsid w:val="24822219"/>
    <w:rsid w:val="2487585F"/>
    <w:rsid w:val="24882AEF"/>
    <w:rsid w:val="24894380"/>
    <w:rsid w:val="248C5304"/>
    <w:rsid w:val="248D0808"/>
    <w:rsid w:val="248F627E"/>
    <w:rsid w:val="2491398A"/>
    <w:rsid w:val="249C1D1C"/>
    <w:rsid w:val="249C779D"/>
    <w:rsid w:val="24A269D0"/>
    <w:rsid w:val="24A37128"/>
    <w:rsid w:val="24AE54B9"/>
    <w:rsid w:val="24B44889"/>
    <w:rsid w:val="24BB1774"/>
    <w:rsid w:val="24BC5AD3"/>
    <w:rsid w:val="24BE3012"/>
    <w:rsid w:val="24C50961"/>
    <w:rsid w:val="24C53A3F"/>
    <w:rsid w:val="24C77D7F"/>
    <w:rsid w:val="24C93DF2"/>
    <w:rsid w:val="24CC02EC"/>
    <w:rsid w:val="24DB2B05"/>
    <w:rsid w:val="24E24227"/>
    <w:rsid w:val="24E64719"/>
    <w:rsid w:val="24EE1B26"/>
    <w:rsid w:val="24EF4C24"/>
    <w:rsid w:val="24F61130"/>
    <w:rsid w:val="24F84634"/>
    <w:rsid w:val="24FB55B8"/>
    <w:rsid w:val="24FF7842"/>
    <w:rsid w:val="25043CC9"/>
    <w:rsid w:val="250C2750"/>
    <w:rsid w:val="251130A9"/>
    <w:rsid w:val="25163CAA"/>
    <w:rsid w:val="251A293E"/>
    <w:rsid w:val="251B38EF"/>
    <w:rsid w:val="251D7001"/>
    <w:rsid w:val="25216A19"/>
    <w:rsid w:val="252B3B89"/>
    <w:rsid w:val="25346A17"/>
    <w:rsid w:val="25347D05"/>
    <w:rsid w:val="25354498"/>
    <w:rsid w:val="253A41A3"/>
    <w:rsid w:val="253F062B"/>
    <w:rsid w:val="253F2829"/>
    <w:rsid w:val="25437031"/>
    <w:rsid w:val="254856B7"/>
    <w:rsid w:val="25544D4D"/>
    <w:rsid w:val="255607F4"/>
    <w:rsid w:val="255D10EB"/>
    <w:rsid w:val="255D565D"/>
    <w:rsid w:val="256736AA"/>
    <w:rsid w:val="256B5B7A"/>
    <w:rsid w:val="256F5577"/>
    <w:rsid w:val="25704DCF"/>
    <w:rsid w:val="25735A27"/>
    <w:rsid w:val="25757480"/>
    <w:rsid w:val="257A3908"/>
    <w:rsid w:val="25824598"/>
    <w:rsid w:val="25916DB0"/>
    <w:rsid w:val="259C5142"/>
    <w:rsid w:val="25A153E9"/>
    <w:rsid w:val="25A30350"/>
    <w:rsid w:val="25A92259"/>
    <w:rsid w:val="25AA75E3"/>
    <w:rsid w:val="25B17E80"/>
    <w:rsid w:val="25BF43FD"/>
    <w:rsid w:val="25C01E7E"/>
    <w:rsid w:val="25C50504"/>
    <w:rsid w:val="25C82446"/>
    <w:rsid w:val="25CC42FC"/>
    <w:rsid w:val="25CD11F0"/>
    <w:rsid w:val="25D3309D"/>
    <w:rsid w:val="25D6047F"/>
    <w:rsid w:val="25D73CA2"/>
    <w:rsid w:val="25E45536"/>
    <w:rsid w:val="25E60A39"/>
    <w:rsid w:val="25EA2CC2"/>
    <w:rsid w:val="25F27756"/>
    <w:rsid w:val="25FD7B6A"/>
    <w:rsid w:val="26003E8A"/>
    <w:rsid w:val="26004E66"/>
    <w:rsid w:val="2601309C"/>
    <w:rsid w:val="260521E0"/>
    <w:rsid w:val="260A5775"/>
    <w:rsid w:val="260C0C79"/>
    <w:rsid w:val="26102F02"/>
    <w:rsid w:val="26110984"/>
    <w:rsid w:val="26126405"/>
    <w:rsid w:val="261D2218"/>
    <w:rsid w:val="2624778F"/>
    <w:rsid w:val="26253DA1"/>
    <w:rsid w:val="26265313"/>
    <w:rsid w:val="262805A9"/>
    <w:rsid w:val="262A3AAC"/>
    <w:rsid w:val="26321F0A"/>
    <w:rsid w:val="263578BE"/>
    <w:rsid w:val="26395046"/>
    <w:rsid w:val="263E2CB2"/>
    <w:rsid w:val="264136D1"/>
    <w:rsid w:val="26444656"/>
    <w:rsid w:val="264D4F65"/>
    <w:rsid w:val="264E6CBF"/>
    <w:rsid w:val="264F0468"/>
    <w:rsid w:val="264F6618"/>
    <w:rsid w:val="265A4FBD"/>
    <w:rsid w:val="265A5C75"/>
    <w:rsid w:val="265B427B"/>
    <w:rsid w:val="266A4C9D"/>
    <w:rsid w:val="266B4515"/>
    <w:rsid w:val="266B7D98"/>
    <w:rsid w:val="266C1F97"/>
    <w:rsid w:val="26705CF5"/>
    <w:rsid w:val="2673584C"/>
    <w:rsid w:val="267473A3"/>
    <w:rsid w:val="267A4B30"/>
    <w:rsid w:val="267D0080"/>
    <w:rsid w:val="2682413A"/>
    <w:rsid w:val="268818C7"/>
    <w:rsid w:val="268904F6"/>
    <w:rsid w:val="268D7140"/>
    <w:rsid w:val="268F59CF"/>
    <w:rsid w:val="26906CD3"/>
    <w:rsid w:val="26916953"/>
    <w:rsid w:val="26926958"/>
    <w:rsid w:val="269E01E7"/>
    <w:rsid w:val="26A2016B"/>
    <w:rsid w:val="26A86578"/>
    <w:rsid w:val="26AA1AA0"/>
    <w:rsid w:val="26AC2D80"/>
    <w:rsid w:val="26AD0802"/>
    <w:rsid w:val="26AD2A00"/>
    <w:rsid w:val="26B92096"/>
    <w:rsid w:val="26BF3F9F"/>
    <w:rsid w:val="26C01A21"/>
    <w:rsid w:val="26CA0394"/>
    <w:rsid w:val="26CD39E1"/>
    <w:rsid w:val="26D20A42"/>
    <w:rsid w:val="26DB38D0"/>
    <w:rsid w:val="26DC5ACE"/>
    <w:rsid w:val="26DF2B80"/>
    <w:rsid w:val="26E541DF"/>
    <w:rsid w:val="26E63E5F"/>
    <w:rsid w:val="26EA2865"/>
    <w:rsid w:val="26EC15EB"/>
    <w:rsid w:val="26EE126B"/>
    <w:rsid w:val="26FC3E04"/>
    <w:rsid w:val="26FC6002"/>
    <w:rsid w:val="270A253F"/>
    <w:rsid w:val="27110526"/>
    <w:rsid w:val="271138CD"/>
    <w:rsid w:val="27125FA8"/>
    <w:rsid w:val="271933B4"/>
    <w:rsid w:val="27195933"/>
    <w:rsid w:val="27202D3F"/>
    <w:rsid w:val="272107C1"/>
    <w:rsid w:val="27226242"/>
    <w:rsid w:val="27333F5E"/>
    <w:rsid w:val="273A6828"/>
    <w:rsid w:val="27413274"/>
    <w:rsid w:val="27420CF5"/>
    <w:rsid w:val="27430C56"/>
    <w:rsid w:val="27457B31"/>
    <w:rsid w:val="27462F7F"/>
    <w:rsid w:val="274C7086"/>
    <w:rsid w:val="274D5682"/>
    <w:rsid w:val="2751016E"/>
    <w:rsid w:val="27536A11"/>
    <w:rsid w:val="27547D16"/>
    <w:rsid w:val="275E02CC"/>
    <w:rsid w:val="2763DAD2"/>
    <w:rsid w:val="27675752"/>
    <w:rsid w:val="27684462"/>
    <w:rsid w:val="276D2E3E"/>
    <w:rsid w:val="276F6846"/>
    <w:rsid w:val="2773C088"/>
    <w:rsid w:val="27780AD8"/>
    <w:rsid w:val="27796C51"/>
    <w:rsid w:val="277C62F1"/>
    <w:rsid w:val="277D5657"/>
    <w:rsid w:val="278504E5"/>
    <w:rsid w:val="27885207"/>
    <w:rsid w:val="278E4E50"/>
    <w:rsid w:val="27930786"/>
    <w:rsid w:val="2794711F"/>
    <w:rsid w:val="27987506"/>
    <w:rsid w:val="27994F87"/>
    <w:rsid w:val="27A30F36"/>
    <w:rsid w:val="27AF712B"/>
    <w:rsid w:val="27BB7CDD"/>
    <w:rsid w:val="27BC5DDA"/>
    <w:rsid w:val="27BD5803"/>
    <w:rsid w:val="27BF60E1"/>
    <w:rsid w:val="27C76682"/>
    <w:rsid w:val="27CB7955"/>
    <w:rsid w:val="27CC0C59"/>
    <w:rsid w:val="27CC2E58"/>
    <w:rsid w:val="27CD08D9"/>
    <w:rsid w:val="27D74B79"/>
    <w:rsid w:val="27DA59F1"/>
    <w:rsid w:val="27DD66C1"/>
    <w:rsid w:val="27DD7C53"/>
    <w:rsid w:val="27DF1E78"/>
    <w:rsid w:val="27E1537C"/>
    <w:rsid w:val="27E3087F"/>
    <w:rsid w:val="27E34FFB"/>
    <w:rsid w:val="27E36A7A"/>
    <w:rsid w:val="27E7184E"/>
    <w:rsid w:val="27F72716"/>
    <w:rsid w:val="27FB5F25"/>
    <w:rsid w:val="280264D4"/>
    <w:rsid w:val="280777BA"/>
    <w:rsid w:val="28090ABE"/>
    <w:rsid w:val="28102647"/>
    <w:rsid w:val="28105ECB"/>
    <w:rsid w:val="28190D59"/>
    <w:rsid w:val="281954D5"/>
    <w:rsid w:val="281B09D9"/>
    <w:rsid w:val="281B425C"/>
    <w:rsid w:val="281D775F"/>
    <w:rsid w:val="281E2746"/>
    <w:rsid w:val="281F2C62"/>
    <w:rsid w:val="28216165"/>
    <w:rsid w:val="2825256B"/>
    <w:rsid w:val="28341582"/>
    <w:rsid w:val="28347384"/>
    <w:rsid w:val="28357004"/>
    <w:rsid w:val="28380891"/>
    <w:rsid w:val="28385D8A"/>
    <w:rsid w:val="283A32F8"/>
    <w:rsid w:val="283B0F0D"/>
    <w:rsid w:val="283B71FE"/>
    <w:rsid w:val="283D06F2"/>
    <w:rsid w:val="2841669A"/>
    <w:rsid w:val="2843631A"/>
    <w:rsid w:val="2846068E"/>
    <w:rsid w:val="284827A1"/>
    <w:rsid w:val="284866D5"/>
    <w:rsid w:val="28493AA6"/>
    <w:rsid w:val="284C1E3B"/>
    <w:rsid w:val="284D24AC"/>
    <w:rsid w:val="2857083D"/>
    <w:rsid w:val="285846C4"/>
    <w:rsid w:val="285862BF"/>
    <w:rsid w:val="2861114D"/>
    <w:rsid w:val="286D07E3"/>
    <w:rsid w:val="286F1DB1"/>
    <w:rsid w:val="28726E69"/>
    <w:rsid w:val="28754330"/>
    <w:rsid w:val="287C56BE"/>
    <w:rsid w:val="28813C00"/>
    <w:rsid w:val="28837103"/>
    <w:rsid w:val="28855E8A"/>
    <w:rsid w:val="2886198F"/>
    <w:rsid w:val="2886653D"/>
    <w:rsid w:val="288F6370"/>
    <w:rsid w:val="28932C21"/>
    <w:rsid w:val="28951DB4"/>
    <w:rsid w:val="289E73E3"/>
    <w:rsid w:val="28A130D9"/>
    <w:rsid w:val="28AB02C8"/>
    <w:rsid w:val="28AE124C"/>
    <w:rsid w:val="28B43155"/>
    <w:rsid w:val="28BC39BA"/>
    <w:rsid w:val="28BD1316"/>
    <w:rsid w:val="28BF6F68"/>
    <w:rsid w:val="28D33A0A"/>
    <w:rsid w:val="28DD3A52"/>
    <w:rsid w:val="28DE3F9A"/>
    <w:rsid w:val="28E33CA5"/>
    <w:rsid w:val="28E41726"/>
    <w:rsid w:val="28EB63A0"/>
    <w:rsid w:val="28EC6B33"/>
    <w:rsid w:val="28ED45B4"/>
    <w:rsid w:val="2904503D"/>
    <w:rsid w:val="29051C5B"/>
    <w:rsid w:val="290E6CE7"/>
    <w:rsid w:val="290F4769"/>
    <w:rsid w:val="291134EF"/>
    <w:rsid w:val="291256ED"/>
    <w:rsid w:val="291753F8"/>
    <w:rsid w:val="291F2805"/>
    <w:rsid w:val="29271A16"/>
    <w:rsid w:val="292960E7"/>
    <w:rsid w:val="292C2A21"/>
    <w:rsid w:val="292F2A9F"/>
    <w:rsid w:val="29311825"/>
    <w:rsid w:val="29324F91"/>
    <w:rsid w:val="29344A8D"/>
    <w:rsid w:val="293E014F"/>
    <w:rsid w:val="294007BB"/>
    <w:rsid w:val="29472655"/>
    <w:rsid w:val="2956295F"/>
    <w:rsid w:val="29564EDD"/>
    <w:rsid w:val="295E626A"/>
    <w:rsid w:val="295E7D6B"/>
    <w:rsid w:val="29606AF1"/>
    <w:rsid w:val="296E0005"/>
    <w:rsid w:val="296E14AB"/>
    <w:rsid w:val="296F3889"/>
    <w:rsid w:val="297705D6"/>
    <w:rsid w:val="29780915"/>
    <w:rsid w:val="297A3E18"/>
    <w:rsid w:val="29824AA8"/>
    <w:rsid w:val="298857C7"/>
    <w:rsid w:val="299B62A9"/>
    <w:rsid w:val="299E43D8"/>
    <w:rsid w:val="299F23CE"/>
    <w:rsid w:val="299F65D6"/>
    <w:rsid w:val="29A22DDE"/>
    <w:rsid w:val="29A71464"/>
    <w:rsid w:val="29AC58EC"/>
    <w:rsid w:val="29B661FB"/>
    <w:rsid w:val="29B92E3F"/>
    <w:rsid w:val="29BB7123"/>
    <w:rsid w:val="29BC3988"/>
    <w:rsid w:val="29BD7D3C"/>
    <w:rsid w:val="29C916E9"/>
    <w:rsid w:val="29C94933"/>
    <w:rsid w:val="29CB61A1"/>
    <w:rsid w:val="29CC039F"/>
    <w:rsid w:val="29CD7DAE"/>
    <w:rsid w:val="29D14827"/>
    <w:rsid w:val="29D457AB"/>
    <w:rsid w:val="29D56AB0"/>
    <w:rsid w:val="29D741B2"/>
    <w:rsid w:val="29E37561"/>
    <w:rsid w:val="29E4176D"/>
    <w:rsid w:val="29EC444F"/>
    <w:rsid w:val="29ED4157"/>
    <w:rsid w:val="29EE4EDA"/>
    <w:rsid w:val="29F06DCC"/>
    <w:rsid w:val="29F41EAB"/>
    <w:rsid w:val="29F44CFF"/>
    <w:rsid w:val="29FB1A78"/>
    <w:rsid w:val="29FD21F3"/>
    <w:rsid w:val="29FE7C75"/>
    <w:rsid w:val="2A062B02"/>
    <w:rsid w:val="2A0C0628"/>
    <w:rsid w:val="2A0C7C3E"/>
    <w:rsid w:val="2A0E2346"/>
    <w:rsid w:val="2A105610"/>
    <w:rsid w:val="2A125E13"/>
    <w:rsid w:val="2A134397"/>
    <w:rsid w:val="2A136595"/>
    <w:rsid w:val="2A151A98"/>
    <w:rsid w:val="2A17081E"/>
    <w:rsid w:val="2A182A1D"/>
    <w:rsid w:val="2A1B39A1"/>
    <w:rsid w:val="2A226BAF"/>
    <w:rsid w:val="2A280AB9"/>
    <w:rsid w:val="2A2A61BA"/>
    <w:rsid w:val="2A2E29C2"/>
    <w:rsid w:val="2A315B45"/>
    <w:rsid w:val="2A407F00"/>
    <w:rsid w:val="2A446D64"/>
    <w:rsid w:val="2A461AE0"/>
    <w:rsid w:val="2A4703D2"/>
    <w:rsid w:val="2A475AEA"/>
    <w:rsid w:val="2A4C4DF3"/>
    <w:rsid w:val="2A510485"/>
    <w:rsid w:val="2A54005E"/>
    <w:rsid w:val="2A574EF6"/>
    <w:rsid w:val="2A575D85"/>
    <w:rsid w:val="2A591288"/>
    <w:rsid w:val="2A5B25FF"/>
    <w:rsid w:val="2A5B5845"/>
    <w:rsid w:val="2A6B6DEF"/>
    <w:rsid w:val="2A700EAD"/>
    <w:rsid w:val="2A704730"/>
    <w:rsid w:val="2A71692E"/>
    <w:rsid w:val="2A7356B5"/>
    <w:rsid w:val="2A7B4CC0"/>
    <w:rsid w:val="2A7C0543"/>
    <w:rsid w:val="2A881DD7"/>
    <w:rsid w:val="2A8B4F75"/>
    <w:rsid w:val="2A95250A"/>
    <w:rsid w:val="2A95548E"/>
    <w:rsid w:val="2A9632EB"/>
    <w:rsid w:val="2A992BD6"/>
    <w:rsid w:val="2A9B2FF6"/>
    <w:rsid w:val="2AA22981"/>
    <w:rsid w:val="2AA8488A"/>
    <w:rsid w:val="2AAC548F"/>
    <w:rsid w:val="2AB92E84"/>
    <w:rsid w:val="2AC01F31"/>
    <w:rsid w:val="2AC874CA"/>
    <w:rsid w:val="2ACC15C7"/>
    <w:rsid w:val="2ACF254B"/>
    <w:rsid w:val="2ACF41CB"/>
    <w:rsid w:val="2AD44455"/>
    <w:rsid w:val="2AD908DC"/>
    <w:rsid w:val="2ADE14E1"/>
    <w:rsid w:val="2ADF27E6"/>
    <w:rsid w:val="2AE00267"/>
    <w:rsid w:val="2AE546EF"/>
    <w:rsid w:val="2AE5558D"/>
    <w:rsid w:val="2AE568ED"/>
    <w:rsid w:val="2AE65071"/>
    <w:rsid w:val="2AEF03C9"/>
    <w:rsid w:val="2AF754D0"/>
    <w:rsid w:val="2AF97665"/>
    <w:rsid w:val="2AF97B0C"/>
    <w:rsid w:val="2AFB24B1"/>
    <w:rsid w:val="2AFB6893"/>
    <w:rsid w:val="2AFE7817"/>
    <w:rsid w:val="2AFF7743"/>
    <w:rsid w:val="2B01621D"/>
    <w:rsid w:val="2B054C24"/>
    <w:rsid w:val="2B080AAA"/>
    <w:rsid w:val="2B0C45AE"/>
    <w:rsid w:val="2B195E43"/>
    <w:rsid w:val="2B27076F"/>
    <w:rsid w:val="2B355773"/>
    <w:rsid w:val="2B3E27FF"/>
    <w:rsid w:val="2B45623B"/>
    <w:rsid w:val="2B46348F"/>
    <w:rsid w:val="2B4D50F0"/>
    <w:rsid w:val="2B4F051B"/>
    <w:rsid w:val="2B5244B4"/>
    <w:rsid w:val="2B55507C"/>
    <w:rsid w:val="2B586C2C"/>
    <w:rsid w:val="2B590E2A"/>
    <w:rsid w:val="2B5A68AC"/>
    <w:rsid w:val="2B62753C"/>
    <w:rsid w:val="2B6371BC"/>
    <w:rsid w:val="2B650FCD"/>
    <w:rsid w:val="2B695667"/>
    <w:rsid w:val="2B711D54"/>
    <w:rsid w:val="2B742CD9"/>
    <w:rsid w:val="2B75788F"/>
    <w:rsid w:val="2B7661DC"/>
    <w:rsid w:val="2B7846C6"/>
    <w:rsid w:val="2B8509F5"/>
    <w:rsid w:val="2B91322F"/>
    <w:rsid w:val="2B971F94"/>
    <w:rsid w:val="2B9F73A1"/>
    <w:rsid w:val="2BA14AA2"/>
    <w:rsid w:val="2BA647AD"/>
    <w:rsid w:val="2BA9C56B"/>
    <w:rsid w:val="2BAC2E33"/>
    <w:rsid w:val="2BB92149"/>
    <w:rsid w:val="2BBA59CC"/>
    <w:rsid w:val="2BBB0ECF"/>
    <w:rsid w:val="2BBC6951"/>
    <w:rsid w:val="2BBF4052"/>
    <w:rsid w:val="2BBF5C96"/>
    <w:rsid w:val="2BC12DD8"/>
    <w:rsid w:val="2BC24FD7"/>
    <w:rsid w:val="2BCE4483"/>
    <w:rsid w:val="2BD07B70"/>
    <w:rsid w:val="2BD3B5F9"/>
    <w:rsid w:val="2BD94BFC"/>
    <w:rsid w:val="2BD96984"/>
    <w:rsid w:val="2BE772F2"/>
    <w:rsid w:val="2BE77795"/>
    <w:rsid w:val="2BEE4BA1"/>
    <w:rsid w:val="2BF000A4"/>
    <w:rsid w:val="2BF338FB"/>
    <w:rsid w:val="2BF832AE"/>
    <w:rsid w:val="2BFA09B4"/>
    <w:rsid w:val="2BFB1CB9"/>
    <w:rsid w:val="2BFC773A"/>
    <w:rsid w:val="2BFF3E8F"/>
    <w:rsid w:val="2C0370C5"/>
    <w:rsid w:val="2C075ACB"/>
    <w:rsid w:val="2C245E51"/>
    <w:rsid w:val="2C2506F4"/>
    <w:rsid w:val="2C276000"/>
    <w:rsid w:val="2C393D1C"/>
    <w:rsid w:val="2C3F7E23"/>
    <w:rsid w:val="2C401128"/>
    <w:rsid w:val="2C594250"/>
    <w:rsid w:val="2C5C51D5"/>
    <w:rsid w:val="2C6106B8"/>
    <w:rsid w:val="2C61165D"/>
    <w:rsid w:val="2C6B57F0"/>
    <w:rsid w:val="2C6B7F24"/>
    <w:rsid w:val="2C6C79EE"/>
    <w:rsid w:val="2C701C77"/>
    <w:rsid w:val="2C7A0167"/>
    <w:rsid w:val="2C7E318B"/>
    <w:rsid w:val="2C866019"/>
    <w:rsid w:val="2C8B66C0"/>
    <w:rsid w:val="2C8E5BFB"/>
    <w:rsid w:val="2C971B37"/>
    <w:rsid w:val="2C9875B8"/>
    <w:rsid w:val="2C9971D7"/>
    <w:rsid w:val="2C9D5C03"/>
    <w:rsid w:val="2CA37B48"/>
    <w:rsid w:val="2CA50E4D"/>
    <w:rsid w:val="2CA60F5C"/>
    <w:rsid w:val="2CA86A82"/>
    <w:rsid w:val="2CA91A51"/>
    <w:rsid w:val="2CAA2D56"/>
    <w:rsid w:val="2CB02668"/>
    <w:rsid w:val="2CB2345D"/>
    <w:rsid w:val="2CBF7478"/>
    <w:rsid w:val="2CC66E03"/>
    <w:rsid w:val="2CC82C80"/>
    <w:rsid w:val="2CC94C4A"/>
    <w:rsid w:val="2CCD4121"/>
    <w:rsid w:val="2CCD64E8"/>
    <w:rsid w:val="2CD07712"/>
    <w:rsid w:val="2CD26499"/>
    <w:rsid w:val="2CDC0FA6"/>
    <w:rsid w:val="2CE463B3"/>
    <w:rsid w:val="2CE72BBB"/>
    <w:rsid w:val="2CEA02BC"/>
    <w:rsid w:val="2CEB4BC0"/>
    <w:rsid w:val="2CEE2546"/>
    <w:rsid w:val="2CF16D8F"/>
    <w:rsid w:val="2CF808D7"/>
    <w:rsid w:val="2CF96358"/>
    <w:rsid w:val="2CFD3FD5"/>
    <w:rsid w:val="2D067BEC"/>
    <w:rsid w:val="2D067E00"/>
    <w:rsid w:val="2D0830EF"/>
    <w:rsid w:val="2D090B71"/>
    <w:rsid w:val="2D11017C"/>
    <w:rsid w:val="2D167E87"/>
    <w:rsid w:val="2D2307FE"/>
    <w:rsid w:val="2D2A6B27"/>
    <w:rsid w:val="2D2E332F"/>
    <w:rsid w:val="2D311D35"/>
    <w:rsid w:val="2D34142E"/>
    <w:rsid w:val="2D346567"/>
    <w:rsid w:val="2D406ACD"/>
    <w:rsid w:val="2D421FD0"/>
    <w:rsid w:val="2D42263C"/>
    <w:rsid w:val="2D4609D6"/>
    <w:rsid w:val="2D4C76E7"/>
    <w:rsid w:val="2D55247C"/>
    <w:rsid w:val="2D5766F2"/>
    <w:rsid w:val="2D5D14B6"/>
    <w:rsid w:val="2D5E3AFE"/>
    <w:rsid w:val="2D653D75"/>
    <w:rsid w:val="2D6A3D37"/>
    <w:rsid w:val="2D71149A"/>
    <w:rsid w:val="2D72032F"/>
    <w:rsid w:val="2D724D1D"/>
    <w:rsid w:val="2D72628D"/>
    <w:rsid w:val="2D771923"/>
    <w:rsid w:val="2D7733A3"/>
    <w:rsid w:val="2D776C27"/>
    <w:rsid w:val="2D777494"/>
    <w:rsid w:val="2D780E25"/>
    <w:rsid w:val="2D7B562D"/>
    <w:rsid w:val="2D7E4E37"/>
    <w:rsid w:val="2D80355B"/>
    <w:rsid w:val="2D832A39"/>
    <w:rsid w:val="2D855F3C"/>
    <w:rsid w:val="2D894942"/>
    <w:rsid w:val="2D8D0112"/>
    <w:rsid w:val="2D914F4D"/>
    <w:rsid w:val="2D926504"/>
    <w:rsid w:val="2D9716DA"/>
    <w:rsid w:val="2D9829B9"/>
    <w:rsid w:val="2D9D6A1D"/>
    <w:rsid w:val="2DA07DEB"/>
    <w:rsid w:val="2DA354EC"/>
    <w:rsid w:val="2DA54273"/>
    <w:rsid w:val="2DA61CF4"/>
    <w:rsid w:val="2DAF2604"/>
    <w:rsid w:val="2DB3100A"/>
    <w:rsid w:val="2DBA0995"/>
    <w:rsid w:val="2DBC3E98"/>
    <w:rsid w:val="2DBE35B1"/>
    <w:rsid w:val="2DBE6BD1"/>
    <w:rsid w:val="2DBE739B"/>
    <w:rsid w:val="2DD105BA"/>
    <w:rsid w:val="2DD227B8"/>
    <w:rsid w:val="2DD2603B"/>
    <w:rsid w:val="2DD3023A"/>
    <w:rsid w:val="2DD66A3D"/>
    <w:rsid w:val="2DDA3448"/>
    <w:rsid w:val="2DDF1ACE"/>
    <w:rsid w:val="2DDF4725"/>
    <w:rsid w:val="2DEA36E2"/>
    <w:rsid w:val="2DEE20E8"/>
    <w:rsid w:val="2DEF4F55"/>
    <w:rsid w:val="2DF51A73"/>
    <w:rsid w:val="2DF53F49"/>
    <w:rsid w:val="2DFE2DF4"/>
    <w:rsid w:val="2E053A60"/>
    <w:rsid w:val="2E063012"/>
    <w:rsid w:val="2E075211"/>
    <w:rsid w:val="2E076ED4"/>
    <w:rsid w:val="2E0A6BA0"/>
    <w:rsid w:val="2E0E0E1C"/>
    <w:rsid w:val="2E10009F"/>
    <w:rsid w:val="2E186FC1"/>
    <w:rsid w:val="2E194231"/>
    <w:rsid w:val="2E1B3EB1"/>
    <w:rsid w:val="2E215DBB"/>
    <w:rsid w:val="2E2312BE"/>
    <w:rsid w:val="2E2E50D0"/>
    <w:rsid w:val="2E2F0953"/>
    <w:rsid w:val="2E2F6D2F"/>
    <w:rsid w:val="2E316055"/>
    <w:rsid w:val="2E3214EB"/>
    <w:rsid w:val="2E346FDA"/>
    <w:rsid w:val="2E3C43E6"/>
    <w:rsid w:val="2E40086E"/>
    <w:rsid w:val="2E4140F1"/>
    <w:rsid w:val="2E4E3407"/>
    <w:rsid w:val="2E5A5DFA"/>
    <w:rsid w:val="2E5C6907"/>
    <w:rsid w:val="2E600349"/>
    <w:rsid w:val="2E60513A"/>
    <w:rsid w:val="2E6B6480"/>
    <w:rsid w:val="2E6E173D"/>
    <w:rsid w:val="2E6F393B"/>
    <w:rsid w:val="2E717347"/>
    <w:rsid w:val="2E801657"/>
    <w:rsid w:val="2E915175"/>
    <w:rsid w:val="2E922BF6"/>
    <w:rsid w:val="2E9511B1"/>
    <w:rsid w:val="2E955D79"/>
    <w:rsid w:val="2E9637FB"/>
    <w:rsid w:val="2E9D6A09"/>
    <w:rsid w:val="2EA11B8C"/>
    <w:rsid w:val="2EA63495"/>
    <w:rsid w:val="2EA737DD"/>
    <w:rsid w:val="2EA8720D"/>
    <w:rsid w:val="2EAA42C6"/>
    <w:rsid w:val="2EAD5FD7"/>
    <w:rsid w:val="2EAE2BF6"/>
    <w:rsid w:val="2EBC3A3B"/>
    <w:rsid w:val="2EC248A2"/>
    <w:rsid w:val="2EC76F67"/>
    <w:rsid w:val="2ECA3572"/>
    <w:rsid w:val="2ECB2819"/>
    <w:rsid w:val="2ECF2A5B"/>
    <w:rsid w:val="2ED1015D"/>
    <w:rsid w:val="2ED33660"/>
    <w:rsid w:val="2ED8336B"/>
    <w:rsid w:val="2EDA798C"/>
    <w:rsid w:val="2EDC0C65"/>
    <w:rsid w:val="2EE25E79"/>
    <w:rsid w:val="2EE54BFF"/>
    <w:rsid w:val="2EE7237C"/>
    <w:rsid w:val="2EEB3364"/>
    <w:rsid w:val="2EEC7A71"/>
    <w:rsid w:val="2EF17758"/>
    <w:rsid w:val="2EF9001C"/>
    <w:rsid w:val="2EFA1321"/>
    <w:rsid w:val="2EFA3B80"/>
    <w:rsid w:val="2EFC0F94"/>
    <w:rsid w:val="2F005429"/>
    <w:rsid w:val="2F010CAC"/>
    <w:rsid w:val="2F063F34"/>
    <w:rsid w:val="2F0B37BA"/>
    <w:rsid w:val="2F107C41"/>
    <w:rsid w:val="2F1553B1"/>
    <w:rsid w:val="2F202F8D"/>
    <w:rsid w:val="2F2B0C7F"/>
    <w:rsid w:val="2F340201"/>
    <w:rsid w:val="2F3B560E"/>
    <w:rsid w:val="2F444C18"/>
    <w:rsid w:val="2F455F1D"/>
    <w:rsid w:val="2F4F0A2B"/>
    <w:rsid w:val="2F511D30"/>
    <w:rsid w:val="2F575E37"/>
    <w:rsid w:val="2F5B483E"/>
    <w:rsid w:val="2F653DF8"/>
    <w:rsid w:val="2F6760D2"/>
    <w:rsid w:val="2F6A4E58"/>
    <w:rsid w:val="2F6B4AD8"/>
    <w:rsid w:val="2F6D7FDB"/>
    <w:rsid w:val="2F6F34DE"/>
    <w:rsid w:val="2F712264"/>
    <w:rsid w:val="2F7A01DB"/>
    <w:rsid w:val="2F7A50F2"/>
    <w:rsid w:val="2F7E3AF9"/>
    <w:rsid w:val="2F7E78F1"/>
    <w:rsid w:val="2F7F3B73"/>
    <w:rsid w:val="2F86E11C"/>
    <w:rsid w:val="2F875C16"/>
    <w:rsid w:val="2F93021B"/>
    <w:rsid w:val="2F94151F"/>
    <w:rsid w:val="2F956FA1"/>
    <w:rsid w:val="2F974B8C"/>
    <w:rsid w:val="2F9A7BA6"/>
    <w:rsid w:val="2F9B467C"/>
    <w:rsid w:val="2F9E2196"/>
    <w:rsid w:val="2FA14FB2"/>
    <w:rsid w:val="2FAA7E40"/>
    <w:rsid w:val="2FAD4648"/>
    <w:rsid w:val="2FB35E69"/>
    <w:rsid w:val="2FB51855"/>
    <w:rsid w:val="2FB674D6"/>
    <w:rsid w:val="2FBE2364"/>
    <w:rsid w:val="2FBF7671"/>
    <w:rsid w:val="2FC022B9"/>
    <w:rsid w:val="2FC17A65"/>
    <w:rsid w:val="2FC67770"/>
    <w:rsid w:val="2FD66F80"/>
    <w:rsid w:val="2FDB060F"/>
    <w:rsid w:val="2FDF7015"/>
    <w:rsid w:val="2FDFA76E"/>
    <w:rsid w:val="2FDFE361"/>
    <w:rsid w:val="2FE8A90F"/>
    <w:rsid w:val="2FEC412C"/>
    <w:rsid w:val="2FEE4937"/>
    <w:rsid w:val="2FEF2B33"/>
    <w:rsid w:val="2FFC7C4A"/>
    <w:rsid w:val="2FFFF809"/>
    <w:rsid w:val="30006650"/>
    <w:rsid w:val="300140D2"/>
    <w:rsid w:val="30021B53"/>
    <w:rsid w:val="300A115E"/>
    <w:rsid w:val="300A5FE9"/>
    <w:rsid w:val="300B49E1"/>
    <w:rsid w:val="3012656A"/>
    <w:rsid w:val="301729F2"/>
    <w:rsid w:val="30191779"/>
    <w:rsid w:val="30195EF5"/>
    <w:rsid w:val="301A71FA"/>
    <w:rsid w:val="301B4C7C"/>
    <w:rsid w:val="301B57BD"/>
    <w:rsid w:val="30212BD8"/>
    <w:rsid w:val="30260A8E"/>
    <w:rsid w:val="30283F91"/>
    <w:rsid w:val="302D0419"/>
    <w:rsid w:val="30395C43"/>
    <w:rsid w:val="303B192D"/>
    <w:rsid w:val="303D06B3"/>
    <w:rsid w:val="303E73A8"/>
    <w:rsid w:val="30405DB5"/>
    <w:rsid w:val="304212B8"/>
    <w:rsid w:val="30431F66"/>
    <w:rsid w:val="30436D3A"/>
    <w:rsid w:val="30492C9C"/>
    <w:rsid w:val="30565331"/>
    <w:rsid w:val="305C2AA5"/>
    <w:rsid w:val="30611B6D"/>
    <w:rsid w:val="306164E3"/>
    <w:rsid w:val="306233EC"/>
    <w:rsid w:val="306E0E83"/>
    <w:rsid w:val="30727889"/>
    <w:rsid w:val="30735887"/>
    <w:rsid w:val="307E369B"/>
    <w:rsid w:val="3086532C"/>
    <w:rsid w:val="308A4F2F"/>
    <w:rsid w:val="308E3936"/>
    <w:rsid w:val="308E41E1"/>
    <w:rsid w:val="308F4C3A"/>
    <w:rsid w:val="309026BC"/>
    <w:rsid w:val="30933641"/>
    <w:rsid w:val="309F1652"/>
    <w:rsid w:val="30A14A15"/>
    <w:rsid w:val="30A30058"/>
    <w:rsid w:val="30BE1F06"/>
    <w:rsid w:val="30BFE411"/>
    <w:rsid w:val="30C419B0"/>
    <w:rsid w:val="30C65115"/>
    <w:rsid w:val="30CB0F91"/>
    <w:rsid w:val="30CB701E"/>
    <w:rsid w:val="30D5792D"/>
    <w:rsid w:val="30DB3A35"/>
    <w:rsid w:val="30E22CDA"/>
    <w:rsid w:val="30E42146"/>
    <w:rsid w:val="30E958BB"/>
    <w:rsid w:val="30EB624E"/>
    <w:rsid w:val="30ED53AB"/>
    <w:rsid w:val="30F329A9"/>
    <w:rsid w:val="30F42A4E"/>
    <w:rsid w:val="30FA0A66"/>
    <w:rsid w:val="30FD526E"/>
    <w:rsid w:val="30FEEA06"/>
    <w:rsid w:val="31025E73"/>
    <w:rsid w:val="31041376"/>
    <w:rsid w:val="310857FE"/>
    <w:rsid w:val="31091081"/>
    <w:rsid w:val="31121990"/>
    <w:rsid w:val="311741D6"/>
    <w:rsid w:val="31175E18"/>
    <w:rsid w:val="31191146"/>
    <w:rsid w:val="311C22A0"/>
    <w:rsid w:val="3121237C"/>
    <w:rsid w:val="312863E3"/>
    <w:rsid w:val="313E1763"/>
    <w:rsid w:val="314825E1"/>
    <w:rsid w:val="31570E00"/>
    <w:rsid w:val="31594C51"/>
    <w:rsid w:val="315E4892"/>
    <w:rsid w:val="31603C8E"/>
    <w:rsid w:val="316136A3"/>
    <w:rsid w:val="31665B97"/>
    <w:rsid w:val="316C7AA1"/>
    <w:rsid w:val="316F64A7"/>
    <w:rsid w:val="31732CAF"/>
    <w:rsid w:val="317716B5"/>
    <w:rsid w:val="3177708F"/>
    <w:rsid w:val="31797323"/>
    <w:rsid w:val="317C228B"/>
    <w:rsid w:val="318D450C"/>
    <w:rsid w:val="31945827"/>
    <w:rsid w:val="319F6FF6"/>
    <w:rsid w:val="31A002FB"/>
    <w:rsid w:val="31A237FE"/>
    <w:rsid w:val="31A50EFF"/>
    <w:rsid w:val="31AC1C27"/>
    <w:rsid w:val="31B47C77"/>
    <w:rsid w:val="31BD58FF"/>
    <w:rsid w:val="31C14F98"/>
    <w:rsid w:val="31C85C3C"/>
    <w:rsid w:val="31CE7B45"/>
    <w:rsid w:val="31D321C6"/>
    <w:rsid w:val="31D41A4F"/>
    <w:rsid w:val="31D43E75"/>
    <w:rsid w:val="31D900D5"/>
    <w:rsid w:val="31D976DD"/>
    <w:rsid w:val="31DC5891"/>
    <w:rsid w:val="31DE3A5F"/>
    <w:rsid w:val="31E032E3"/>
    <w:rsid w:val="31E50E4E"/>
    <w:rsid w:val="31E62547"/>
    <w:rsid w:val="31E779C7"/>
    <w:rsid w:val="31EB0C63"/>
    <w:rsid w:val="31EE4A18"/>
    <w:rsid w:val="31F03D47"/>
    <w:rsid w:val="31F67A05"/>
    <w:rsid w:val="31F9420D"/>
    <w:rsid w:val="31FC7390"/>
    <w:rsid w:val="31FD4E11"/>
    <w:rsid w:val="3201709B"/>
    <w:rsid w:val="3204479C"/>
    <w:rsid w:val="320C542C"/>
    <w:rsid w:val="32103E32"/>
    <w:rsid w:val="32113AB2"/>
    <w:rsid w:val="32134DB6"/>
    <w:rsid w:val="3218123E"/>
    <w:rsid w:val="32191E6B"/>
    <w:rsid w:val="322F3062"/>
    <w:rsid w:val="323043F2"/>
    <w:rsid w:val="32331A68"/>
    <w:rsid w:val="32435942"/>
    <w:rsid w:val="32437B04"/>
    <w:rsid w:val="32454D73"/>
    <w:rsid w:val="32460A89"/>
    <w:rsid w:val="3247650A"/>
    <w:rsid w:val="324B2992"/>
    <w:rsid w:val="324C0413"/>
    <w:rsid w:val="324F5BF1"/>
    <w:rsid w:val="32506E1A"/>
    <w:rsid w:val="32584226"/>
    <w:rsid w:val="325A7729"/>
    <w:rsid w:val="325E7BE3"/>
    <w:rsid w:val="325F4858"/>
    <w:rsid w:val="32627EB0"/>
    <w:rsid w:val="326B0CC8"/>
    <w:rsid w:val="326C674A"/>
    <w:rsid w:val="326F2E91"/>
    <w:rsid w:val="326F76CF"/>
    <w:rsid w:val="32755D55"/>
    <w:rsid w:val="3279475B"/>
    <w:rsid w:val="327A7A81"/>
    <w:rsid w:val="327B56DF"/>
    <w:rsid w:val="328B5D49"/>
    <w:rsid w:val="328F68FE"/>
    <w:rsid w:val="32911D66"/>
    <w:rsid w:val="32911E02"/>
    <w:rsid w:val="32990513"/>
    <w:rsid w:val="329A6E6D"/>
    <w:rsid w:val="329B0193"/>
    <w:rsid w:val="329D1885"/>
    <w:rsid w:val="32A3559F"/>
    <w:rsid w:val="32A61AD2"/>
    <w:rsid w:val="32A61DA7"/>
    <w:rsid w:val="32A92D2C"/>
    <w:rsid w:val="32B56D96"/>
    <w:rsid w:val="32B6636E"/>
    <w:rsid w:val="32C835E0"/>
    <w:rsid w:val="32CF5169"/>
    <w:rsid w:val="32DB0F7C"/>
    <w:rsid w:val="32E80292"/>
    <w:rsid w:val="32EB1216"/>
    <w:rsid w:val="32EB2082"/>
    <w:rsid w:val="32EE5A1E"/>
    <w:rsid w:val="32EF34A0"/>
    <w:rsid w:val="32F13120"/>
    <w:rsid w:val="32F93DAF"/>
    <w:rsid w:val="32FC6F32"/>
    <w:rsid w:val="32FD2138"/>
    <w:rsid w:val="32FE389F"/>
    <w:rsid w:val="33023481"/>
    <w:rsid w:val="33047BC2"/>
    <w:rsid w:val="330752C3"/>
    <w:rsid w:val="330E785B"/>
    <w:rsid w:val="330F1F65"/>
    <w:rsid w:val="3310712F"/>
    <w:rsid w:val="331533CF"/>
    <w:rsid w:val="331A42E4"/>
    <w:rsid w:val="332548BE"/>
    <w:rsid w:val="33292380"/>
    <w:rsid w:val="332D5503"/>
    <w:rsid w:val="33313F09"/>
    <w:rsid w:val="33326AA6"/>
    <w:rsid w:val="3333740C"/>
    <w:rsid w:val="333E48FB"/>
    <w:rsid w:val="3345642D"/>
    <w:rsid w:val="33494E33"/>
    <w:rsid w:val="334B2535"/>
    <w:rsid w:val="334E34B9"/>
    <w:rsid w:val="3358764C"/>
    <w:rsid w:val="335950CE"/>
    <w:rsid w:val="33615E6E"/>
    <w:rsid w:val="33631954"/>
    <w:rsid w:val="336535BB"/>
    <w:rsid w:val="336A7566"/>
    <w:rsid w:val="337376BE"/>
    <w:rsid w:val="33745910"/>
    <w:rsid w:val="33747E76"/>
    <w:rsid w:val="337E4009"/>
    <w:rsid w:val="33830490"/>
    <w:rsid w:val="338918DB"/>
    <w:rsid w:val="338D077F"/>
    <w:rsid w:val="338D766D"/>
    <w:rsid w:val="33A23246"/>
    <w:rsid w:val="33A806D0"/>
    <w:rsid w:val="33A855B9"/>
    <w:rsid w:val="33AE06F6"/>
    <w:rsid w:val="33AE25D9"/>
    <w:rsid w:val="33AE575E"/>
    <w:rsid w:val="33B1355E"/>
    <w:rsid w:val="33B36A61"/>
    <w:rsid w:val="33B57CD6"/>
    <w:rsid w:val="33BA19AB"/>
    <w:rsid w:val="33BA3C10"/>
    <w:rsid w:val="33C05D77"/>
    <w:rsid w:val="33C87900"/>
    <w:rsid w:val="33CF032C"/>
    <w:rsid w:val="33D85AB0"/>
    <w:rsid w:val="33DF683E"/>
    <w:rsid w:val="33E317AE"/>
    <w:rsid w:val="33E87093"/>
    <w:rsid w:val="33EA4345"/>
    <w:rsid w:val="33F05B15"/>
    <w:rsid w:val="33F151B2"/>
    <w:rsid w:val="33F23A15"/>
    <w:rsid w:val="33F33223"/>
    <w:rsid w:val="33FB6E55"/>
    <w:rsid w:val="33FC0852"/>
    <w:rsid w:val="33FC76B3"/>
    <w:rsid w:val="33FFFDF6"/>
    <w:rsid w:val="340551E6"/>
    <w:rsid w:val="3408616B"/>
    <w:rsid w:val="340B678A"/>
    <w:rsid w:val="340F1379"/>
    <w:rsid w:val="34141F7E"/>
    <w:rsid w:val="341579FF"/>
    <w:rsid w:val="34165481"/>
    <w:rsid w:val="341B3FDD"/>
    <w:rsid w:val="341E587B"/>
    <w:rsid w:val="342033A2"/>
    <w:rsid w:val="342E0A4C"/>
    <w:rsid w:val="342F3E2C"/>
    <w:rsid w:val="343659B5"/>
    <w:rsid w:val="34375A48"/>
    <w:rsid w:val="343777F5"/>
    <w:rsid w:val="34386CBA"/>
    <w:rsid w:val="343C56C0"/>
    <w:rsid w:val="343D2EC9"/>
    <w:rsid w:val="34413D46"/>
    <w:rsid w:val="344B3FE9"/>
    <w:rsid w:val="344C595B"/>
    <w:rsid w:val="34504361"/>
    <w:rsid w:val="34506687"/>
    <w:rsid w:val="3457341F"/>
    <w:rsid w:val="345968B4"/>
    <w:rsid w:val="345B06C7"/>
    <w:rsid w:val="345E497B"/>
    <w:rsid w:val="34607E7E"/>
    <w:rsid w:val="34623382"/>
    <w:rsid w:val="34637732"/>
    <w:rsid w:val="34646885"/>
    <w:rsid w:val="346C2DF5"/>
    <w:rsid w:val="346F4C16"/>
    <w:rsid w:val="34716EB9"/>
    <w:rsid w:val="3474329C"/>
    <w:rsid w:val="34774220"/>
    <w:rsid w:val="348070AE"/>
    <w:rsid w:val="348225B1"/>
    <w:rsid w:val="34845AB5"/>
    <w:rsid w:val="348957C0"/>
    <w:rsid w:val="348B0CC3"/>
    <w:rsid w:val="348D63C4"/>
    <w:rsid w:val="349D4460"/>
    <w:rsid w:val="349F1B61"/>
    <w:rsid w:val="34A176C7"/>
    <w:rsid w:val="34B44085"/>
    <w:rsid w:val="34BD2FBD"/>
    <w:rsid w:val="34C1119D"/>
    <w:rsid w:val="34C24459"/>
    <w:rsid w:val="34C603ED"/>
    <w:rsid w:val="34C67823"/>
    <w:rsid w:val="34CA1AAC"/>
    <w:rsid w:val="34D039B6"/>
    <w:rsid w:val="34D348B8"/>
    <w:rsid w:val="34D3493A"/>
    <w:rsid w:val="34D81ECE"/>
    <w:rsid w:val="34D90A42"/>
    <w:rsid w:val="34DB376C"/>
    <w:rsid w:val="34DFBA9B"/>
    <w:rsid w:val="34E116D1"/>
    <w:rsid w:val="34E22D4D"/>
    <w:rsid w:val="34E238D0"/>
    <w:rsid w:val="34E622D6"/>
    <w:rsid w:val="34E77D57"/>
    <w:rsid w:val="34E9325B"/>
    <w:rsid w:val="34EB1C02"/>
    <w:rsid w:val="34F06469"/>
    <w:rsid w:val="34FD577E"/>
    <w:rsid w:val="35026F4B"/>
    <w:rsid w:val="35041886"/>
    <w:rsid w:val="35052B8B"/>
    <w:rsid w:val="3507280B"/>
    <w:rsid w:val="35083F4E"/>
    <w:rsid w:val="35104678"/>
    <w:rsid w:val="351654D5"/>
    <w:rsid w:val="351E5CB3"/>
    <w:rsid w:val="35245113"/>
    <w:rsid w:val="352E3D4F"/>
    <w:rsid w:val="353436DA"/>
    <w:rsid w:val="353A0143"/>
    <w:rsid w:val="353C0AE6"/>
    <w:rsid w:val="354A587E"/>
    <w:rsid w:val="354C54FD"/>
    <w:rsid w:val="355377A7"/>
    <w:rsid w:val="355A0096"/>
    <w:rsid w:val="355B5B18"/>
    <w:rsid w:val="35622F24"/>
    <w:rsid w:val="35646427"/>
    <w:rsid w:val="356924AC"/>
    <w:rsid w:val="356E34B4"/>
    <w:rsid w:val="35711EBA"/>
    <w:rsid w:val="35771BC5"/>
    <w:rsid w:val="358024D4"/>
    <w:rsid w:val="358A3F6C"/>
    <w:rsid w:val="359314F5"/>
    <w:rsid w:val="3596247A"/>
    <w:rsid w:val="359833FE"/>
    <w:rsid w:val="35991C58"/>
    <w:rsid w:val="359A655A"/>
    <w:rsid w:val="359A6901"/>
    <w:rsid w:val="359C6581"/>
    <w:rsid w:val="359F2D89"/>
    <w:rsid w:val="35A2048B"/>
    <w:rsid w:val="35A95897"/>
    <w:rsid w:val="35B2271F"/>
    <w:rsid w:val="35B23FA8"/>
    <w:rsid w:val="35B31A2A"/>
    <w:rsid w:val="35B5220F"/>
    <w:rsid w:val="35BB6E36"/>
    <w:rsid w:val="35BC534C"/>
    <w:rsid w:val="35C661CB"/>
    <w:rsid w:val="35C7AAE7"/>
    <w:rsid w:val="35CB70D1"/>
    <w:rsid w:val="35CF3352"/>
    <w:rsid w:val="35CF5922"/>
    <w:rsid w:val="35D344DD"/>
    <w:rsid w:val="35D77660"/>
    <w:rsid w:val="35DF55E0"/>
    <w:rsid w:val="35E87EEF"/>
    <w:rsid w:val="35EC53ED"/>
    <w:rsid w:val="35F965A0"/>
    <w:rsid w:val="35FCBBDA"/>
    <w:rsid w:val="35FE0BA4"/>
    <w:rsid w:val="360175AB"/>
    <w:rsid w:val="3607775A"/>
    <w:rsid w:val="361051BB"/>
    <w:rsid w:val="361352C6"/>
    <w:rsid w:val="3618174E"/>
    <w:rsid w:val="361C5DEB"/>
    <w:rsid w:val="3622425C"/>
    <w:rsid w:val="363335B3"/>
    <w:rsid w:val="36374201"/>
    <w:rsid w:val="363B2C08"/>
    <w:rsid w:val="363B7384"/>
    <w:rsid w:val="364D069A"/>
    <w:rsid w:val="364E3E27"/>
    <w:rsid w:val="364F18A8"/>
    <w:rsid w:val="36512BC7"/>
    <w:rsid w:val="365E1EC3"/>
    <w:rsid w:val="36637EBD"/>
    <w:rsid w:val="3665338B"/>
    <w:rsid w:val="36693D6D"/>
    <w:rsid w:val="366A5CD5"/>
    <w:rsid w:val="36802077"/>
    <w:rsid w:val="3680281D"/>
    <w:rsid w:val="36834313"/>
    <w:rsid w:val="36851D82"/>
    <w:rsid w:val="36871A02"/>
    <w:rsid w:val="368A2987"/>
    <w:rsid w:val="36910587"/>
    <w:rsid w:val="369A64A4"/>
    <w:rsid w:val="369E1627"/>
    <w:rsid w:val="36A15E2F"/>
    <w:rsid w:val="36B4704E"/>
    <w:rsid w:val="36C34715"/>
    <w:rsid w:val="36CA3770"/>
    <w:rsid w:val="36CC46F5"/>
    <w:rsid w:val="36D21A61"/>
    <w:rsid w:val="36D24400"/>
    <w:rsid w:val="36D3462E"/>
    <w:rsid w:val="36DD498F"/>
    <w:rsid w:val="36E6529F"/>
    <w:rsid w:val="36E737AD"/>
    <w:rsid w:val="36EB1726"/>
    <w:rsid w:val="36EC0D77"/>
    <w:rsid w:val="36FF8B1D"/>
    <w:rsid w:val="37003C4A"/>
    <w:rsid w:val="37032650"/>
    <w:rsid w:val="37072C34"/>
    <w:rsid w:val="37083929"/>
    <w:rsid w:val="370C2303"/>
    <w:rsid w:val="370C54DE"/>
    <w:rsid w:val="370F6463"/>
    <w:rsid w:val="37114DD4"/>
    <w:rsid w:val="37133692"/>
    <w:rsid w:val="3715036C"/>
    <w:rsid w:val="371F499A"/>
    <w:rsid w:val="372431A9"/>
    <w:rsid w:val="37265753"/>
    <w:rsid w:val="37296509"/>
    <w:rsid w:val="372A4537"/>
    <w:rsid w:val="372B78AD"/>
    <w:rsid w:val="3732571E"/>
    <w:rsid w:val="37357C0A"/>
    <w:rsid w:val="37364124"/>
    <w:rsid w:val="373B602E"/>
    <w:rsid w:val="373D289B"/>
    <w:rsid w:val="373D426B"/>
    <w:rsid w:val="374146B4"/>
    <w:rsid w:val="37421881"/>
    <w:rsid w:val="37440EBB"/>
    <w:rsid w:val="374765BD"/>
    <w:rsid w:val="37476E97"/>
    <w:rsid w:val="374878C2"/>
    <w:rsid w:val="37495343"/>
    <w:rsid w:val="374E46CA"/>
    <w:rsid w:val="374F724D"/>
    <w:rsid w:val="37556BD7"/>
    <w:rsid w:val="37562CE0"/>
    <w:rsid w:val="37624BE8"/>
    <w:rsid w:val="37663ECE"/>
    <w:rsid w:val="376D427E"/>
    <w:rsid w:val="376D5966"/>
    <w:rsid w:val="37701980"/>
    <w:rsid w:val="37712C84"/>
    <w:rsid w:val="3773CAF7"/>
    <w:rsid w:val="37743C09"/>
    <w:rsid w:val="37790091"/>
    <w:rsid w:val="377C1237"/>
    <w:rsid w:val="377ECB8F"/>
    <w:rsid w:val="377F0D27"/>
    <w:rsid w:val="3790083E"/>
    <w:rsid w:val="3795413E"/>
    <w:rsid w:val="379579C1"/>
    <w:rsid w:val="37971BCD"/>
    <w:rsid w:val="37992B44"/>
    <w:rsid w:val="379D37C4"/>
    <w:rsid w:val="379F24CF"/>
    <w:rsid w:val="37A87B99"/>
    <w:rsid w:val="37AD5068"/>
    <w:rsid w:val="37AF4CE7"/>
    <w:rsid w:val="37B26A07"/>
    <w:rsid w:val="37B34F2B"/>
    <w:rsid w:val="37B4116F"/>
    <w:rsid w:val="37B75977"/>
    <w:rsid w:val="37BC000F"/>
    <w:rsid w:val="37BF4F82"/>
    <w:rsid w:val="37C02010"/>
    <w:rsid w:val="37C274F1"/>
    <w:rsid w:val="37C44C8D"/>
    <w:rsid w:val="37CE1367"/>
    <w:rsid w:val="37D474A6"/>
    <w:rsid w:val="37D54F27"/>
    <w:rsid w:val="37D64BA7"/>
    <w:rsid w:val="37D72629"/>
    <w:rsid w:val="37DB48B2"/>
    <w:rsid w:val="37E34E12"/>
    <w:rsid w:val="37F222D9"/>
    <w:rsid w:val="37F37D5B"/>
    <w:rsid w:val="37F50CDF"/>
    <w:rsid w:val="37F7095F"/>
    <w:rsid w:val="37F78035"/>
    <w:rsid w:val="37FC255E"/>
    <w:rsid w:val="37FE3B6D"/>
    <w:rsid w:val="37FE4CD1"/>
    <w:rsid w:val="38091EFE"/>
    <w:rsid w:val="380E70C9"/>
    <w:rsid w:val="38161214"/>
    <w:rsid w:val="381A7C1A"/>
    <w:rsid w:val="381C13BD"/>
    <w:rsid w:val="381D0B9F"/>
    <w:rsid w:val="381E6620"/>
    <w:rsid w:val="38201B23"/>
    <w:rsid w:val="38242728"/>
    <w:rsid w:val="38276F30"/>
    <w:rsid w:val="382849B1"/>
    <w:rsid w:val="382A4631"/>
    <w:rsid w:val="382B2F1B"/>
    <w:rsid w:val="382C33B7"/>
    <w:rsid w:val="382F0AB9"/>
    <w:rsid w:val="3838048A"/>
    <w:rsid w:val="383C2774"/>
    <w:rsid w:val="383C5BD0"/>
    <w:rsid w:val="383F45D6"/>
    <w:rsid w:val="384564E0"/>
    <w:rsid w:val="38482EC7"/>
    <w:rsid w:val="384E3E58"/>
    <w:rsid w:val="385E0CB4"/>
    <w:rsid w:val="386137F6"/>
    <w:rsid w:val="38615E10"/>
    <w:rsid w:val="3862667F"/>
    <w:rsid w:val="38662298"/>
    <w:rsid w:val="38682D6E"/>
    <w:rsid w:val="386835C8"/>
    <w:rsid w:val="3868579B"/>
    <w:rsid w:val="386A541B"/>
    <w:rsid w:val="386B671F"/>
    <w:rsid w:val="387B2A80"/>
    <w:rsid w:val="387B7C35"/>
    <w:rsid w:val="387D1EBD"/>
    <w:rsid w:val="387E793E"/>
    <w:rsid w:val="388C6C54"/>
    <w:rsid w:val="388E4356"/>
    <w:rsid w:val="38922D5C"/>
    <w:rsid w:val="38934061"/>
    <w:rsid w:val="38961762"/>
    <w:rsid w:val="389B5BEA"/>
    <w:rsid w:val="389C366B"/>
    <w:rsid w:val="38A07E13"/>
    <w:rsid w:val="38A30A45"/>
    <w:rsid w:val="38A36879"/>
    <w:rsid w:val="38B21092"/>
    <w:rsid w:val="38B335AB"/>
    <w:rsid w:val="38B82F9B"/>
    <w:rsid w:val="38BE513B"/>
    <w:rsid w:val="38C138AB"/>
    <w:rsid w:val="38C16CB7"/>
    <w:rsid w:val="38C20ECB"/>
    <w:rsid w:val="38C254B9"/>
    <w:rsid w:val="38CB41BA"/>
    <w:rsid w:val="38CC54BF"/>
    <w:rsid w:val="38CD2F41"/>
    <w:rsid w:val="38CE1966"/>
    <w:rsid w:val="38D315C7"/>
    <w:rsid w:val="38D73850"/>
    <w:rsid w:val="38D77FCD"/>
    <w:rsid w:val="38D90F52"/>
    <w:rsid w:val="38DA69D3"/>
    <w:rsid w:val="38DD575A"/>
    <w:rsid w:val="38DE55D9"/>
    <w:rsid w:val="38E35FF9"/>
    <w:rsid w:val="38EA4A6F"/>
    <w:rsid w:val="38F0487E"/>
    <w:rsid w:val="38F85F83"/>
    <w:rsid w:val="38FBA24C"/>
    <w:rsid w:val="38FE7E8D"/>
    <w:rsid w:val="39010E11"/>
    <w:rsid w:val="39034314"/>
    <w:rsid w:val="39035DF3"/>
    <w:rsid w:val="390361AA"/>
    <w:rsid w:val="391458B3"/>
    <w:rsid w:val="39160DB7"/>
    <w:rsid w:val="391D0741"/>
    <w:rsid w:val="392562C1"/>
    <w:rsid w:val="392B32DA"/>
    <w:rsid w:val="392E425F"/>
    <w:rsid w:val="392E645D"/>
    <w:rsid w:val="3933541D"/>
    <w:rsid w:val="3934789F"/>
    <w:rsid w:val="393D6A78"/>
    <w:rsid w:val="3942200C"/>
    <w:rsid w:val="39461906"/>
    <w:rsid w:val="394856DC"/>
    <w:rsid w:val="394C1BC0"/>
    <w:rsid w:val="394E4794"/>
    <w:rsid w:val="394F2215"/>
    <w:rsid w:val="39542E1A"/>
    <w:rsid w:val="3955089B"/>
    <w:rsid w:val="3955265E"/>
    <w:rsid w:val="39577622"/>
    <w:rsid w:val="3957E8CE"/>
    <w:rsid w:val="395A7356"/>
    <w:rsid w:val="395D152B"/>
    <w:rsid w:val="39661E3A"/>
    <w:rsid w:val="39764653"/>
    <w:rsid w:val="398D7AFC"/>
    <w:rsid w:val="39916502"/>
    <w:rsid w:val="39931A05"/>
    <w:rsid w:val="39934616"/>
    <w:rsid w:val="3994301A"/>
    <w:rsid w:val="3998008B"/>
    <w:rsid w:val="399E1F94"/>
    <w:rsid w:val="39A86127"/>
    <w:rsid w:val="39AD25AF"/>
    <w:rsid w:val="39BD2849"/>
    <w:rsid w:val="39C159CC"/>
    <w:rsid w:val="39CB4C31"/>
    <w:rsid w:val="39CC17DF"/>
    <w:rsid w:val="39CD23BC"/>
    <w:rsid w:val="39CF2763"/>
    <w:rsid w:val="39CF5FE7"/>
    <w:rsid w:val="39D15C66"/>
    <w:rsid w:val="39D236E8"/>
    <w:rsid w:val="39D968F6"/>
    <w:rsid w:val="39DE2D7E"/>
    <w:rsid w:val="39E42709"/>
    <w:rsid w:val="39E5018A"/>
    <w:rsid w:val="39E8110F"/>
    <w:rsid w:val="39E906BC"/>
    <w:rsid w:val="39ED27D1"/>
    <w:rsid w:val="39F252A2"/>
    <w:rsid w:val="39F63CA8"/>
    <w:rsid w:val="39F7C7A9"/>
    <w:rsid w:val="39F83928"/>
    <w:rsid w:val="39FCFEA1"/>
    <w:rsid w:val="3A021048"/>
    <w:rsid w:val="3A021CB9"/>
    <w:rsid w:val="3A0B4B47"/>
    <w:rsid w:val="3A0C5E4C"/>
    <w:rsid w:val="3A1144D2"/>
    <w:rsid w:val="3A1A0B2C"/>
    <w:rsid w:val="3A1C285D"/>
    <w:rsid w:val="3A20328D"/>
    <w:rsid w:val="3A23099B"/>
    <w:rsid w:val="3A2A1B78"/>
    <w:rsid w:val="3A2A53FC"/>
    <w:rsid w:val="3A2B2111"/>
    <w:rsid w:val="3A2D6380"/>
    <w:rsid w:val="3A2D6818"/>
    <w:rsid w:val="3A2E3E02"/>
    <w:rsid w:val="3A2E6000"/>
    <w:rsid w:val="3A35391F"/>
    <w:rsid w:val="3A372E7F"/>
    <w:rsid w:val="3A382193"/>
    <w:rsid w:val="3A3E409C"/>
    <w:rsid w:val="3A546240"/>
    <w:rsid w:val="3A564FC6"/>
    <w:rsid w:val="3A5C70FE"/>
    <w:rsid w:val="3A5D10CE"/>
    <w:rsid w:val="3A675260"/>
    <w:rsid w:val="3A6F0BDF"/>
    <w:rsid w:val="3A704957"/>
    <w:rsid w:val="3A712BA9"/>
    <w:rsid w:val="3A721073"/>
    <w:rsid w:val="3A766411"/>
    <w:rsid w:val="3A836521"/>
    <w:rsid w:val="3A844811"/>
    <w:rsid w:val="3A916DA7"/>
    <w:rsid w:val="3A946897"/>
    <w:rsid w:val="3A9A0F33"/>
    <w:rsid w:val="3A9A3131"/>
    <w:rsid w:val="3A9B0BB2"/>
    <w:rsid w:val="3A9E27CB"/>
    <w:rsid w:val="3AA54031"/>
    <w:rsid w:val="3AA666D3"/>
    <w:rsid w:val="3ABC496A"/>
    <w:rsid w:val="3ABE36F1"/>
    <w:rsid w:val="3ABEE202"/>
    <w:rsid w:val="3AC14675"/>
    <w:rsid w:val="3AC7657F"/>
    <w:rsid w:val="3ACF398B"/>
    <w:rsid w:val="3ACFD4B2"/>
    <w:rsid w:val="3AD35612"/>
    <w:rsid w:val="3AD43CAB"/>
    <w:rsid w:val="3AD60AE7"/>
    <w:rsid w:val="3AD65514"/>
    <w:rsid w:val="3AD924FC"/>
    <w:rsid w:val="3ADF5808"/>
    <w:rsid w:val="3AE138A5"/>
    <w:rsid w:val="3AE319F7"/>
    <w:rsid w:val="3AEB7A38"/>
    <w:rsid w:val="3AEC2F3B"/>
    <w:rsid w:val="3AEF063D"/>
    <w:rsid w:val="3AF834CA"/>
    <w:rsid w:val="3AFA2251"/>
    <w:rsid w:val="3AFC7952"/>
    <w:rsid w:val="3AFD53D4"/>
    <w:rsid w:val="3B02185C"/>
    <w:rsid w:val="3B02765D"/>
    <w:rsid w:val="3B032B60"/>
    <w:rsid w:val="3B060262"/>
    <w:rsid w:val="3B083765"/>
    <w:rsid w:val="3B0A3B18"/>
    <w:rsid w:val="3B0E03F8"/>
    <w:rsid w:val="3B135379"/>
    <w:rsid w:val="3B145D38"/>
    <w:rsid w:val="3B25439A"/>
    <w:rsid w:val="3B295232"/>
    <w:rsid w:val="3B2D53AF"/>
    <w:rsid w:val="3B2F036E"/>
    <w:rsid w:val="3B3A08F9"/>
    <w:rsid w:val="3B3D1A41"/>
    <w:rsid w:val="3B3F1A91"/>
    <w:rsid w:val="3B4E1CDB"/>
    <w:rsid w:val="3B5F4174"/>
    <w:rsid w:val="3B5F79F7"/>
    <w:rsid w:val="3B601BF5"/>
    <w:rsid w:val="3B6363FD"/>
    <w:rsid w:val="3B6369C9"/>
    <w:rsid w:val="3B642C99"/>
    <w:rsid w:val="3B672ACA"/>
    <w:rsid w:val="3B687ECF"/>
    <w:rsid w:val="3B6A5D88"/>
    <w:rsid w:val="3B6B7167"/>
    <w:rsid w:val="3B6F4C0F"/>
    <w:rsid w:val="3B751B9A"/>
    <w:rsid w:val="3B783AC3"/>
    <w:rsid w:val="3B7C0ECD"/>
    <w:rsid w:val="3B8539C9"/>
    <w:rsid w:val="3B895CD0"/>
    <w:rsid w:val="3B8A37F6"/>
    <w:rsid w:val="3B946BCC"/>
    <w:rsid w:val="3BA810F0"/>
    <w:rsid w:val="3BAC7AF6"/>
    <w:rsid w:val="3BAE7776"/>
    <w:rsid w:val="3BAF51F7"/>
    <w:rsid w:val="3BB106FB"/>
    <w:rsid w:val="3BB13F7E"/>
    <w:rsid w:val="3BB44F02"/>
    <w:rsid w:val="3BB62604"/>
    <w:rsid w:val="3BBB6A8C"/>
    <w:rsid w:val="3BBC230F"/>
    <w:rsid w:val="3BBEE706"/>
    <w:rsid w:val="3BBFF670"/>
    <w:rsid w:val="3BC4519D"/>
    <w:rsid w:val="3BC76121"/>
    <w:rsid w:val="3BCB12A4"/>
    <w:rsid w:val="3BCB4B28"/>
    <w:rsid w:val="3BCC25A9"/>
    <w:rsid w:val="3BD31F34"/>
    <w:rsid w:val="3BD34132"/>
    <w:rsid w:val="3BD86C58"/>
    <w:rsid w:val="3BDD41E6"/>
    <w:rsid w:val="3BDE5D47"/>
    <w:rsid w:val="3BDF8498"/>
    <w:rsid w:val="3BE86656"/>
    <w:rsid w:val="3BF14D67"/>
    <w:rsid w:val="3BF227E9"/>
    <w:rsid w:val="3BF42E05"/>
    <w:rsid w:val="3BF511EF"/>
    <w:rsid w:val="3BFBC5E8"/>
    <w:rsid w:val="3BFC0B7A"/>
    <w:rsid w:val="3BFC486B"/>
    <w:rsid w:val="3C0074B8"/>
    <w:rsid w:val="3C007580"/>
    <w:rsid w:val="3C045D8F"/>
    <w:rsid w:val="3C053A08"/>
    <w:rsid w:val="3C065C06"/>
    <w:rsid w:val="3C076F0B"/>
    <w:rsid w:val="3C0E6896"/>
    <w:rsid w:val="3C137C90"/>
    <w:rsid w:val="3C155C75"/>
    <w:rsid w:val="3C1C7DAA"/>
    <w:rsid w:val="3C1E28BD"/>
    <w:rsid w:val="3C202033"/>
    <w:rsid w:val="3C217AB5"/>
    <w:rsid w:val="3C227735"/>
    <w:rsid w:val="3C26744A"/>
    <w:rsid w:val="3C2A03C4"/>
    <w:rsid w:val="3C2E6DCB"/>
    <w:rsid w:val="3C356755"/>
    <w:rsid w:val="3C360954"/>
    <w:rsid w:val="3C3641D7"/>
    <w:rsid w:val="3C376892"/>
    <w:rsid w:val="3C4953F6"/>
    <w:rsid w:val="3C4C637B"/>
    <w:rsid w:val="3C4F036E"/>
    <w:rsid w:val="3C5D193C"/>
    <w:rsid w:val="3C631823"/>
    <w:rsid w:val="3C682428"/>
    <w:rsid w:val="3C69372C"/>
    <w:rsid w:val="3C6E7BB4"/>
    <w:rsid w:val="3C6F55DA"/>
    <w:rsid w:val="3C73403C"/>
    <w:rsid w:val="3C785F45"/>
    <w:rsid w:val="3C7B7357"/>
    <w:rsid w:val="3C7D23CD"/>
    <w:rsid w:val="3C7F204D"/>
    <w:rsid w:val="3C806DAB"/>
    <w:rsid w:val="3C810DD3"/>
    <w:rsid w:val="3C826855"/>
    <w:rsid w:val="3C8342D6"/>
    <w:rsid w:val="3C8A5E5F"/>
    <w:rsid w:val="3C8F032D"/>
    <w:rsid w:val="3C8F5B6A"/>
    <w:rsid w:val="3C972F77"/>
    <w:rsid w:val="3C9A3EFB"/>
    <w:rsid w:val="3C9C73FE"/>
    <w:rsid w:val="3CA07775"/>
    <w:rsid w:val="3CB50EC3"/>
    <w:rsid w:val="3CB50F07"/>
    <w:rsid w:val="3CB67FA8"/>
    <w:rsid w:val="3CB79532"/>
    <w:rsid w:val="3CB90F2D"/>
    <w:rsid w:val="3CB95DDA"/>
    <w:rsid w:val="3CBB117A"/>
    <w:rsid w:val="3CBC1EB2"/>
    <w:rsid w:val="3CBD7933"/>
    <w:rsid w:val="3CC2763E"/>
    <w:rsid w:val="3CC505C3"/>
    <w:rsid w:val="3CC956E1"/>
    <w:rsid w:val="3CCF6954"/>
    <w:rsid w:val="3CD165D4"/>
    <w:rsid w:val="3CD31AD7"/>
    <w:rsid w:val="3CD839E0"/>
    <w:rsid w:val="3CE051BA"/>
    <w:rsid w:val="3CE05DC4"/>
    <w:rsid w:val="3CE242F0"/>
    <w:rsid w:val="3CE86A81"/>
    <w:rsid w:val="3CE974FE"/>
    <w:rsid w:val="3CEE2AEC"/>
    <w:rsid w:val="3CF06E89"/>
    <w:rsid w:val="3CF11D7F"/>
    <w:rsid w:val="3CF14DC8"/>
    <w:rsid w:val="3CF2458A"/>
    <w:rsid w:val="3D023F8C"/>
    <w:rsid w:val="3D033860"/>
    <w:rsid w:val="3D045B29"/>
    <w:rsid w:val="3D08452F"/>
    <w:rsid w:val="3D091FB1"/>
    <w:rsid w:val="3D0E357A"/>
    <w:rsid w:val="3D0E6439"/>
    <w:rsid w:val="3D0F737F"/>
    <w:rsid w:val="3D1010F8"/>
    <w:rsid w:val="3D1837B0"/>
    <w:rsid w:val="3D1B574E"/>
    <w:rsid w:val="3D211F38"/>
    <w:rsid w:val="3D267363"/>
    <w:rsid w:val="3D2A5D69"/>
    <w:rsid w:val="3D2B37EA"/>
    <w:rsid w:val="3D3562F8"/>
    <w:rsid w:val="3D3675FD"/>
    <w:rsid w:val="3D3954D4"/>
    <w:rsid w:val="3D3C5C83"/>
    <w:rsid w:val="3D3CF230"/>
    <w:rsid w:val="3D3D3216"/>
    <w:rsid w:val="3D407F0C"/>
    <w:rsid w:val="3D472531"/>
    <w:rsid w:val="3D515C28"/>
    <w:rsid w:val="3D5620B0"/>
    <w:rsid w:val="3D570AC8"/>
    <w:rsid w:val="3D595B76"/>
    <w:rsid w:val="3D5F035F"/>
    <w:rsid w:val="3D6200C1"/>
    <w:rsid w:val="3D637EB9"/>
    <w:rsid w:val="3D6B5731"/>
    <w:rsid w:val="3D7062FD"/>
    <w:rsid w:val="3D72615D"/>
    <w:rsid w:val="3D736436"/>
    <w:rsid w:val="3D7725E5"/>
    <w:rsid w:val="3D7C3183"/>
    <w:rsid w:val="3D810976"/>
    <w:rsid w:val="3D883FE9"/>
    <w:rsid w:val="3D8B20D9"/>
    <w:rsid w:val="3D962E9A"/>
    <w:rsid w:val="3D9C6FA1"/>
    <w:rsid w:val="3D9D02A6"/>
    <w:rsid w:val="3D9F37A9"/>
    <w:rsid w:val="3DA41F83"/>
    <w:rsid w:val="3DA51E2F"/>
    <w:rsid w:val="3DA82DB4"/>
    <w:rsid w:val="3DAA3D38"/>
    <w:rsid w:val="3DAC214A"/>
    <w:rsid w:val="3DACA04D"/>
    <w:rsid w:val="3DAD746C"/>
    <w:rsid w:val="3DAE273F"/>
    <w:rsid w:val="3DAF5FC2"/>
    <w:rsid w:val="3DB8304E"/>
    <w:rsid w:val="3DBC52D8"/>
    <w:rsid w:val="3DC52C00"/>
    <w:rsid w:val="3DC92CFC"/>
    <w:rsid w:val="3DCD3FB6"/>
    <w:rsid w:val="3DD782A5"/>
    <w:rsid w:val="3DE17C53"/>
    <w:rsid w:val="3DE42C19"/>
    <w:rsid w:val="3DE535BD"/>
    <w:rsid w:val="3DE73B9D"/>
    <w:rsid w:val="3DF00289"/>
    <w:rsid w:val="3DF45431"/>
    <w:rsid w:val="3DF758E6"/>
    <w:rsid w:val="3DF7A2CC"/>
    <w:rsid w:val="3DFD6502"/>
    <w:rsid w:val="3DFF77B9"/>
    <w:rsid w:val="3E0840D2"/>
    <w:rsid w:val="3E0F72E0"/>
    <w:rsid w:val="3E1014DE"/>
    <w:rsid w:val="3E116F60"/>
    <w:rsid w:val="3E135CE6"/>
    <w:rsid w:val="3E1533E8"/>
    <w:rsid w:val="3E1D07F4"/>
    <w:rsid w:val="3E2171FA"/>
    <w:rsid w:val="3E224C7C"/>
    <w:rsid w:val="3E2B558B"/>
    <w:rsid w:val="3E2C0E0F"/>
    <w:rsid w:val="3E2E4312"/>
    <w:rsid w:val="3E307815"/>
    <w:rsid w:val="3E35171E"/>
    <w:rsid w:val="3E37139E"/>
    <w:rsid w:val="3E375EB7"/>
    <w:rsid w:val="3E4A03BF"/>
    <w:rsid w:val="3E5D1E1C"/>
    <w:rsid w:val="3E6212E9"/>
    <w:rsid w:val="3E6469EA"/>
    <w:rsid w:val="3E6831F2"/>
    <w:rsid w:val="3E6E4707"/>
    <w:rsid w:val="3E787C09"/>
    <w:rsid w:val="3E7B4411"/>
    <w:rsid w:val="3E83181D"/>
    <w:rsid w:val="3E83729F"/>
    <w:rsid w:val="3E8C3BFB"/>
    <w:rsid w:val="3E9055C8"/>
    <w:rsid w:val="3E931AB8"/>
    <w:rsid w:val="3E9939C1"/>
    <w:rsid w:val="3EA90437"/>
    <w:rsid w:val="3EAF238B"/>
    <w:rsid w:val="3EB17F54"/>
    <w:rsid w:val="3EB31FEC"/>
    <w:rsid w:val="3EB46C78"/>
    <w:rsid w:val="3EC07104"/>
    <w:rsid w:val="3EC11302"/>
    <w:rsid w:val="3EC145AE"/>
    <w:rsid w:val="3EC74798"/>
    <w:rsid w:val="3EC91F92"/>
    <w:rsid w:val="3ED100BA"/>
    <w:rsid w:val="3ED1739E"/>
    <w:rsid w:val="3ED328A1"/>
    <w:rsid w:val="3ED709F1"/>
    <w:rsid w:val="3ED76D29"/>
    <w:rsid w:val="3EDA442A"/>
    <w:rsid w:val="3EDD65F2"/>
    <w:rsid w:val="3EDE5A48"/>
    <w:rsid w:val="3EE37DED"/>
    <w:rsid w:val="3EF7319B"/>
    <w:rsid w:val="3EF839DA"/>
    <w:rsid w:val="3EFD0EAF"/>
    <w:rsid w:val="3EFD649B"/>
    <w:rsid w:val="3F0E1401"/>
    <w:rsid w:val="3F150D8C"/>
    <w:rsid w:val="3F1E4982"/>
    <w:rsid w:val="3F205982"/>
    <w:rsid w:val="3F225EA4"/>
    <w:rsid w:val="3F246E28"/>
    <w:rsid w:val="3F277DAD"/>
    <w:rsid w:val="3F33033C"/>
    <w:rsid w:val="3F395AC9"/>
    <w:rsid w:val="3F4263D8"/>
    <w:rsid w:val="3F4305D7"/>
    <w:rsid w:val="3F4C3465"/>
    <w:rsid w:val="3F4E1E62"/>
    <w:rsid w:val="3F530871"/>
    <w:rsid w:val="3F5440F4"/>
    <w:rsid w:val="3F5818E6"/>
    <w:rsid w:val="3F5F048E"/>
    <w:rsid w:val="3F5F45D3"/>
    <w:rsid w:val="3F6FBC38"/>
    <w:rsid w:val="3F7520AA"/>
    <w:rsid w:val="3F7AF8D8"/>
    <w:rsid w:val="3F7F5FCB"/>
    <w:rsid w:val="3F7F666B"/>
    <w:rsid w:val="3F7F90A8"/>
    <w:rsid w:val="3F87364A"/>
    <w:rsid w:val="3F874C1D"/>
    <w:rsid w:val="3F8810CB"/>
    <w:rsid w:val="3F8B424E"/>
    <w:rsid w:val="3F8C7AD1"/>
    <w:rsid w:val="3F8E0BC5"/>
    <w:rsid w:val="3F8E37D7"/>
    <w:rsid w:val="3F934EDE"/>
    <w:rsid w:val="3FA376F7"/>
    <w:rsid w:val="3FA550A3"/>
    <w:rsid w:val="3FA618F8"/>
    <w:rsid w:val="3FA85D7D"/>
    <w:rsid w:val="3FB2668C"/>
    <w:rsid w:val="3FB377C0"/>
    <w:rsid w:val="3FB700C7"/>
    <w:rsid w:val="3FBBEC20"/>
    <w:rsid w:val="3FBC6997"/>
    <w:rsid w:val="3FBE37A3"/>
    <w:rsid w:val="3FBF0B04"/>
    <w:rsid w:val="3FC37C2B"/>
    <w:rsid w:val="3FC3D417"/>
    <w:rsid w:val="3FC4707F"/>
    <w:rsid w:val="3FC60BB0"/>
    <w:rsid w:val="3FC6532D"/>
    <w:rsid w:val="3FCB17B4"/>
    <w:rsid w:val="3FCB5038"/>
    <w:rsid w:val="3FCD4CB7"/>
    <w:rsid w:val="3FD15E98"/>
    <w:rsid w:val="3FD414E4"/>
    <w:rsid w:val="3FDE40AA"/>
    <w:rsid w:val="3FDE6257"/>
    <w:rsid w:val="3FE171DB"/>
    <w:rsid w:val="3FE24C5D"/>
    <w:rsid w:val="3FE710E5"/>
    <w:rsid w:val="3FEA2069"/>
    <w:rsid w:val="3FEF75F9"/>
    <w:rsid w:val="3FF022AA"/>
    <w:rsid w:val="3FF32979"/>
    <w:rsid w:val="3FF5C5D9"/>
    <w:rsid w:val="3FF75FA4"/>
    <w:rsid w:val="3FFB7D85"/>
    <w:rsid w:val="3FFD5C18"/>
    <w:rsid w:val="3FFE2726"/>
    <w:rsid w:val="3FFE3420"/>
    <w:rsid w:val="3FFF7421"/>
    <w:rsid w:val="3FFFA495"/>
    <w:rsid w:val="400E49F6"/>
    <w:rsid w:val="40181D19"/>
    <w:rsid w:val="40185137"/>
    <w:rsid w:val="401B2838"/>
    <w:rsid w:val="401D15BF"/>
    <w:rsid w:val="401D2024"/>
    <w:rsid w:val="402457CC"/>
    <w:rsid w:val="40246CDA"/>
    <w:rsid w:val="402E3A57"/>
    <w:rsid w:val="403149DC"/>
    <w:rsid w:val="40322DDA"/>
    <w:rsid w:val="403533E2"/>
    <w:rsid w:val="403B0B6F"/>
    <w:rsid w:val="403B7E64"/>
    <w:rsid w:val="403E1AF3"/>
    <w:rsid w:val="403F4FF6"/>
    <w:rsid w:val="40464981"/>
    <w:rsid w:val="40472403"/>
    <w:rsid w:val="40495906"/>
    <w:rsid w:val="40495CE5"/>
    <w:rsid w:val="404B0E09"/>
    <w:rsid w:val="40512D12"/>
    <w:rsid w:val="405C1C05"/>
    <w:rsid w:val="40631D33"/>
    <w:rsid w:val="406477B5"/>
    <w:rsid w:val="406D6DBF"/>
    <w:rsid w:val="406F22C2"/>
    <w:rsid w:val="40741EB5"/>
    <w:rsid w:val="40741FCD"/>
    <w:rsid w:val="4075369B"/>
    <w:rsid w:val="40757A4F"/>
    <w:rsid w:val="407610F6"/>
    <w:rsid w:val="40776A3F"/>
    <w:rsid w:val="40786455"/>
    <w:rsid w:val="407A2D99"/>
    <w:rsid w:val="407B73DA"/>
    <w:rsid w:val="407F255D"/>
    <w:rsid w:val="40806076"/>
    <w:rsid w:val="40826D65"/>
    <w:rsid w:val="40830F63"/>
    <w:rsid w:val="40882E6C"/>
    <w:rsid w:val="40973487"/>
    <w:rsid w:val="40980F08"/>
    <w:rsid w:val="409E2E12"/>
    <w:rsid w:val="409F0893"/>
    <w:rsid w:val="40A37834"/>
    <w:rsid w:val="40AD2461"/>
    <w:rsid w:val="40B3559D"/>
    <w:rsid w:val="40B51316"/>
    <w:rsid w:val="40BC26A4"/>
    <w:rsid w:val="40C00DC8"/>
    <w:rsid w:val="40C21D4C"/>
    <w:rsid w:val="40CA29DC"/>
    <w:rsid w:val="40CB4BDA"/>
    <w:rsid w:val="40D50AD5"/>
    <w:rsid w:val="40D8646E"/>
    <w:rsid w:val="40E35B04"/>
    <w:rsid w:val="40E63206"/>
    <w:rsid w:val="40E77274"/>
    <w:rsid w:val="40EA1C0C"/>
    <w:rsid w:val="40EA7211"/>
    <w:rsid w:val="40F45A6F"/>
    <w:rsid w:val="40F938F8"/>
    <w:rsid w:val="40FC7939"/>
    <w:rsid w:val="410150B4"/>
    <w:rsid w:val="410272B3"/>
    <w:rsid w:val="410C3445"/>
    <w:rsid w:val="41184CDA"/>
    <w:rsid w:val="411C35F3"/>
    <w:rsid w:val="411C36E0"/>
    <w:rsid w:val="411D49E5"/>
    <w:rsid w:val="412039E3"/>
    <w:rsid w:val="41260DCB"/>
    <w:rsid w:val="41356808"/>
    <w:rsid w:val="41384420"/>
    <w:rsid w:val="413C1A16"/>
    <w:rsid w:val="414230F4"/>
    <w:rsid w:val="4142391F"/>
    <w:rsid w:val="41434B73"/>
    <w:rsid w:val="41485829"/>
    <w:rsid w:val="414D7889"/>
    <w:rsid w:val="415B0C46"/>
    <w:rsid w:val="415F544E"/>
    <w:rsid w:val="41602ED0"/>
    <w:rsid w:val="41654DD9"/>
    <w:rsid w:val="4166743B"/>
    <w:rsid w:val="41697F5C"/>
    <w:rsid w:val="416C5A15"/>
    <w:rsid w:val="416E668C"/>
    <w:rsid w:val="4176023E"/>
    <w:rsid w:val="41766CF7"/>
    <w:rsid w:val="417E1CFA"/>
    <w:rsid w:val="41801BCC"/>
    <w:rsid w:val="41834389"/>
    <w:rsid w:val="418F3A1F"/>
    <w:rsid w:val="41913B31"/>
    <w:rsid w:val="419249A3"/>
    <w:rsid w:val="41963310"/>
    <w:rsid w:val="419E6238"/>
    <w:rsid w:val="419F3CB9"/>
    <w:rsid w:val="41AC2649"/>
    <w:rsid w:val="41AC774B"/>
    <w:rsid w:val="41AF06D0"/>
    <w:rsid w:val="41B119D5"/>
    <w:rsid w:val="41B71360"/>
    <w:rsid w:val="41B91637"/>
    <w:rsid w:val="41BE0CEB"/>
    <w:rsid w:val="41BF1AB4"/>
    <w:rsid w:val="41C24DF8"/>
    <w:rsid w:val="41CA257F"/>
    <w:rsid w:val="41CD3503"/>
    <w:rsid w:val="41CD7C80"/>
    <w:rsid w:val="41CE5702"/>
    <w:rsid w:val="41D63C39"/>
    <w:rsid w:val="41DA4D98"/>
    <w:rsid w:val="41E356A7"/>
    <w:rsid w:val="41E579D9"/>
    <w:rsid w:val="41ED183A"/>
    <w:rsid w:val="41F37EC0"/>
    <w:rsid w:val="41FD2F74"/>
    <w:rsid w:val="420267DC"/>
    <w:rsid w:val="420F3F6D"/>
    <w:rsid w:val="421516F9"/>
    <w:rsid w:val="42174BFC"/>
    <w:rsid w:val="42240EB8"/>
    <w:rsid w:val="42246753"/>
    <w:rsid w:val="42274E97"/>
    <w:rsid w:val="4228747E"/>
    <w:rsid w:val="422C351D"/>
    <w:rsid w:val="423647E2"/>
    <w:rsid w:val="423F253E"/>
    <w:rsid w:val="42415A41"/>
    <w:rsid w:val="42454447"/>
    <w:rsid w:val="424B3DD2"/>
    <w:rsid w:val="424E37D0"/>
    <w:rsid w:val="425A2175"/>
    <w:rsid w:val="425B1E6E"/>
    <w:rsid w:val="425F0874"/>
    <w:rsid w:val="42622570"/>
    <w:rsid w:val="42641056"/>
    <w:rsid w:val="42660B19"/>
    <w:rsid w:val="42666D6B"/>
    <w:rsid w:val="42674891"/>
    <w:rsid w:val="42716D7C"/>
    <w:rsid w:val="42733C91"/>
    <w:rsid w:val="42744F96"/>
    <w:rsid w:val="4275171F"/>
    <w:rsid w:val="42764E3E"/>
    <w:rsid w:val="42772697"/>
    <w:rsid w:val="427A292D"/>
    <w:rsid w:val="427F3327"/>
    <w:rsid w:val="428377AF"/>
    <w:rsid w:val="4283791D"/>
    <w:rsid w:val="42871DBC"/>
    <w:rsid w:val="42901043"/>
    <w:rsid w:val="42912CAF"/>
    <w:rsid w:val="42972BCC"/>
    <w:rsid w:val="429E5DDA"/>
    <w:rsid w:val="42A038DB"/>
    <w:rsid w:val="42AC4713"/>
    <w:rsid w:val="42AE05F3"/>
    <w:rsid w:val="42AE2CF2"/>
    <w:rsid w:val="42B37AD7"/>
    <w:rsid w:val="42B70F03"/>
    <w:rsid w:val="42B93C89"/>
    <w:rsid w:val="42BB570A"/>
    <w:rsid w:val="42BB7761"/>
    <w:rsid w:val="42BD668F"/>
    <w:rsid w:val="42BE4111"/>
    <w:rsid w:val="42C03D90"/>
    <w:rsid w:val="42C6151D"/>
    <w:rsid w:val="42D01E2D"/>
    <w:rsid w:val="42D53D36"/>
    <w:rsid w:val="42D617B7"/>
    <w:rsid w:val="42D662AE"/>
    <w:rsid w:val="42DD1142"/>
    <w:rsid w:val="42DF236D"/>
    <w:rsid w:val="42E020C7"/>
    <w:rsid w:val="42E17B48"/>
    <w:rsid w:val="42F26851"/>
    <w:rsid w:val="42F425C9"/>
    <w:rsid w:val="42F500EF"/>
    <w:rsid w:val="42FE1677"/>
    <w:rsid w:val="43064505"/>
    <w:rsid w:val="43071F86"/>
    <w:rsid w:val="430A2F0B"/>
    <w:rsid w:val="430E1911"/>
    <w:rsid w:val="43166D1E"/>
    <w:rsid w:val="43250A97"/>
    <w:rsid w:val="433E7EE2"/>
    <w:rsid w:val="433F730B"/>
    <w:rsid w:val="43423065"/>
    <w:rsid w:val="435A3F8F"/>
    <w:rsid w:val="435E47FD"/>
    <w:rsid w:val="435F4B93"/>
    <w:rsid w:val="43605E98"/>
    <w:rsid w:val="4365451E"/>
    <w:rsid w:val="436549B3"/>
    <w:rsid w:val="43677A21"/>
    <w:rsid w:val="436A4639"/>
    <w:rsid w:val="43713BB4"/>
    <w:rsid w:val="437152C3"/>
    <w:rsid w:val="4376003C"/>
    <w:rsid w:val="437A6A42"/>
    <w:rsid w:val="437C1F00"/>
    <w:rsid w:val="4381452A"/>
    <w:rsid w:val="438660D8"/>
    <w:rsid w:val="43880F63"/>
    <w:rsid w:val="438A6CDC"/>
    <w:rsid w:val="438D34E4"/>
    <w:rsid w:val="438F3163"/>
    <w:rsid w:val="439148A0"/>
    <w:rsid w:val="43931DE2"/>
    <w:rsid w:val="439D247A"/>
    <w:rsid w:val="439F6DA1"/>
    <w:rsid w:val="43A143B6"/>
    <w:rsid w:val="43A465BA"/>
    <w:rsid w:val="43A713E9"/>
    <w:rsid w:val="43A81B10"/>
    <w:rsid w:val="43AA5013"/>
    <w:rsid w:val="43B35A16"/>
    <w:rsid w:val="43BC29BB"/>
    <w:rsid w:val="43C071B6"/>
    <w:rsid w:val="43C23488"/>
    <w:rsid w:val="43C401ED"/>
    <w:rsid w:val="43C732BE"/>
    <w:rsid w:val="43C845C3"/>
    <w:rsid w:val="43C967C1"/>
    <w:rsid w:val="43D32954"/>
    <w:rsid w:val="43D638D9"/>
    <w:rsid w:val="43DA7D60"/>
    <w:rsid w:val="43E176EB"/>
    <w:rsid w:val="43E40670"/>
    <w:rsid w:val="43EC32A0"/>
    <w:rsid w:val="43F15787"/>
    <w:rsid w:val="43F5418D"/>
    <w:rsid w:val="43F9146D"/>
    <w:rsid w:val="43FE3F02"/>
    <w:rsid w:val="43FFF96C"/>
    <w:rsid w:val="4400471D"/>
    <w:rsid w:val="440235DE"/>
    <w:rsid w:val="441311BF"/>
    <w:rsid w:val="441349D4"/>
    <w:rsid w:val="441433BD"/>
    <w:rsid w:val="44147613"/>
    <w:rsid w:val="44177434"/>
    <w:rsid w:val="441925A9"/>
    <w:rsid w:val="441A605F"/>
    <w:rsid w:val="441D1ACF"/>
    <w:rsid w:val="441E71D2"/>
    <w:rsid w:val="442330C2"/>
    <w:rsid w:val="442745DC"/>
    <w:rsid w:val="442C0A64"/>
    <w:rsid w:val="44314EEC"/>
    <w:rsid w:val="443775B0"/>
    <w:rsid w:val="443D4582"/>
    <w:rsid w:val="443E2003"/>
    <w:rsid w:val="44404EFF"/>
    <w:rsid w:val="44466E54"/>
    <w:rsid w:val="44494453"/>
    <w:rsid w:val="445554AC"/>
    <w:rsid w:val="44557097"/>
    <w:rsid w:val="445676AA"/>
    <w:rsid w:val="445C7035"/>
    <w:rsid w:val="445E033A"/>
    <w:rsid w:val="445E4335"/>
    <w:rsid w:val="446866CB"/>
    <w:rsid w:val="446A1BCE"/>
    <w:rsid w:val="446B6B8C"/>
    <w:rsid w:val="447A1E68"/>
    <w:rsid w:val="447B0A98"/>
    <w:rsid w:val="447C27D2"/>
    <w:rsid w:val="447E086E"/>
    <w:rsid w:val="44801498"/>
    <w:rsid w:val="44827275"/>
    <w:rsid w:val="4488117E"/>
    <w:rsid w:val="44894F93"/>
    <w:rsid w:val="448E4357"/>
    <w:rsid w:val="44934F90"/>
    <w:rsid w:val="44993616"/>
    <w:rsid w:val="449D696C"/>
    <w:rsid w:val="449F47B6"/>
    <w:rsid w:val="44A06825"/>
    <w:rsid w:val="44A97134"/>
    <w:rsid w:val="44B21FC2"/>
    <w:rsid w:val="44B30262"/>
    <w:rsid w:val="44B6424B"/>
    <w:rsid w:val="44B71CCD"/>
    <w:rsid w:val="44B8774F"/>
    <w:rsid w:val="44B951D0"/>
    <w:rsid w:val="44B96AB4"/>
    <w:rsid w:val="44C75062"/>
    <w:rsid w:val="44C766E4"/>
    <w:rsid w:val="44CB5B54"/>
    <w:rsid w:val="44D53D34"/>
    <w:rsid w:val="44D74780"/>
    <w:rsid w:val="44DC32FD"/>
    <w:rsid w:val="44E7A42C"/>
    <w:rsid w:val="44E92A59"/>
    <w:rsid w:val="44E977E0"/>
    <w:rsid w:val="44EE0B22"/>
    <w:rsid w:val="44F078A8"/>
    <w:rsid w:val="44F41C55"/>
    <w:rsid w:val="44F462AF"/>
    <w:rsid w:val="44FA5C39"/>
    <w:rsid w:val="45085EB8"/>
    <w:rsid w:val="450A0BD9"/>
    <w:rsid w:val="450E7A16"/>
    <w:rsid w:val="45107462"/>
    <w:rsid w:val="451262C8"/>
    <w:rsid w:val="45161CE6"/>
    <w:rsid w:val="45170C4A"/>
    <w:rsid w:val="45177419"/>
    <w:rsid w:val="451E0190"/>
    <w:rsid w:val="45264590"/>
    <w:rsid w:val="452D190C"/>
    <w:rsid w:val="45375A9E"/>
    <w:rsid w:val="453A31A0"/>
    <w:rsid w:val="453C66A3"/>
    <w:rsid w:val="453E1BA6"/>
    <w:rsid w:val="45433AAF"/>
    <w:rsid w:val="45440EBA"/>
    <w:rsid w:val="45481D9E"/>
    <w:rsid w:val="454937BA"/>
    <w:rsid w:val="454A6CBD"/>
    <w:rsid w:val="454E0A4E"/>
    <w:rsid w:val="454F78C2"/>
    <w:rsid w:val="45500BC7"/>
    <w:rsid w:val="45516648"/>
    <w:rsid w:val="4555504E"/>
    <w:rsid w:val="45593A55"/>
    <w:rsid w:val="455A36D4"/>
    <w:rsid w:val="45667082"/>
    <w:rsid w:val="45674F69"/>
    <w:rsid w:val="456F5BF8"/>
    <w:rsid w:val="45764775"/>
    <w:rsid w:val="457D08A6"/>
    <w:rsid w:val="457E4245"/>
    <w:rsid w:val="45803914"/>
    <w:rsid w:val="458338C9"/>
    <w:rsid w:val="45876B22"/>
    <w:rsid w:val="458C2FAA"/>
    <w:rsid w:val="45913BAE"/>
    <w:rsid w:val="459270B2"/>
    <w:rsid w:val="459425B5"/>
    <w:rsid w:val="459C6CDB"/>
    <w:rsid w:val="45A602D1"/>
    <w:rsid w:val="45AA0FE0"/>
    <w:rsid w:val="45AD60D6"/>
    <w:rsid w:val="45AE5A3D"/>
    <w:rsid w:val="45AF0C30"/>
    <w:rsid w:val="45BF6C7C"/>
    <w:rsid w:val="45C27C01"/>
    <w:rsid w:val="45C51DD7"/>
    <w:rsid w:val="45C52D84"/>
    <w:rsid w:val="45C81B0A"/>
    <w:rsid w:val="45C83899"/>
    <w:rsid w:val="45C83D08"/>
    <w:rsid w:val="45CD0EAF"/>
    <w:rsid w:val="45D668A1"/>
    <w:rsid w:val="45D83C2B"/>
    <w:rsid w:val="45DA52A8"/>
    <w:rsid w:val="45E1128A"/>
    <w:rsid w:val="45E2495B"/>
    <w:rsid w:val="45E30135"/>
    <w:rsid w:val="45E32240"/>
    <w:rsid w:val="45E8203F"/>
    <w:rsid w:val="45E87E40"/>
    <w:rsid w:val="45EE77A4"/>
    <w:rsid w:val="45F20916"/>
    <w:rsid w:val="45F45E51"/>
    <w:rsid w:val="45F91CA4"/>
    <w:rsid w:val="45FA7DAB"/>
    <w:rsid w:val="45FB325E"/>
    <w:rsid w:val="45FC0CDF"/>
    <w:rsid w:val="45FC3543"/>
    <w:rsid w:val="45FF375F"/>
    <w:rsid w:val="46015167"/>
    <w:rsid w:val="46022BE9"/>
    <w:rsid w:val="4603315D"/>
    <w:rsid w:val="460A3878"/>
    <w:rsid w:val="460A3EB2"/>
    <w:rsid w:val="460C34F8"/>
    <w:rsid w:val="460C6D7B"/>
    <w:rsid w:val="460D47FD"/>
    <w:rsid w:val="460D5750"/>
    <w:rsid w:val="46161889"/>
    <w:rsid w:val="4619280E"/>
    <w:rsid w:val="46217C1A"/>
    <w:rsid w:val="46251EA4"/>
    <w:rsid w:val="46256620"/>
    <w:rsid w:val="46271B24"/>
    <w:rsid w:val="462A632B"/>
    <w:rsid w:val="46300235"/>
    <w:rsid w:val="46333D27"/>
    <w:rsid w:val="463351B6"/>
    <w:rsid w:val="463D754A"/>
    <w:rsid w:val="46415F51"/>
    <w:rsid w:val="46422F25"/>
    <w:rsid w:val="464B42E2"/>
    <w:rsid w:val="46503FBA"/>
    <w:rsid w:val="46534F71"/>
    <w:rsid w:val="465366B9"/>
    <w:rsid w:val="465F5501"/>
    <w:rsid w:val="46633F07"/>
    <w:rsid w:val="46635A1D"/>
    <w:rsid w:val="46676190"/>
    <w:rsid w:val="466A3CC6"/>
    <w:rsid w:val="46734016"/>
    <w:rsid w:val="4675358A"/>
    <w:rsid w:val="4677642B"/>
    <w:rsid w:val="467F03FC"/>
    <w:rsid w:val="46822474"/>
    <w:rsid w:val="46845108"/>
    <w:rsid w:val="46884147"/>
    <w:rsid w:val="468E2FF9"/>
    <w:rsid w:val="46901553"/>
    <w:rsid w:val="4694349D"/>
    <w:rsid w:val="46980B5E"/>
    <w:rsid w:val="4698326B"/>
    <w:rsid w:val="469C7200"/>
    <w:rsid w:val="469F3D6C"/>
    <w:rsid w:val="46B92717"/>
    <w:rsid w:val="46BC369C"/>
    <w:rsid w:val="46BE6E4D"/>
    <w:rsid w:val="46C456C1"/>
    <w:rsid w:val="46C91677"/>
    <w:rsid w:val="46CC73B9"/>
    <w:rsid w:val="46D33B76"/>
    <w:rsid w:val="46D544C0"/>
    <w:rsid w:val="46D66444"/>
    <w:rsid w:val="46D81947"/>
    <w:rsid w:val="46DB13AA"/>
    <w:rsid w:val="46E531DB"/>
    <w:rsid w:val="46E73B3A"/>
    <w:rsid w:val="46E81EE8"/>
    <w:rsid w:val="46F14050"/>
    <w:rsid w:val="46F41277"/>
    <w:rsid w:val="46F53476"/>
    <w:rsid w:val="46FA7458"/>
    <w:rsid w:val="46FC2E01"/>
    <w:rsid w:val="46FE3D85"/>
    <w:rsid w:val="47072496"/>
    <w:rsid w:val="470C691E"/>
    <w:rsid w:val="471517AC"/>
    <w:rsid w:val="471C20EE"/>
    <w:rsid w:val="47210E42"/>
    <w:rsid w:val="472E0158"/>
    <w:rsid w:val="472E48D4"/>
    <w:rsid w:val="47300403"/>
    <w:rsid w:val="4730365B"/>
    <w:rsid w:val="47307DD7"/>
    <w:rsid w:val="473110DC"/>
    <w:rsid w:val="47324FF8"/>
    <w:rsid w:val="47326B5E"/>
    <w:rsid w:val="47373E8E"/>
    <w:rsid w:val="4739659C"/>
    <w:rsid w:val="473F25F0"/>
    <w:rsid w:val="47400072"/>
    <w:rsid w:val="47402BAF"/>
    <w:rsid w:val="4741374E"/>
    <w:rsid w:val="47480D01"/>
    <w:rsid w:val="474A4205"/>
    <w:rsid w:val="474C7708"/>
    <w:rsid w:val="474D04FA"/>
    <w:rsid w:val="475353E4"/>
    <w:rsid w:val="47554794"/>
    <w:rsid w:val="47613E2A"/>
    <w:rsid w:val="476423C9"/>
    <w:rsid w:val="476C21BB"/>
    <w:rsid w:val="47745049"/>
    <w:rsid w:val="4779744A"/>
    <w:rsid w:val="477A0BC3"/>
    <w:rsid w:val="477B4913"/>
    <w:rsid w:val="47800E5B"/>
    <w:rsid w:val="478552E3"/>
    <w:rsid w:val="47883CE9"/>
    <w:rsid w:val="47885A1B"/>
    <w:rsid w:val="478B2A70"/>
    <w:rsid w:val="47916B77"/>
    <w:rsid w:val="479245F9"/>
    <w:rsid w:val="47947AFC"/>
    <w:rsid w:val="479E3C8F"/>
    <w:rsid w:val="47A14C13"/>
    <w:rsid w:val="47BA7D3C"/>
    <w:rsid w:val="47BD2EBF"/>
    <w:rsid w:val="47C92554"/>
    <w:rsid w:val="47CE69DC"/>
    <w:rsid w:val="47D12BE7"/>
    <w:rsid w:val="47D14C87"/>
    <w:rsid w:val="47D74267"/>
    <w:rsid w:val="47D772EC"/>
    <w:rsid w:val="47D77DC3"/>
    <w:rsid w:val="47D917DB"/>
    <w:rsid w:val="47DB5844"/>
    <w:rsid w:val="47E37A8E"/>
    <w:rsid w:val="47EF73C4"/>
    <w:rsid w:val="47F24BA4"/>
    <w:rsid w:val="47FB4028"/>
    <w:rsid w:val="47FB9D36"/>
    <w:rsid w:val="480004B0"/>
    <w:rsid w:val="480037BE"/>
    <w:rsid w:val="48004C2D"/>
    <w:rsid w:val="48035BB1"/>
    <w:rsid w:val="48092618"/>
    <w:rsid w:val="480D18E1"/>
    <w:rsid w:val="480E5EDB"/>
    <w:rsid w:val="48137749"/>
    <w:rsid w:val="48181D3F"/>
    <w:rsid w:val="482A5A71"/>
    <w:rsid w:val="482E7CFA"/>
    <w:rsid w:val="482F25AD"/>
    <w:rsid w:val="482FE636"/>
    <w:rsid w:val="48317CF1"/>
    <w:rsid w:val="48390A7E"/>
    <w:rsid w:val="48482A6F"/>
    <w:rsid w:val="484D4D2C"/>
    <w:rsid w:val="48563CF1"/>
    <w:rsid w:val="485812D4"/>
    <w:rsid w:val="485D2DC8"/>
    <w:rsid w:val="4861761A"/>
    <w:rsid w:val="48683357"/>
    <w:rsid w:val="486A20DE"/>
    <w:rsid w:val="486B42DC"/>
    <w:rsid w:val="486C1D5E"/>
    <w:rsid w:val="486F6565"/>
    <w:rsid w:val="48744BEB"/>
    <w:rsid w:val="48823F01"/>
    <w:rsid w:val="488717E9"/>
    <w:rsid w:val="4888388C"/>
    <w:rsid w:val="488A4B91"/>
    <w:rsid w:val="488E5795"/>
    <w:rsid w:val="488F1019"/>
    <w:rsid w:val="48911F9D"/>
    <w:rsid w:val="48917477"/>
    <w:rsid w:val="4892419C"/>
    <w:rsid w:val="48927A1F"/>
    <w:rsid w:val="489F12B3"/>
    <w:rsid w:val="48A4573B"/>
    <w:rsid w:val="48A54B21"/>
    <w:rsid w:val="48AA1734"/>
    <w:rsid w:val="48AA50C6"/>
    <w:rsid w:val="48AB2B47"/>
    <w:rsid w:val="48B37F53"/>
    <w:rsid w:val="48B6475B"/>
    <w:rsid w:val="48BD0863"/>
    <w:rsid w:val="48BD40E6"/>
    <w:rsid w:val="48C12AEC"/>
    <w:rsid w:val="48C17269"/>
    <w:rsid w:val="48C246A8"/>
    <w:rsid w:val="48C749F6"/>
    <w:rsid w:val="48CA7B79"/>
    <w:rsid w:val="48CD4381"/>
    <w:rsid w:val="48D24A67"/>
    <w:rsid w:val="48D90193"/>
    <w:rsid w:val="48DD6B99"/>
    <w:rsid w:val="48E36524"/>
    <w:rsid w:val="48E43FA6"/>
    <w:rsid w:val="48E628C8"/>
    <w:rsid w:val="48FA6149"/>
    <w:rsid w:val="48FD194C"/>
    <w:rsid w:val="48FD399E"/>
    <w:rsid w:val="49046F68"/>
    <w:rsid w:val="49092EE1"/>
    <w:rsid w:val="490B5F77"/>
    <w:rsid w:val="490E7368"/>
    <w:rsid w:val="490F4DEA"/>
    <w:rsid w:val="491621F6"/>
    <w:rsid w:val="4919317B"/>
    <w:rsid w:val="49283796"/>
    <w:rsid w:val="492F309C"/>
    <w:rsid w:val="4934502A"/>
    <w:rsid w:val="49351245"/>
    <w:rsid w:val="49396E43"/>
    <w:rsid w:val="493A36B0"/>
    <w:rsid w:val="494168BE"/>
    <w:rsid w:val="49433FBF"/>
    <w:rsid w:val="494A174C"/>
    <w:rsid w:val="494A394A"/>
    <w:rsid w:val="494E5BD4"/>
    <w:rsid w:val="495245DA"/>
    <w:rsid w:val="49536540"/>
    <w:rsid w:val="49562FE0"/>
    <w:rsid w:val="495C4EE9"/>
    <w:rsid w:val="495D4B69"/>
    <w:rsid w:val="495F2766"/>
    <w:rsid w:val="4967456F"/>
    <w:rsid w:val="496C4F63"/>
    <w:rsid w:val="496E4757"/>
    <w:rsid w:val="49786FAB"/>
    <w:rsid w:val="497C541E"/>
    <w:rsid w:val="497D025E"/>
    <w:rsid w:val="4983062C"/>
    <w:rsid w:val="49855ABC"/>
    <w:rsid w:val="498615B1"/>
    <w:rsid w:val="498D0F3C"/>
    <w:rsid w:val="49995C78"/>
    <w:rsid w:val="499E33D4"/>
    <w:rsid w:val="49A3785C"/>
    <w:rsid w:val="49A40179"/>
    <w:rsid w:val="49A40B61"/>
    <w:rsid w:val="49A607E1"/>
    <w:rsid w:val="49A76262"/>
    <w:rsid w:val="49A87567"/>
    <w:rsid w:val="49AB26EA"/>
    <w:rsid w:val="49AB7635"/>
    <w:rsid w:val="49AC5F6D"/>
    <w:rsid w:val="49B33379"/>
    <w:rsid w:val="49B66518"/>
    <w:rsid w:val="49B87801"/>
    <w:rsid w:val="49C10D2B"/>
    <w:rsid w:val="49C2488D"/>
    <w:rsid w:val="49C85B75"/>
    <w:rsid w:val="49D438AE"/>
    <w:rsid w:val="49D66DB1"/>
    <w:rsid w:val="49D74833"/>
    <w:rsid w:val="49E13347"/>
    <w:rsid w:val="49E35184"/>
    <w:rsid w:val="49E4194A"/>
    <w:rsid w:val="49E95DD2"/>
    <w:rsid w:val="49EF575D"/>
    <w:rsid w:val="49F11610"/>
    <w:rsid w:val="49F41BE5"/>
    <w:rsid w:val="49F7474D"/>
    <w:rsid w:val="49FB3BA7"/>
    <w:rsid w:val="49FE5398"/>
    <w:rsid w:val="4A061AFF"/>
    <w:rsid w:val="4A082B27"/>
    <w:rsid w:val="4A085002"/>
    <w:rsid w:val="4A096307"/>
    <w:rsid w:val="4A0A0193"/>
    <w:rsid w:val="4A0B180A"/>
    <w:rsid w:val="4A1D5BD4"/>
    <w:rsid w:val="4A1E71A6"/>
    <w:rsid w:val="4A211160"/>
    <w:rsid w:val="4A22142F"/>
    <w:rsid w:val="4A235542"/>
    <w:rsid w:val="4A273284"/>
    <w:rsid w:val="4A2A2D74"/>
    <w:rsid w:val="4A2B42BD"/>
    <w:rsid w:val="4A2E5242"/>
    <w:rsid w:val="4A2F37DA"/>
    <w:rsid w:val="4A323C48"/>
    <w:rsid w:val="4A3C1FD9"/>
    <w:rsid w:val="4A3F2F5D"/>
    <w:rsid w:val="4A431964"/>
    <w:rsid w:val="4A4628E8"/>
    <w:rsid w:val="4A4A0D21"/>
    <w:rsid w:val="4A4A4B72"/>
    <w:rsid w:val="4A4B6D70"/>
    <w:rsid w:val="4A4C4A99"/>
    <w:rsid w:val="4A4D5AF6"/>
    <w:rsid w:val="4A545481"/>
    <w:rsid w:val="4A572EB7"/>
    <w:rsid w:val="4A661A21"/>
    <w:rsid w:val="4A662E1D"/>
    <w:rsid w:val="4A686320"/>
    <w:rsid w:val="4A6D7A33"/>
    <w:rsid w:val="4A780B39"/>
    <w:rsid w:val="4A861153"/>
    <w:rsid w:val="4A863467"/>
    <w:rsid w:val="4A8D0AE6"/>
    <w:rsid w:val="4AA1777F"/>
    <w:rsid w:val="4AA56185"/>
    <w:rsid w:val="4AA63C07"/>
    <w:rsid w:val="4AA664D5"/>
    <w:rsid w:val="4AAF6DD6"/>
    <w:rsid w:val="4AB07D99"/>
    <w:rsid w:val="4AB2329C"/>
    <w:rsid w:val="4AB30D1E"/>
    <w:rsid w:val="4AB3549B"/>
    <w:rsid w:val="4AB467A0"/>
    <w:rsid w:val="4AB56AE2"/>
    <w:rsid w:val="4AB670D1"/>
    <w:rsid w:val="4AB851A6"/>
    <w:rsid w:val="4ABD62B4"/>
    <w:rsid w:val="4AC72DB1"/>
    <w:rsid w:val="4AC81BBD"/>
    <w:rsid w:val="4ACA167F"/>
    <w:rsid w:val="4ACC05C3"/>
    <w:rsid w:val="4ACD6045"/>
    <w:rsid w:val="4ACF4DCB"/>
    <w:rsid w:val="4AD43451"/>
    <w:rsid w:val="4AD50ED2"/>
    <w:rsid w:val="4AD54756"/>
    <w:rsid w:val="4ADE3D60"/>
    <w:rsid w:val="4AE22767"/>
    <w:rsid w:val="4AEA55F5"/>
    <w:rsid w:val="4AEC6971"/>
    <w:rsid w:val="4AF10803"/>
    <w:rsid w:val="4AF22A01"/>
    <w:rsid w:val="4AF45F04"/>
    <w:rsid w:val="4AF53986"/>
    <w:rsid w:val="4AF76E89"/>
    <w:rsid w:val="4AFB1112"/>
    <w:rsid w:val="4B1A0571"/>
    <w:rsid w:val="4B1C4ECA"/>
    <w:rsid w:val="4B211352"/>
    <w:rsid w:val="4B230A05"/>
    <w:rsid w:val="4B26325B"/>
    <w:rsid w:val="4B2E4DE4"/>
    <w:rsid w:val="4B33594D"/>
    <w:rsid w:val="4B3DA64A"/>
    <w:rsid w:val="4B411887"/>
    <w:rsid w:val="4B46598C"/>
    <w:rsid w:val="4B4734B2"/>
    <w:rsid w:val="4B496C93"/>
    <w:rsid w:val="4B4A4715"/>
    <w:rsid w:val="4B4D385C"/>
    <w:rsid w:val="4B4D5699"/>
    <w:rsid w:val="4B4D5BD8"/>
    <w:rsid w:val="4B4E311B"/>
    <w:rsid w:val="4B50081C"/>
    <w:rsid w:val="4B51629E"/>
    <w:rsid w:val="4B545024"/>
    <w:rsid w:val="4B55314E"/>
    <w:rsid w:val="4B560527"/>
    <w:rsid w:val="4B573A2A"/>
    <w:rsid w:val="4B5E7B32"/>
    <w:rsid w:val="4B610AB6"/>
    <w:rsid w:val="4B6127C6"/>
    <w:rsid w:val="4B65394D"/>
    <w:rsid w:val="4B6B4101"/>
    <w:rsid w:val="4B6E3E6F"/>
    <w:rsid w:val="4B6E7FAB"/>
    <w:rsid w:val="4B7047B7"/>
    <w:rsid w:val="4B75001F"/>
    <w:rsid w:val="4B7D3C6A"/>
    <w:rsid w:val="4B7F2C4C"/>
    <w:rsid w:val="4B866AF8"/>
    <w:rsid w:val="4B8E3F04"/>
    <w:rsid w:val="4B8E6103"/>
    <w:rsid w:val="4B917087"/>
    <w:rsid w:val="4B9C6C85"/>
    <w:rsid w:val="4B9D671D"/>
    <w:rsid w:val="4B9F3E1E"/>
    <w:rsid w:val="4BA10E14"/>
    <w:rsid w:val="4BA15123"/>
    <w:rsid w:val="4BA15B30"/>
    <w:rsid w:val="4BA372FB"/>
    <w:rsid w:val="4BA517B6"/>
    <w:rsid w:val="4BA601D9"/>
    <w:rsid w:val="4BA637A9"/>
    <w:rsid w:val="4BA82530"/>
    <w:rsid w:val="4BAD3134"/>
    <w:rsid w:val="4BB42ABF"/>
    <w:rsid w:val="4BB6333B"/>
    <w:rsid w:val="4BB95E68"/>
    <w:rsid w:val="4BBB9675"/>
    <w:rsid w:val="4BBF4018"/>
    <w:rsid w:val="4BBF68D2"/>
    <w:rsid w:val="4BC230D9"/>
    <w:rsid w:val="4BC66AD5"/>
    <w:rsid w:val="4BC73CDE"/>
    <w:rsid w:val="4BD17E71"/>
    <w:rsid w:val="4BD7408E"/>
    <w:rsid w:val="4BE36E91"/>
    <w:rsid w:val="4BE64A79"/>
    <w:rsid w:val="4BE67E16"/>
    <w:rsid w:val="4BE90D9B"/>
    <w:rsid w:val="4BEA27BB"/>
    <w:rsid w:val="4BEB429E"/>
    <w:rsid w:val="4BEC1D1F"/>
    <w:rsid w:val="4BF25E27"/>
    <w:rsid w:val="4BF64AF1"/>
    <w:rsid w:val="4BF855CA"/>
    <w:rsid w:val="4C00513D"/>
    <w:rsid w:val="4C06751C"/>
    <w:rsid w:val="4C070814"/>
    <w:rsid w:val="4C090A31"/>
    <w:rsid w:val="4C09384E"/>
    <w:rsid w:val="4C0A0A31"/>
    <w:rsid w:val="4C210EF5"/>
    <w:rsid w:val="4C2B7286"/>
    <w:rsid w:val="4C2E4987"/>
    <w:rsid w:val="4C3677AE"/>
    <w:rsid w:val="4C371778"/>
    <w:rsid w:val="4C3E70F3"/>
    <w:rsid w:val="4C473333"/>
    <w:rsid w:val="4C5304D2"/>
    <w:rsid w:val="4C5329C8"/>
    <w:rsid w:val="4C5C7A55"/>
    <w:rsid w:val="4C5E083E"/>
    <w:rsid w:val="4C5E0D5A"/>
    <w:rsid w:val="4C687B84"/>
    <w:rsid w:val="4C6B1598"/>
    <w:rsid w:val="4C6C226D"/>
    <w:rsid w:val="4C6F31F2"/>
    <w:rsid w:val="4C742EFD"/>
    <w:rsid w:val="4C760506"/>
    <w:rsid w:val="4C807DC5"/>
    <w:rsid w:val="4C855396"/>
    <w:rsid w:val="4C885268"/>
    <w:rsid w:val="4C88631A"/>
    <w:rsid w:val="4CA071DE"/>
    <w:rsid w:val="4CA301C9"/>
    <w:rsid w:val="4CB30CC7"/>
    <w:rsid w:val="4CB570C4"/>
    <w:rsid w:val="4CB76E6A"/>
    <w:rsid w:val="4CB77A09"/>
    <w:rsid w:val="4CBC864C"/>
    <w:rsid w:val="4CBE77A4"/>
    <w:rsid w:val="4CC364FF"/>
    <w:rsid w:val="4CC51A03"/>
    <w:rsid w:val="4CC74F06"/>
    <w:rsid w:val="4CCE7D48"/>
    <w:rsid w:val="4CD26DBA"/>
    <w:rsid w:val="4CE2572F"/>
    <w:rsid w:val="4CE3452E"/>
    <w:rsid w:val="4CEC18C2"/>
    <w:rsid w:val="4CED7344"/>
    <w:rsid w:val="4CF93156"/>
    <w:rsid w:val="4D0314E7"/>
    <w:rsid w:val="4D06246C"/>
    <w:rsid w:val="4D063625"/>
    <w:rsid w:val="4D10690F"/>
    <w:rsid w:val="4D1107FD"/>
    <w:rsid w:val="4D1F5594"/>
    <w:rsid w:val="4D2039B7"/>
    <w:rsid w:val="4D2C2648"/>
    <w:rsid w:val="4D2F582F"/>
    <w:rsid w:val="4D341CB6"/>
    <w:rsid w:val="4D360A3D"/>
    <w:rsid w:val="4D3637DE"/>
    <w:rsid w:val="4D3B073A"/>
    <w:rsid w:val="4D3D691B"/>
    <w:rsid w:val="4D3E718D"/>
    <w:rsid w:val="4D4344CF"/>
    <w:rsid w:val="4D505D63"/>
    <w:rsid w:val="4D524AEA"/>
    <w:rsid w:val="4D567C6D"/>
    <w:rsid w:val="4D5B7978"/>
    <w:rsid w:val="4D5C75F7"/>
    <w:rsid w:val="4D5E2AFB"/>
    <w:rsid w:val="4D5F13B9"/>
    <w:rsid w:val="4D61529C"/>
    <w:rsid w:val="4D6D5368"/>
    <w:rsid w:val="4D750521"/>
    <w:rsid w:val="4D764981"/>
    <w:rsid w:val="4D7B7443"/>
    <w:rsid w:val="4D7D33AF"/>
    <w:rsid w:val="4D8B1D7C"/>
    <w:rsid w:val="4D8B26C5"/>
    <w:rsid w:val="4D8E4CA0"/>
    <w:rsid w:val="4D940DD6"/>
    <w:rsid w:val="4D9B0761"/>
    <w:rsid w:val="4D9C03E1"/>
    <w:rsid w:val="4D9E38E4"/>
    <w:rsid w:val="4DA70238"/>
    <w:rsid w:val="4DA841F4"/>
    <w:rsid w:val="4DAE1980"/>
    <w:rsid w:val="4DB04E83"/>
    <w:rsid w:val="4DB95793"/>
    <w:rsid w:val="4DC61225"/>
    <w:rsid w:val="4DC67027"/>
    <w:rsid w:val="4DDE7F96"/>
    <w:rsid w:val="4DEA1F48"/>
    <w:rsid w:val="4DF11170"/>
    <w:rsid w:val="4DF47921"/>
    <w:rsid w:val="4DF74D1B"/>
    <w:rsid w:val="4DFF0904"/>
    <w:rsid w:val="4DFF2684"/>
    <w:rsid w:val="4E007FE9"/>
    <w:rsid w:val="4E037E3B"/>
    <w:rsid w:val="4E085940"/>
    <w:rsid w:val="4E0A4298"/>
    <w:rsid w:val="4E0C3F18"/>
    <w:rsid w:val="4E131412"/>
    <w:rsid w:val="4E1D1C34"/>
    <w:rsid w:val="4E2912CA"/>
    <w:rsid w:val="4E2B0F4A"/>
    <w:rsid w:val="4E2B47CD"/>
    <w:rsid w:val="4E400EEF"/>
    <w:rsid w:val="4E4527C2"/>
    <w:rsid w:val="4E4862FB"/>
    <w:rsid w:val="4E487C6D"/>
    <w:rsid w:val="4E493D7D"/>
    <w:rsid w:val="4E4C0585"/>
    <w:rsid w:val="4E5902F9"/>
    <w:rsid w:val="4E6039A2"/>
    <w:rsid w:val="4E626EA5"/>
    <w:rsid w:val="4E684632"/>
    <w:rsid w:val="4E686830"/>
    <w:rsid w:val="4E6E0739"/>
    <w:rsid w:val="4E745EC6"/>
    <w:rsid w:val="4E7848CC"/>
    <w:rsid w:val="4E7901C1"/>
    <w:rsid w:val="4E79234E"/>
    <w:rsid w:val="4E81291C"/>
    <w:rsid w:val="4E8406DF"/>
    <w:rsid w:val="4E8C356D"/>
    <w:rsid w:val="4E8D0FEE"/>
    <w:rsid w:val="4E977221"/>
    <w:rsid w:val="4EAD7AD0"/>
    <w:rsid w:val="4EAE4DA6"/>
    <w:rsid w:val="4EB25722"/>
    <w:rsid w:val="4EB359AB"/>
    <w:rsid w:val="4EB4342C"/>
    <w:rsid w:val="4EB856B6"/>
    <w:rsid w:val="4EBC40BC"/>
    <w:rsid w:val="4EC66BCA"/>
    <w:rsid w:val="4EC866B8"/>
    <w:rsid w:val="4ECD1DD8"/>
    <w:rsid w:val="4ECF74D9"/>
    <w:rsid w:val="4ED04F5B"/>
    <w:rsid w:val="4ED432AF"/>
    <w:rsid w:val="4EDB4350"/>
    <w:rsid w:val="4EDD2072"/>
    <w:rsid w:val="4EE01C53"/>
    <w:rsid w:val="4EE02FF7"/>
    <w:rsid w:val="4EE264FA"/>
    <w:rsid w:val="4EE306F8"/>
    <w:rsid w:val="4EE53BFB"/>
    <w:rsid w:val="4EE61954"/>
    <w:rsid w:val="4EEF28F5"/>
    <w:rsid w:val="4EEF5F90"/>
    <w:rsid w:val="4EF34216"/>
    <w:rsid w:val="4EF43951"/>
    <w:rsid w:val="4EF6DFB2"/>
    <w:rsid w:val="4EFC70A4"/>
    <w:rsid w:val="4F0F780C"/>
    <w:rsid w:val="4F177A6D"/>
    <w:rsid w:val="4F1E2ADB"/>
    <w:rsid w:val="4F2214E2"/>
    <w:rsid w:val="4F233BC1"/>
    <w:rsid w:val="4F236F63"/>
    <w:rsid w:val="4F350502"/>
    <w:rsid w:val="4F3D590F"/>
    <w:rsid w:val="4F431A16"/>
    <w:rsid w:val="4F46299B"/>
    <w:rsid w:val="4F471CD3"/>
    <w:rsid w:val="4F547732"/>
    <w:rsid w:val="4F560A37"/>
    <w:rsid w:val="4F5706B7"/>
    <w:rsid w:val="4F5D5E43"/>
    <w:rsid w:val="4F660CD1"/>
    <w:rsid w:val="4F666B60"/>
    <w:rsid w:val="4F667103"/>
    <w:rsid w:val="4F676753"/>
    <w:rsid w:val="4F6E54B1"/>
    <w:rsid w:val="4F737FE7"/>
    <w:rsid w:val="4F760F6C"/>
    <w:rsid w:val="4F787CF2"/>
    <w:rsid w:val="4F7B53F3"/>
    <w:rsid w:val="4F836083"/>
    <w:rsid w:val="4F8A7C0C"/>
    <w:rsid w:val="4F932C84"/>
    <w:rsid w:val="4F94051C"/>
    <w:rsid w:val="4F9F2130"/>
    <w:rsid w:val="4FAA26BF"/>
    <w:rsid w:val="4FAF29A8"/>
    <w:rsid w:val="4FB07878"/>
    <w:rsid w:val="4FB35515"/>
    <w:rsid w:val="4FB46852"/>
    <w:rsid w:val="4FB70C06"/>
    <w:rsid w:val="4FB85258"/>
    <w:rsid w:val="4FB87457"/>
    <w:rsid w:val="4FBE7162"/>
    <w:rsid w:val="4FCD197A"/>
    <w:rsid w:val="4FCF4E7E"/>
    <w:rsid w:val="4FD7228A"/>
    <w:rsid w:val="4FD80B7D"/>
    <w:rsid w:val="4FDB6712"/>
    <w:rsid w:val="4FDCDFCE"/>
    <w:rsid w:val="4FE03A2B"/>
    <w:rsid w:val="4FE13ED5"/>
    <w:rsid w:val="4FE415A0"/>
    <w:rsid w:val="4FE707F9"/>
    <w:rsid w:val="4FE87FA6"/>
    <w:rsid w:val="4FE95A27"/>
    <w:rsid w:val="4FEB47AE"/>
    <w:rsid w:val="4FEF7931"/>
    <w:rsid w:val="4FF02030"/>
    <w:rsid w:val="4FF6AE12"/>
    <w:rsid w:val="4FF74F9B"/>
    <w:rsid w:val="4FFE195D"/>
    <w:rsid w:val="4FFF344E"/>
    <w:rsid w:val="50055358"/>
    <w:rsid w:val="500B16C2"/>
    <w:rsid w:val="501C16FA"/>
    <w:rsid w:val="50226E86"/>
    <w:rsid w:val="50267A8B"/>
    <w:rsid w:val="50280D8F"/>
    <w:rsid w:val="502B7796"/>
    <w:rsid w:val="50303C1D"/>
    <w:rsid w:val="5031169F"/>
    <w:rsid w:val="50327120"/>
    <w:rsid w:val="503D0E28"/>
    <w:rsid w:val="503F29AD"/>
    <w:rsid w:val="50456141"/>
    <w:rsid w:val="504925C9"/>
    <w:rsid w:val="504A7FD7"/>
    <w:rsid w:val="504F5DA1"/>
    <w:rsid w:val="5054095A"/>
    <w:rsid w:val="505620F6"/>
    <w:rsid w:val="505622BB"/>
    <w:rsid w:val="5058707D"/>
    <w:rsid w:val="50594DE2"/>
    <w:rsid w:val="505D59E6"/>
    <w:rsid w:val="505F21E9"/>
    <w:rsid w:val="50645371"/>
    <w:rsid w:val="506640F7"/>
    <w:rsid w:val="506875FB"/>
    <w:rsid w:val="506A0BA5"/>
    <w:rsid w:val="507E179E"/>
    <w:rsid w:val="507E5AF2"/>
    <w:rsid w:val="50830AE8"/>
    <w:rsid w:val="50847E24"/>
    <w:rsid w:val="50866BAB"/>
    <w:rsid w:val="508846DC"/>
    <w:rsid w:val="50897B2F"/>
    <w:rsid w:val="508A77AF"/>
    <w:rsid w:val="508F3C37"/>
    <w:rsid w:val="50A0169A"/>
    <w:rsid w:val="50A306D9"/>
    <w:rsid w:val="50A31CC7"/>
    <w:rsid w:val="50A4615B"/>
    <w:rsid w:val="50A866F2"/>
    <w:rsid w:val="50AE22ED"/>
    <w:rsid w:val="50B24608"/>
    <w:rsid w:val="50B6517B"/>
    <w:rsid w:val="50B84DFB"/>
    <w:rsid w:val="50BB4CD3"/>
    <w:rsid w:val="50BD049E"/>
    <w:rsid w:val="50BD4B06"/>
    <w:rsid w:val="50C34668"/>
    <w:rsid w:val="50C504CA"/>
    <w:rsid w:val="50C82E97"/>
    <w:rsid w:val="50CA3E1C"/>
    <w:rsid w:val="50CD4459"/>
    <w:rsid w:val="50D05D25"/>
    <w:rsid w:val="50D945BC"/>
    <w:rsid w:val="50DD17B8"/>
    <w:rsid w:val="50E214C3"/>
    <w:rsid w:val="50E7594A"/>
    <w:rsid w:val="50F04F55"/>
    <w:rsid w:val="50F5160B"/>
    <w:rsid w:val="50FB45EB"/>
    <w:rsid w:val="50FC2C52"/>
    <w:rsid w:val="51083DC7"/>
    <w:rsid w:val="51124210"/>
    <w:rsid w:val="51131C92"/>
    <w:rsid w:val="51151BBC"/>
    <w:rsid w:val="51152F96"/>
    <w:rsid w:val="511B2921"/>
    <w:rsid w:val="51225F79"/>
    <w:rsid w:val="512541B4"/>
    <w:rsid w:val="51260CB2"/>
    <w:rsid w:val="512A3E35"/>
    <w:rsid w:val="512B7338"/>
    <w:rsid w:val="512C5624"/>
    <w:rsid w:val="512F3B40"/>
    <w:rsid w:val="51324AC5"/>
    <w:rsid w:val="51337FC8"/>
    <w:rsid w:val="5139564B"/>
    <w:rsid w:val="513C75D3"/>
    <w:rsid w:val="51436F5E"/>
    <w:rsid w:val="5145251D"/>
    <w:rsid w:val="51486C69"/>
    <w:rsid w:val="514A7858"/>
    <w:rsid w:val="514F4075"/>
    <w:rsid w:val="51575BFE"/>
    <w:rsid w:val="515A2406"/>
    <w:rsid w:val="515D3A2F"/>
    <w:rsid w:val="515D758B"/>
    <w:rsid w:val="51602011"/>
    <w:rsid w:val="5160430F"/>
    <w:rsid w:val="51640797"/>
    <w:rsid w:val="516923D4"/>
    <w:rsid w:val="51750A31"/>
    <w:rsid w:val="517F4BC4"/>
    <w:rsid w:val="5185454F"/>
    <w:rsid w:val="518F27A8"/>
    <w:rsid w:val="51914ADE"/>
    <w:rsid w:val="519412E6"/>
    <w:rsid w:val="51976098"/>
    <w:rsid w:val="519770FB"/>
    <w:rsid w:val="51980673"/>
    <w:rsid w:val="519A31F0"/>
    <w:rsid w:val="519B66F3"/>
    <w:rsid w:val="519E7677"/>
    <w:rsid w:val="519F7B1A"/>
    <w:rsid w:val="51A56AD1"/>
    <w:rsid w:val="51A64368"/>
    <w:rsid w:val="51B9241F"/>
    <w:rsid w:val="51B95D7D"/>
    <w:rsid w:val="51BA678C"/>
    <w:rsid w:val="51BC33A4"/>
    <w:rsid w:val="51C0562E"/>
    <w:rsid w:val="51C365B2"/>
    <w:rsid w:val="51CD7028"/>
    <w:rsid w:val="51D2033E"/>
    <w:rsid w:val="51D677D1"/>
    <w:rsid w:val="51DC16DA"/>
    <w:rsid w:val="51E1345F"/>
    <w:rsid w:val="51E348E9"/>
    <w:rsid w:val="51E967F2"/>
    <w:rsid w:val="51EF5DD7"/>
    <w:rsid w:val="51F06651"/>
    <w:rsid w:val="51FC1C0F"/>
    <w:rsid w:val="52016097"/>
    <w:rsid w:val="52070FB5"/>
    <w:rsid w:val="520934A3"/>
    <w:rsid w:val="520C4428"/>
    <w:rsid w:val="520E6AD8"/>
    <w:rsid w:val="521066B1"/>
    <w:rsid w:val="52121BB5"/>
    <w:rsid w:val="521A01AB"/>
    <w:rsid w:val="521C46C2"/>
    <w:rsid w:val="5223404D"/>
    <w:rsid w:val="522378D0"/>
    <w:rsid w:val="522A725B"/>
    <w:rsid w:val="5235306E"/>
    <w:rsid w:val="52383FF3"/>
    <w:rsid w:val="523F1387"/>
    <w:rsid w:val="523F397D"/>
    <w:rsid w:val="523F4EE3"/>
    <w:rsid w:val="52432C25"/>
    <w:rsid w:val="524A3CD4"/>
    <w:rsid w:val="524A5592"/>
    <w:rsid w:val="524B3013"/>
    <w:rsid w:val="524F6DE3"/>
    <w:rsid w:val="5251711B"/>
    <w:rsid w:val="52530268"/>
    <w:rsid w:val="525E180D"/>
    <w:rsid w:val="525F10E1"/>
    <w:rsid w:val="52634E37"/>
    <w:rsid w:val="5264613C"/>
    <w:rsid w:val="5266383D"/>
    <w:rsid w:val="526925C3"/>
    <w:rsid w:val="526947C2"/>
    <w:rsid w:val="527032EE"/>
    <w:rsid w:val="527079D0"/>
    <w:rsid w:val="5272764F"/>
    <w:rsid w:val="52753E57"/>
    <w:rsid w:val="52794564"/>
    <w:rsid w:val="527B24DD"/>
    <w:rsid w:val="527D3462"/>
    <w:rsid w:val="527E6CE5"/>
    <w:rsid w:val="528021E8"/>
    <w:rsid w:val="528256EC"/>
    <w:rsid w:val="528540F2"/>
    <w:rsid w:val="528B7C63"/>
    <w:rsid w:val="528C45CC"/>
    <w:rsid w:val="528D14FE"/>
    <w:rsid w:val="52971E0E"/>
    <w:rsid w:val="52985654"/>
    <w:rsid w:val="529B4F8E"/>
    <w:rsid w:val="529C6295"/>
    <w:rsid w:val="52A01EDE"/>
    <w:rsid w:val="52A35472"/>
    <w:rsid w:val="52AD31F1"/>
    <w:rsid w:val="52AD4542"/>
    <w:rsid w:val="52AD62F0"/>
    <w:rsid w:val="52AE1A33"/>
    <w:rsid w:val="52B129B7"/>
    <w:rsid w:val="52B3049B"/>
    <w:rsid w:val="52B93647"/>
    <w:rsid w:val="52BA10C9"/>
    <w:rsid w:val="52BB6C5F"/>
    <w:rsid w:val="52BC4786"/>
    <w:rsid w:val="52BE405A"/>
    <w:rsid w:val="52C00A54"/>
    <w:rsid w:val="52C825DD"/>
    <w:rsid w:val="52C938E1"/>
    <w:rsid w:val="52CD0741"/>
    <w:rsid w:val="52CD43CD"/>
    <w:rsid w:val="52CE44E6"/>
    <w:rsid w:val="52DC373D"/>
    <w:rsid w:val="52DD15A6"/>
    <w:rsid w:val="52E2243E"/>
    <w:rsid w:val="52E5798E"/>
    <w:rsid w:val="52E93E62"/>
    <w:rsid w:val="52F23421"/>
    <w:rsid w:val="52F7526A"/>
    <w:rsid w:val="53067EC3"/>
    <w:rsid w:val="530D52D0"/>
    <w:rsid w:val="53101AD7"/>
    <w:rsid w:val="53131E43"/>
    <w:rsid w:val="531404DE"/>
    <w:rsid w:val="53142A66"/>
    <w:rsid w:val="531526DC"/>
    <w:rsid w:val="53194965"/>
    <w:rsid w:val="531C6FFB"/>
    <w:rsid w:val="531F2FEB"/>
    <w:rsid w:val="532365B3"/>
    <w:rsid w:val="532C36B9"/>
    <w:rsid w:val="532F6B09"/>
    <w:rsid w:val="5333550F"/>
    <w:rsid w:val="5335518F"/>
    <w:rsid w:val="533A5F44"/>
    <w:rsid w:val="533B291C"/>
    <w:rsid w:val="533D5E1F"/>
    <w:rsid w:val="53474B02"/>
    <w:rsid w:val="534A1AE1"/>
    <w:rsid w:val="534D2836"/>
    <w:rsid w:val="534F33B1"/>
    <w:rsid w:val="53514ABF"/>
    <w:rsid w:val="535321C1"/>
    <w:rsid w:val="53547C42"/>
    <w:rsid w:val="53560F47"/>
    <w:rsid w:val="5357444A"/>
    <w:rsid w:val="535769C9"/>
    <w:rsid w:val="535A6478"/>
    <w:rsid w:val="5364279D"/>
    <w:rsid w:val="53672943"/>
    <w:rsid w:val="53820B12"/>
    <w:rsid w:val="53822877"/>
    <w:rsid w:val="53851A96"/>
    <w:rsid w:val="53867518"/>
    <w:rsid w:val="539861BC"/>
    <w:rsid w:val="539A61B8"/>
    <w:rsid w:val="53A33245"/>
    <w:rsid w:val="53A4702B"/>
    <w:rsid w:val="53A876CC"/>
    <w:rsid w:val="53B87967"/>
    <w:rsid w:val="53B93C45"/>
    <w:rsid w:val="53BA2E6A"/>
    <w:rsid w:val="53C20C47"/>
    <w:rsid w:val="53C85A03"/>
    <w:rsid w:val="53D6D354"/>
    <w:rsid w:val="53D7158A"/>
    <w:rsid w:val="53DB4A23"/>
    <w:rsid w:val="53DC462B"/>
    <w:rsid w:val="53E41F1B"/>
    <w:rsid w:val="53E47AF0"/>
    <w:rsid w:val="53E52518"/>
    <w:rsid w:val="53E57531"/>
    <w:rsid w:val="53EA723C"/>
    <w:rsid w:val="53EB073D"/>
    <w:rsid w:val="53F41D4A"/>
    <w:rsid w:val="53F91A55"/>
    <w:rsid w:val="53FB2C91"/>
    <w:rsid w:val="53FC752F"/>
    <w:rsid w:val="53FD045B"/>
    <w:rsid w:val="540754E7"/>
    <w:rsid w:val="540B24BE"/>
    <w:rsid w:val="540E28F4"/>
    <w:rsid w:val="54103BF9"/>
    <w:rsid w:val="54175631"/>
    <w:rsid w:val="541B7A0B"/>
    <w:rsid w:val="541E0990"/>
    <w:rsid w:val="541E510D"/>
    <w:rsid w:val="54203E93"/>
    <w:rsid w:val="54216091"/>
    <w:rsid w:val="54227396"/>
    <w:rsid w:val="54267F9B"/>
    <w:rsid w:val="542C5727"/>
    <w:rsid w:val="543350B2"/>
    <w:rsid w:val="543505B5"/>
    <w:rsid w:val="54366037"/>
    <w:rsid w:val="5443314E"/>
    <w:rsid w:val="544875D6"/>
    <w:rsid w:val="544A5473"/>
    <w:rsid w:val="544B2759"/>
    <w:rsid w:val="544D14DF"/>
    <w:rsid w:val="545333E8"/>
    <w:rsid w:val="54571DEF"/>
    <w:rsid w:val="545D0467"/>
    <w:rsid w:val="54653303"/>
    <w:rsid w:val="5472041A"/>
    <w:rsid w:val="54720C32"/>
    <w:rsid w:val="54724B97"/>
    <w:rsid w:val="5474391D"/>
    <w:rsid w:val="547748A2"/>
    <w:rsid w:val="548051B1"/>
    <w:rsid w:val="548446DE"/>
    <w:rsid w:val="548C31C2"/>
    <w:rsid w:val="54943E52"/>
    <w:rsid w:val="54996B2C"/>
    <w:rsid w:val="54A61249"/>
    <w:rsid w:val="54B07EFF"/>
    <w:rsid w:val="54B57CCE"/>
    <w:rsid w:val="54BC281B"/>
    <w:rsid w:val="54BD5016"/>
    <w:rsid w:val="54C46B9F"/>
    <w:rsid w:val="54C776D8"/>
    <w:rsid w:val="54CA432C"/>
    <w:rsid w:val="54CE2D32"/>
    <w:rsid w:val="54D029B2"/>
    <w:rsid w:val="54D21738"/>
    <w:rsid w:val="54D67D81"/>
    <w:rsid w:val="54D87DBE"/>
    <w:rsid w:val="54E57E39"/>
    <w:rsid w:val="54F00CE8"/>
    <w:rsid w:val="54F12EE7"/>
    <w:rsid w:val="54F31C6D"/>
    <w:rsid w:val="54F43C29"/>
    <w:rsid w:val="54F46459"/>
    <w:rsid w:val="54F77CF7"/>
    <w:rsid w:val="54FD570F"/>
    <w:rsid w:val="54FE5A7F"/>
    <w:rsid w:val="55062E8C"/>
    <w:rsid w:val="550F6DEF"/>
    <w:rsid w:val="5511121D"/>
    <w:rsid w:val="5511642A"/>
    <w:rsid w:val="55130BD8"/>
    <w:rsid w:val="551A792E"/>
    <w:rsid w:val="551F1837"/>
    <w:rsid w:val="55253741"/>
    <w:rsid w:val="552C5BF2"/>
    <w:rsid w:val="55300100"/>
    <w:rsid w:val="55311752"/>
    <w:rsid w:val="553D1BAE"/>
    <w:rsid w:val="554503F2"/>
    <w:rsid w:val="55502006"/>
    <w:rsid w:val="5556068C"/>
    <w:rsid w:val="55603AEE"/>
    <w:rsid w:val="556876AD"/>
    <w:rsid w:val="55770E6C"/>
    <w:rsid w:val="557D3DCF"/>
    <w:rsid w:val="558114E9"/>
    <w:rsid w:val="5584155C"/>
    <w:rsid w:val="558419F7"/>
    <w:rsid w:val="55877F62"/>
    <w:rsid w:val="55934A39"/>
    <w:rsid w:val="559417F6"/>
    <w:rsid w:val="55966EF8"/>
    <w:rsid w:val="5597277B"/>
    <w:rsid w:val="559801FC"/>
    <w:rsid w:val="5599182D"/>
    <w:rsid w:val="559C4684"/>
    <w:rsid w:val="55A56C2A"/>
    <w:rsid w:val="55A72A15"/>
    <w:rsid w:val="55A73E94"/>
    <w:rsid w:val="55AC2878"/>
    <w:rsid w:val="55B058A3"/>
    <w:rsid w:val="55B668EA"/>
    <w:rsid w:val="55BA10C5"/>
    <w:rsid w:val="55BC38B4"/>
    <w:rsid w:val="55C135BF"/>
    <w:rsid w:val="55CF0356"/>
    <w:rsid w:val="55D3606E"/>
    <w:rsid w:val="55E207F2"/>
    <w:rsid w:val="55E36317"/>
    <w:rsid w:val="55E67F7B"/>
    <w:rsid w:val="55EC5708"/>
    <w:rsid w:val="55F10BEA"/>
    <w:rsid w:val="55F23D8E"/>
    <w:rsid w:val="55F47291"/>
    <w:rsid w:val="55F50DF8"/>
    <w:rsid w:val="55F96F9C"/>
    <w:rsid w:val="55FE799D"/>
    <w:rsid w:val="55FF082E"/>
    <w:rsid w:val="56051FA0"/>
    <w:rsid w:val="56052DAF"/>
    <w:rsid w:val="560704B0"/>
    <w:rsid w:val="560817B5"/>
    <w:rsid w:val="560D007C"/>
    <w:rsid w:val="560D5C3D"/>
    <w:rsid w:val="560E7E3B"/>
    <w:rsid w:val="561220C4"/>
    <w:rsid w:val="561577C6"/>
    <w:rsid w:val="561D2654"/>
    <w:rsid w:val="561D5CBC"/>
    <w:rsid w:val="56284268"/>
    <w:rsid w:val="562B03FF"/>
    <w:rsid w:val="56317588"/>
    <w:rsid w:val="56384502"/>
    <w:rsid w:val="563C11D2"/>
    <w:rsid w:val="56431CFE"/>
    <w:rsid w:val="5645161A"/>
    <w:rsid w:val="5647129A"/>
    <w:rsid w:val="56474B1D"/>
    <w:rsid w:val="5651762B"/>
    <w:rsid w:val="565351AF"/>
    <w:rsid w:val="565A03AB"/>
    <w:rsid w:val="565B133F"/>
    <w:rsid w:val="565B37BE"/>
    <w:rsid w:val="565B7F3A"/>
    <w:rsid w:val="565D3B8A"/>
    <w:rsid w:val="56694C24"/>
    <w:rsid w:val="566B01D5"/>
    <w:rsid w:val="566E49DC"/>
    <w:rsid w:val="566F53A3"/>
    <w:rsid w:val="566F6C4E"/>
    <w:rsid w:val="567355E1"/>
    <w:rsid w:val="567378C7"/>
    <w:rsid w:val="567710EF"/>
    <w:rsid w:val="567A4F6C"/>
    <w:rsid w:val="567F6E75"/>
    <w:rsid w:val="56897785"/>
    <w:rsid w:val="56925E96"/>
    <w:rsid w:val="569577C7"/>
    <w:rsid w:val="56A02C2D"/>
    <w:rsid w:val="56A106AF"/>
    <w:rsid w:val="56B62BD2"/>
    <w:rsid w:val="56B64DD1"/>
    <w:rsid w:val="56B860D6"/>
    <w:rsid w:val="56B93B57"/>
    <w:rsid w:val="56BF7C5F"/>
    <w:rsid w:val="56C20BE3"/>
    <w:rsid w:val="56C930C3"/>
    <w:rsid w:val="56CC600E"/>
    <w:rsid w:val="56CD6F74"/>
    <w:rsid w:val="56CF5CFB"/>
    <w:rsid w:val="56D34701"/>
    <w:rsid w:val="56D65686"/>
    <w:rsid w:val="56E10C5F"/>
    <w:rsid w:val="56E733A1"/>
    <w:rsid w:val="56E77B1E"/>
    <w:rsid w:val="56E90AA3"/>
    <w:rsid w:val="571007F5"/>
    <w:rsid w:val="5715646F"/>
    <w:rsid w:val="57156C35"/>
    <w:rsid w:val="571D387C"/>
    <w:rsid w:val="57276389"/>
    <w:rsid w:val="572D0293"/>
    <w:rsid w:val="572D2889"/>
    <w:rsid w:val="57366409"/>
    <w:rsid w:val="573669A4"/>
    <w:rsid w:val="57374425"/>
    <w:rsid w:val="573A7E35"/>
    <w:rsid w:val="573F044C"/>
    <w:rsid w:val="574249B5"/>
    <w:rsid w:val="57503CCA"/>
    <w:rsid w:val="575A58DF"/>
    <w:rsid w:val="576224D3"/>
    <w:rsid w:val="57647164"/>
    <w:rsid w:val="57693233"/>
    <w:rsid w:val="57751D0C"/>
    <w:rsid w:val="577A5BFA"/>
    <w:rsid w:val="578066E5"/>
    <w:rsid w:val="57854F14"/>
    <w:rsid w:val="578D15B1"/>
    <w:rsid w:val="579301C0"/>
    <w:rsid w:val="57AA27DC"/>
    <w:rsid w:val="57AD78E7"/>
    <w:rsid w:val="57AE1AE6"/>
    <w:rsid w:val="57AF6667"/>
    <w:rsid w:val="57B114D5"/>
    <w:rsid w:val="57B36157"/>
    <w:rsid w:val="57B76994"/>
    <w:rsid w:val="57B85C78"/>
    <w:rsid w:val="57BC467E"/>
    <w:rsid w:val="57BD0ECB"/>
    <w:rsid w:val="57BD12FA"/>
    <w:rsid w:val="57BE364B"/>
    <w:rsid w:val="57BE4AFC"/>
    <w:rsid w:val="57BF8AD7"/>
    <w:rsid w:val="57C002AC"/>
    <w:rsid w:val="57C85F13"/>
    <w:rsid w:val="57DD2635"/>
    <w:rsid w:val="57DE4365"/>
    <w:rsid w:val="57E00F16"/>
    <w:rsid w:val="57E22340"/>
    <w:rsid w:val="57E45843"/>
    <w:rsid w:val="57E72F44"/>
    <w:rsid w:val="57EF3BD4"/>
    <w:rsid w:val="57F26D57"/>
    <w:rsid w:val="57F31111"/>
    <w:rsid w:val="57F4005C"/>
    <w:rsid w:val="57F56770"/>
    <w:rsid w:val="57F76009"/>
    <w:rsid w:val="57FA79E6"/>
    <w:rsid w:val="57FD40A9"/>
    <w:rsid w:val="58021570"/>
    <w:rsid w:val="58024DF3"/>
    <w:rsid w:val="58032874"/>
    <w:rsid w:val="58044A73"/>
    <w:rsid w:val="58095D77"/>
    <w:rsid w:val="580A21FF"/>
    <w:rsid w:val="580C5355"/>
    <w:rsid w:val="58242BB1"/>
    <w:rsid w:val="582E3F6C"/>
    <w:rsid w:val="58327B40"/>
    <w:rsid w:val="58337298"/>
    <w:rsid w:val="58350AC5"/>
    <w:rsid w:val="5836372B"/>
    <w:rsid w:val="583D33C0"/>
    <w:rsid w:val="583F5C3D"/>
    <w:rsid w:val="584148D8"/>
    <w:rsid w:val="58422359"/>
    <w:rsid w:val="584410E0"/>
    <w:rsid w:val="584645E3"/>
    <w:rsid w:val="5846521D"/>
    <w:rsid w:val="58495567"/>
    <w:rsid w:val="584D65AC"/>
    <w:rsid w:val="58514B72"/>
    <w:rsid w:val="5853793A"/>
    <w:rsid w:val="585844FD"/>
    <w:rsid w:val="585F43F4"/>
    <w:rsid w:val="58655DA3"/>
    <w:rsid w:val="586B4C84"/>
    <w:rsid w:val="58782833"/>
    <w:rsid w:val="587924B3"/>
    <w:rsid w:val="587D2077"/>
    <w:rsid w:val="587F6039"/>
    <w:rsid w:val="58860791"/>
    <w:rsid w:val="58865479"/>
    <w:rsid w:val="58894CCC"/>
    <w:rsid w:val="588E0972"/>
    <w:rsid w:val="58901341"/>
    <w:rsid w:val="58944362"/>
    <w:rsid w:val="589A626B"/>
    <w:rsid w:val="58A57E7F"/>
    <w:rsid w:val="58AD528C"/>
    <w:rsid w:val="58BC4221"/>
    <w:rsid w:val="58BC7AA4"/>
    <w:rsid w:val="58BE2FA8"/>
    <w:rsid w:val="58C3742F"/>
    <w:rsid w:val="58CC44BC"/>
    <w:rsid w:val="58D21C48"/>
    <w:rsid w:val="58D4514B"/>
    <w:rsid w:val="58DD21D7"/>
    <w:rsid w:val="58DE5A5B"/>
    <w:rsid w:val="58E37964"/>
    <w:rsid w:val="58E70023"/>
    <w:rsid w:val="58E862D4"/>
    <w:rsid w:val="58E95FEA"/>
    <w:rsid w:val="58EB36CF"/>
    <w:rsid w:val="58ED38EB"/>
    <w:rsid w:val="58F440C7"/>
    <w:rsid w:val="58F86605"/>
    <w:rsid w:val="58FE7353"/>
    <w:rsid w:val="59012EF2"/>
    <w:rsid w:val="5908689F"/>
    <w:rsid w:val="59176EB9"/>
    <w:rsid w:val="59196F07"/>
    <w:rsid w:val="591A7E3E"/>
    <w:rsid w:val="591C553F"/>
    <w:rsid w:val="592218A2"/>
    <w:rsid w:val="59222CCC"/>
    <w:rsid w:val="59252CAC"/>
    <w:rsid w:val="592778A7"/>
    <w:rsid w:val="592D325B"/>
    <w:rsid w:val="59301FE2"/>
    <w:rsid w:val="59367040"/>
    <w:rsid w:val="593D12F7"/>
    <w:rsid w:val="594B060D"/>
    <w:rsid w:val="594B23BF"/>
    <w:rsid w:val="594C3B10"/>
    <w:rsid w:val="594F4A95"/>
    <w:rsid w:val="59501215"/>
    <w:rsid w:val="59525A19"/>
    <w:rsid w:val="59527BF2"/>
    <w:rsid w:val="5955311B"/>
    <w:rsid w:val="5964366C"/>
    <w:rsid w:val="59687CAE"/>
    <w:rsid w:val="596A4F3B"/>
    <w:rsid w:val="596F49BB"/>
    <w:rsid w:val="5970084D"/>
    <w:rsid w:val="597317D1"/>
    <w:rsid w:val="59745647"/>
    <w:rsid w:val="59747253"/>
    <w:rsid w:val="59780470"/>
    <w:rsid w:val="597F4EFE"/>
    <w:rsid w:val="59810AE7"/>
    <w:rsid w:val="59814033"/>
    <w:rsid w:val="59842BC6"/>
    <w:rsid w:val="59843473"/>
    <w:rsid w:val="59882670"/>
    <w:rsid w:val="598A13F7"/>
    <w:rsid w:val="598E7DFD"/>
    <w:rsid w:val="5999038C"/>
    <w:rsid w:val="59992E21"/>
    <w:rsid w:val="599E2E37"/>
    <w:rsid w:val="59A1101C"/>
    <w:rsid w:val="59A92BA5"/>
    <w:rsid w:val="59AB192B"/>
    <w:rsid w:val="59AD4E2E"/>
    <w:rsid w:val="59B30F36"/>
    <w:rsid w:val="59B853BE"/>
    <w:rsid w:val="59BB1BC6"/>
    <w:rsid w:val="59C44A54"/>
    <w:rsid w:val="59CD5363"/>
    <w:rsid w:val="59D35951"/>
    <w:rsid w:val="59DC20FA"/>
    <w:rsid w:val="59DC597E"/>
    <w:rsid w:val="59E35308"/>
    <w:rsid w:val="59E42D8A"/>
    <w:rsid w:val="59E47507"/>
    <w:rsid w:val="59E5080C"/>
    <w:rsid w:val="59EA4C93"/>
    <w:rsid w:val="59EC2395"/>
    <w:rsid w:val="59EE5898"/>
    <w:rsid w:val="59F0461E"/>
    <w:rsid w:val="59F66527"/>
    <w:rsid w:val="59F93E00"/>
    <w:rsid w:val="59FA5576"/>
    <w:rsid w:val="5A047A3B"/>
    <w:rsid w:val="5A0538F3"/>
    <w:rsid w:val="5A0A0473"/>
    <w:rsid w:val="5A0A717C"/>
    <w:rsid w:val="5A0B79F4"/>
    <w:rsid w:val="5A0C4E48"/>
    <w:rsid w:val="5A1206E1"/>
    <w:rsid w:val="5A142254"/>
    <w:rsid w:val="5A1D0965"/>
    <w:rsid w:val="5A1D2B64"/>
    <w:rsid w:val="5A1D63E7"/>
    <w:rsid w:val="5A250E62"/>
    <w:rsid w:val="5A2A7C7B"/>
    <w:rsid w:val="5A301B84"/>
    <w:rsid w:val="5A321B4E"/>
    <w:rsid w:val="5A324F2F"/>
    <w:rsid w:val="5A363A8E"/>
    <w:rsid w:val="5A384A12"/>
    <w:rsid w:val="5A3A2B60"/>
    <w:rsid w:val="5A5874C6"/>
    <w:rsid w:val="5A623658"/>
    <w:rsid w:val="5A6837C4"/>
    <w:rsid w:val="5A6D19E9"/>
    <w:rsid w:val="5A6D2A7A"/>
    <w:rsid w:val="5A6D3BE8"/>
    <w:rsid w:val="5A715E71"/>
    <w:rsid w:val="5A72640D"/>
    <w:rsid w:val="5A743572"/>
    <w:rsid w:val="5A7744F7"/>
    <w:rsid w:val="5A7A0CFF"/>
    <w:rsid w:val="5A7C4202"/>
    <w:rsid w:val="5A7F4C83"/>
    <w:rsid w:val="5A81068A"/>
    <w:rsid w:val="5A82610B"/>
    <w:rsid w:val="5A897C95"/>
    <w:rsid w:val="5A8D1F1E"/>
    <w:rsid w:val="5A8F5421"/>
    <w:rsid w:val="5A92474A"/>
    <w:rsid w:val="5A933E27"/>
    <w:rsid w:val="5A942FAC"/>
    <w:rsid w:val="5A95732A"/>
    <w:rsid w:val="5A964DAC"/>
    <w:rsid w:val="5A9D30EE"/>
    <w:rsid w:val="5A9E21B8"/>
    <w:rsid w:val="5AAF3758"/>
    <w:rsid w:val="5AB3215E"/>
    <w:rsid w:val="5AB55661"/>
    <w:rsid w:val="5AB744D0"/>
    <w:rsid w:val="5AB865E5"/>
    <w:rsid w:val="5AB94067"/>
    <w:rsid w:val="5ABA1AE9"/>
    <w:rsid w:val="5ABB1768"/>
    <w:rsid w:val="5AC24977"/>
    <w:rsid w:val="5AC95C92"/>
    <w:rsid w:val="5ACC58CF"/>
    <w:rsid w:val="5ACD5802"/>
    <w:rsid w:val="5ADB7264"/>
    <w:rsid w:val="5AE4292D"/>
    <w:rsid w:val="5AE900E2"/>
    <w:rsid w:val="5AEF5F53"/>
    <w:rsid w:val="5AF076C2"/>
    <w:rsid w:val="5AF35146"/>
    <w:rsid w:val="5AF73B4C"/>
    <w:rsid w:val="5AF80FE3"/>
    <w:rsid w:val="5AFE34D7"/>
    <w:rsid w:val="5B0069DA"/>
    <w:rsid w:val="5B0453E0"/>
    <w:rsid w:val="5B0608E3"/>
    <w:rsid w:val="5B0950EB"/>
    <w:rsid w:val="5B0B1E06"/>
    <w:rsid w:val="5B0C6070"/>
    <w:rsid w:val="5B106C74"/>
    <w:rsid w:val="5B14567A"/>
    <w:rsid w:val="5B1C630A"/>
    <w:rsid w:val="5B221EB7"/>
    <w:rsid w:val="5B266C19"/>
    <w:rsid w:val="5B295620"/>
    <w:rsid w:val="5B2B0B23"/>
    <w:rsid w:val="5B2C65A4"/>
    <w:rsid w:val="5B2EAD4F"/>
    <w:rsid w:val="5B3B4CF0"/>
    <w:rsid w:val="5B3B553A"/>
    <w:rsid w:val="5B442A7E"/>
    <w:rsid w:val="5B47134C"/>
    <w:rsid w:val="5B4F6759"/>
    <w:rsid w:val="5B5315E5"/>
    <w:rsid w:val="5B5C12F2"/>
    <w:rsid w:val="5B692B86"/>
    <w:rsid w:val="5B6B6089"/>
    <w:rsid w:val="5B7239B2"/>
    <w:rsid w:val="5B74479A"/>
    <w:rsid w:val="5B7831A0"/>
    <w:rsid w:val="5B792E20"/>
    <w:rsid w:val="5B7B1BA7"/>
    <w:rsid w:val="5B806EE5"/>
    <w:rsid w:val="5B81022D"/>
    <w:rsid w:val="5B813AB0"/>
    <w:rsid w:val="5B836FB3"/>
    <w:rsid w:val="5B844A35"/>
    <w:rsid w:val="5B88343B"/>
    <w:rsid w:val="5B887BB7"/>
    <w:rsid w:val="5B8930BB"/>
    <w:rsid w:val="5B8A693E"/>
    <w:rsid w:val="5B8D3163"/>
    <w:rsid w:val="5B902A45"/>
    <w:rsid w:val="5B93446E"/>
    <w:rsid w:val="5B952750"/>
    <w:rsid w:val="5BA913F1"/>
    <w:rsid w:val="5BAB0AFB"/>
    <w:rsid w:val="5BAD7DF7"/>
    <w:rsid w:val="5BB2427F"/>
    <w:rsid w:val="5BB43EFF"/>
    <w:rsid w:val="5BBB2A0A"/>
    <w:rsid w:val="5BC11016"/>
    <w:rsid w:val="5BC86423"/>
    <w:rsid w:val="5BCA7FDA"/>
    <w:rsid w:val="5BCB73A7"/>
    <w:rsid w:val="5BCD22B6"/>
    <w:rsid w:val="5BD65D5C"/>
    <w:rsid w:val="5BD832E9"/>
    <w:rsid w:val="5BDC701C"/>
    <w:rsid w:val="5BE52FE0"/>
    <w:rsid w:val="5BE537D4"/>
    <w:rsid w:val="5BE659D3"/>
    <w:rsid w:val="5BEE226D"/>
    <w:rsid w:val="5BEF0861"/>
    <w:rsid w:val="5BF117E5"/>
    <w:rsid w:val="5BF3C549"/>
    <w:rsid w:val="5BFE09A9"/>
    <w:rsid w:val="5C025303"/>
    <w:rsid w:val="5C0E1115"/>
    <w:rsid w:val="5C14521D"/>
    <w:rsid w:val="5C160720"/>
    <w:rsid w:val="5C194F28"/>
    <w:rsid w:val="5C1D00AB"/>
    <w:rsid w:val="5C2657C3"/>
    <w:rsid w:val="5C2A0F9E"/>
    <w:rsid w:val="5C3F360E"/>
    <w:rsid w:val="5C3F5168"/>
    <w:rsid w:val="5C423C52"/>
    <w:rsid w:val="5C553C81"/>
    <w:rsid w:val="5C59248E"/>
    <w:rsid w:val="5C5B0B6B"/>
    <w:rsid w:val="5C5E240A"/>
    <w:rsid w:val="5C5E26D7"/>
    <w:rsid w:val="5C61531C"/>
    <w:rsid w:val="5C6A14D7"/>
    <w:rsid w:val="5C6C36AD"/>
    <w:rsid w:val="5C6F4938"/>
    <w:rsid w:val="5C6FC304"/>
    <w:rsid w:val="5C743A8C"/>
    <w:rsid w:val="5C761A3E"/>
    <w:rsid w:val="5C7907C5"/>
    <w:rsid w:val="5C7B276E"/>
    <w:rsid w:val="5C7D95D7"/>
    <w:rsid w:val="5C8259E8"/>
    <w:rsid w:val="5C8332D2"/>
    <w:rsid w:val="5C8F20DB"/>
    <w:rsid w:val="5CA47C30"/>
    <w:rsid w:val="5CA63FE3"/>
    <w:rsid w:val="5CA8564C"/>
    <w:rsid w:val="5CAB4497"/>
    <w:rsid w:val="5CB4703A"/>
    <w:rsid w:val="5CC10BB9"/>
    <w:rsid w:val="5CC52E42"/>
    <w:rsid w:val="5CC85FC5"/>
    <w:rsid w:val="5CCC49CC"/>
    <w:rsid w:val="5CD10E53"/>
    <w:rsid w:val="5CD84061"/>
    <w:rsid w:val="5CD91AE3"/>
    <w:rsid w:val="5CDB4FE6"/>
    <w:rsid w:val="5CDC6150"/>
    <w:rsid w:val="5CDD269C"/>
    <w:rsid w:val="5CDD5A24"/>
    <w:rsid w:val="5CDE09D4"/>
    <w:rsid w:val="5CE51282"/>
    <w:rsid w:val="5CE53377"/>
    <w:rsid w:val="5CED0783"/>
    <w:rsid w:val="5CED3D54"/>
    <w:rsid w:val="5CF1F275"/>
    <w:rsid w:val="5CF428EE"/>
    <w:rsid w:val="5CFE23CC"/>
    <w:rsid w:val="5D055E2A"/>
    <w:rsid w:val="5D0D6ABA"/>
    <w:rsid w:val="5D1928CC"/>
    <w:rsid w:val="5D1C12D3"/>
    <w:rsid w:val="5D1E47D6"/>
    <w:rsid w:val="5D207CD9"/>
    <w:rsid w:val="5D211ED7"/>
    <w:rsid w:val="5D2C0268"/>
    <w:rsid w:val="5D347D3A"/>
    <w:rsid w:val="5D3B6304"/>
    <w:rsid w:val="5D433711"/>
    <w:rsid w:val="5D4A529A"/>
    <w:rsid w:val="5D4A72D8"/>
    <w:rsid w:val="5D4C079D"/>
    <w:rsid w:val="5D4C4020"/>
    <w:rsid w:val="5D4E3CA0"/>
    <w:rsid w:val="5D54142D"/>
    <w:rsid w:val="5D5958B4"/>
    <w:rsid w:val="5D643C45"/>
    <w:rsid w:val="5D667504"/>
    <w:rsid w:val="5D676907"/>
    <w:rsid w:val="5D6C71B4"/>
    <w:rsid w:val="5D6E5733"/>
    <w:rsid w:val="5D6F32DB"/>
    <w:rsid w:val="5D7673E3"/>
    <w:rsid w:val="5D7706E8"/>
    <w:rsid w:val="5D774E64"/>
    <w:rsid w:val="5D7A80BE"/>
    <w:rsid w:val="5D7BA7C4"/>
    <w:rsid w:val="5D890602"/>
    <w:rsid w:val="5D8D60DF"/>
    <w:rsid w:val="5D8F2460"/>
    <w:rsid w:val="5D903810"/>
    <w:rsid w:val="5D946993"/>
    <w:rsid w:val="5D9D1696"/>
    <w:rsid w:val="5D9D50A4"/>
    <w:rsid w:val="5DA03AAA"/>
    <w:rsid w:val="5DA364B1"/>
    <w:rsid w:val="5DA57E17"/>
    <w:rsid w:val="5DA659B4"/>
    <w:rsid w:val="5DA86032"/>
    <w:rsid w:val="5DA90662"/>
    <w:rsid w:val="5DAA3B58"/>
    <w:rsid w:val="5DAD164C"/>
    <w:rsid w:val="5DAD5BD4"/>
    <w:rsid w:val="5DAE2DC0"/>
    <w:rsid w:val="5DBD55D9"/>
    <w:rsid w:val="5DBE1A5F"/>
    <w:rsid w:val="5DBE41EC"/>
    <w:rsid w:val="5DBF99A9"/>
    <w:rsid w:val="5DC310BE"/>
    <w:rsid w:val="5DCA244C"/>
    <w:rsid w:val="5DD32106"/>
    <w:rsid w:val="5DD46E27"/>
    <w:rsid w:val="5DDD390F"/>
    <w:rsid w:val="5DE04894"/>
    <w:rsid w:val="5DE35818"/>
    <w:rsid w:val="5DE50D1C"/>
    <w:rsid w:val="5DE54B90"/>
    <w:rsid w:val="5DEC28A5"/>
    <w:rsid w:val="5DEE5DA8"/>
    <w:rsid w:val="5DEF5A0F"/>
    <w:rsid w:val="5DF012AB"/>
    <w:rsid w:val="5DFB763C"/>
    <w:rsid w:val="5DFD0653"/>
    <w:rsid w:val="5DFEEAF0"/>
    <w:rsid w:val="5DFF340D"/>
    <w:rsid w:val="5E001545"/>
    <w:rsid w:val="5E0257B5"/>
    <w:rsid w:val="5E061250"/>
    <w:rsid w:val="5E0815A9"/>
    <w:rsid w:val="5E0D665D"/>
    <w:rsid w:val="5E0E058B"/>
    <w:rsid w:val="5E0F1B60"/>
    <w:rsid w:val="5E103D5E"/>
    <w:rsid w:val="5E10796B"/>
    <w:rsid w:val="5E192A8C"/>
    <w:rsid w:val="5E1B5972"/>
    <w:rsid w:val="5E1C257C"/>
    <w:rsid w:val="5E1D3074"/>
    <w:rsid w:val="5E222D7F"/>
    <w:rsid w:val="5E236693"/>
    <w:rsid w:val="5E36363E"/>
    <w:rsid w:val="5E363F9E"/>
    <w:rsid w:val="5E3929A4"/>
    <w:rsid w:val="5E3D12A7"/>
    <w:rsid w:val="5E47553D"/>
    <w:rsid w:val="5E4A0E97"/>
    <w:rsid w:val="5E4B3F43"/>
    <w:rsid w:val="5E4F2949"/>
    <w:rsid w:val="5E5003CB"/>
    <w:rsid w:val="5E525F9E"/>
    <w:rsid w:val="5E56417A"/>
    <w:rsid w:val="5E567D56"/>
    <w:rsid w:val="5E5757D7"/>
    <w:rsid w:val="5E5B41DD"/>
    <w:rsid w:val="5E5D0BCB"/>
    <w:rsid w:val="5E6409C8"/>
    <w:rsid w:val="5E65126A"/>
    <w:rsid w:val="5E6A3C0E"/>
    <w:rsid w:val="5E712AFE"/>
    <w:rsid w:val="5E743A82"/>
    <w:rsid w:val="5E751504"/>
    <w:rsid w:val="5E797F0A"/>
    <w:rsid w:val="5E83629B"/>
    <w:rsid w:val="5E970CEE"/>
    <w:rsid w:val="5EAD2F25"/>
    <w:rsid w:val="5EAE61E6"/>
    <w:rsid w:val="5EB138E7"/>
    <w:rsid w:val="5EB82FC5"/>
    <w:rsid w:val="5EB94577"/>
    <w:rsid w:val="5EBB4848"/>
    <w:rsid w:val="5EBF6678"/>
    <w:rsid w:val="5EC16918"/>
    <w:rsid w:val="5EC4038A"/>
    <w:rsid w:val="5EC4727E"/>
    <w:rsid w:val="5EC47A24"/>
    <w:rsid w:val="5EC549C2"/>
    <w:rsid w:val="5ED3731F"/>
    <w:rsid w:val="5ED54C05"/>
    <w:rsid w:val="5ED6097D"/>
    <w:rsid w:val="5ED715A9"/>
    <w:rsid w:val="5EDE0F33"/>
    <w:rsid w:val="5EE17F63"/>
    <w:rsid w:val="5EE240B6"/>
    <w:rsid w:val="5EE42E3D"/>
    <w:rsid w:val="5EE62ABD"/>
    <w:rsid w:val="5EE70DDC"/>
    <w:rsid w:val="5EEF0649"/>
    <w:rsid w:val="5EF67C0F"/>
    <w:rsid w:val="5EF70055"/>
    <w:rsid w:val="5EF7405C"/>
    <w:rsid w:val="5EFD7F19"/>
    <w:rsid w:val="5EFE4FB2"/>
    <w:rsid w:val="5EFF246C"/>
    <w:rsid w:val="5F011E9E"/>
    <w:rsid w:val="5F0454EA"/>
    <w:rsid w:val="5F0811A3"/>
    <w:rsid w:val="5F0C077E"/>
    <w:rsid w:val="5F107581"/>
    <w:rsid w:val="5F195895"/>
    <w:rsid w:val="5F1A4D0E"/>
    <w:rsid w:val="5F1D47FE"/>
    <w:rsid w:val="5F2361A5"/>
    <w:rsid w:val="5F2F7A39"/>
    <w:rsid w:val="5F3077AA"/>
    <w:rsid w:val="5F33CF89"/>
    <w:rsid w:val="5F3B384B"/>
    <w:rsid w:val="5F3E47D0"/>
    <w:rsid w:val="5F3E69CE"/>
    <w:rsid w:val="5F3F2252"/>
    <w:rsid w:val="5F4408D8"/>
    <w:rsid w:val="5F46765E"/>
    <w:rsid w:val="5F473629"/>
    <w:rsid w:val="5F4D3766"/>
    <w:rsid w:val="5F5159EF"/>
    <w:rsid w:val="5F543870"/>
    <w:rsid w:val="5F5A2E14"/>
    <w:rsid w:val="5F6364B1"/>
    <w:rsid w:val="5F677B93"/>
    <w:rsid w:val="5F693096"/>
    <w:rsid w:val="5F6E2DA1"/>
    <w:rsid w:val="5F7601AD"/>
    <w:rsid w:val="5F791132"/>
    <w:rsid w:val="5F796BB3"/>
    <w:rsid w:val="5F7A0DB2"/>
    <w:rsid w:val="5F7B20B7"/>
    <w:rsid w:val="5F7E77B8"/>
    <w:rsid w:val="5F7FEA21"/>
    <w:rsid w:val="5F887EC9"/>
    <w:rsid w:val="5F8935CB"/>
    <w:rsid w:val="5F8F54D4"/>
    <w:rsid w:val="5F9B055D"/>
    <w:rsid w:val="5F9D3058"/>
    <w:rsid w:val="5F9E3914"/>
    <w:rsid w:val="5FA10C71"/>
    <w:rsid w:val="5FA3F0C2"/>
    <w:rsid w:val="5FABA7BF"/>
    <w:rsid w:val="5FB16D0D"/>
    <w:rsid w:val="5FB47C92"/>
    <w:rsid w:val="5FB51E90"/>
    <w:rsid w:val="5FB6D5B5"/>
    <w:rsid w:val="5FB77AE1"/>
    <w:rsid w:val="5FBB32E4"/>
    <w:rsid w:val="5FBEA8D8"/>
    <w:rsid w:val="5FBF8974"/>
    <w:rsid w:val="5FC45739"/>
    <w:rsid w:val="5FC943B4"/>
    <w:rsid w:val="5FD53A4A"/>
    <w:rsid w:val="5FD72B7F"/>
    <w:rsid w:val="5FDA20D0"/>
    <w:rsid w:val="5FDA7ED2"/>
    <w:rsid w:val="5FDBF23C"/>
    <w:rsid w:val="5FDC33D5"/>
    <w:rsid w:val="5FE13A7D"/>
    <w:rsid w:val="5FE1582B"/>
    <w:rsid w:val="5FE50461"/>
    <w:rsid w:val="5FEA48E9"/>
    <w:rsid w:val="5FEB236A"/>
    <w:rsid w:val="5FEF1F81"/>
    <w:rsid w:val="5FF17AF7"/>
    <w:rsid w:val="5FF6617D"/>
    <w:rsid w:val="5FF736BB"/>
    <w:rsid w:val="5FF92B75"/>
    <w:rsid w:val="5FFBF209"/>
    <w:rsid w:val="5FFE6E0D"/>
    <w:rsid w:val="5FFE8103"/>
    <w:rsid w:val="5FFFBE63"/>
    <w:rsid w:val="60002310"/>
    <w:rsid w:val="60033294"/>
    <w:rsid w:val="60083E99"/>
    <w:rsid w:val="600F0792"/>
    <w:rsid w:val="600F70A7"/>
    <w:rsid w:val="60107EBF"/>
    <w:rsid w:val="601531AE"/>
    <w:rsid w:val="601644B3"/>
    <w:rsid w:val="60171F35"/>
    <w:rsid w:val="601B2AEB"/>
    <w:rsid w:val="60204DC3"/>
    <w:rsid w:val="60283277"/>
    <w:rsid w:val="602843F1"/>
    <w:rsid w:val="602F6597"/>
    <w:rsid w:val="60427B6A"/>
    <w:rsid w:val="60474C82"/>
    <w:rsid w:val="604C498D"/>
    <w:rsid w:val="604E1113"/>
    <w:rsid w:val="604F5912"/>
    <w:rsid w:val="604F6C39"/>
    <w:rsid w:val="60546516"/>
    <w:rsid w:val="60553F98"/>
    <w:rsid w:val="60590438"/>
    <w:rsid w:val="605B3923"/>
    <w:rsid w:val="605E26A9"/>
    <w:rsid w:val="6061362E"/>
    <w:rsid w:val="606851B7"/>
    <w:rsid w:val="606917D9"/>
    <w:rsid w:val="606965F0"/>
    <w:rsid w:val="606A3F3D"/>
    <w:rsid w:val="606E3563"/>
    <w:rsid w:val="60730FCA"/>
    <w:rsid w:val="60792ED3"/>
    <w:rsid w:val="607B3777"/>
    <w:rsid w:val="607C76DB"/>
    <w:rsid w:val="607E2BDE"/>
    <w:rsid w:val="60813B63"/>
    <w:rsid w:val="60984B63"/>
    <w:rsid w:val="60991209"/>
    <w:rsid w:val="609C218E"/>
    <w:rsid w:val="60A407A6"/>
    <w:rsid w:val="60A4759A"/>
    <w:rsid w:val="60AD7EAA"/>
    <w:rsid w:val="60AF32A5"/>
    <w:rsid w:val="60B146B2"/>
    <w:rsid w:val="60B552B6"/>
    <w:rsid w:val="60C70A54"/>
    <w:rsid w:val="60CA4511"/>
    <w:rsid w:val="60D26DE5"/>
    <w:rsid w:val="60D333C6"/>
    <w:rsid w:val="60D75DE5"/>
    <w:rsid w:val="60DB1C73"/>
    <w:rsid w:val="60DC76F4"/>
    <w:rsid w:val="60DD2BF7"/>
    <w:rsid w:val="60E2185B"/>
    <w:rsid w:val="60E8480C"/>
    <w:rsid w:val="60F038E6"/>
    <w:rsid w:val="60F715A3"/>
    <w:rsid w:val="60F82E2D"/>
    <w:rsid w:val="60FE457C"/>
    <w:rsid w:val="61001EB2"/>
    <w:rsid w:val="61045C75"/>
    <w:rsid w:val="610E2650"/>
    <w:rsid w:val="610F6C4A"/>
    <w:rsid w:val="611159D0"/>
    <w:rsid w:val="61187559"/>
    <w:rsid w:val="611B62E0"/>
    <w:rsid w:val="611C019C"/>
    <w:rsid w:val="611D2893"/>
    <w:rsid w:val="61202383"/>
    <w:rsid w:val="61204966"/>
    <w:rsid w:val="61204CE6"/>
    <w:rsid w:val="61325F05"/>
    <w:rsid w:val="6135490B"/>
    <w:rsid w:val="613B6814"/>
    <w:rsid w:val="61400DC7"/>
    <w:rsid w:val="61433C21"/>
    <w:rsid w:val="61474825"/>
    <w:rsid w:val="614822A7"/>
    <w:rsid w:val="614C2E20"/>
    <w:rsid w:val="614C3178"/>
    <w:rsid w:val="614F403F"/>
    <w:rsid w:val="61513357"/>
    <w:rsid w:val="615564D1"/>
    <w:rsid w:val="61564E40"/>
    <w:rsid w:val="6166335A"/>
    <w:rsid w:val="61672B5B"/>
    <w:rsid w:val="616D381B"/>
    <w:rsid w:val="61751443"/>
    <w:rsid w:val="617C580C"/>
    <w:rsid w:val="617D4CFF"/>
    <w:rsid w:val="618360E9"/>
    <w:rsid w:val="61884A25"/>
    <w:rsid w:val="618D2D9B"/>
    <w:rsid w:val="61934CA4"/>
    <w:rsid w:val="61996BAE"/>
    <w:rsid w:val="619E1C26"/>
    <w:rsid w:val="61A17BFD"/>
    <w:rsid w:val="61A4713D"/>
    <w:rsid w:val="61A70C74"/>
    <w:rsid w:val="61A813C7"/>
    <w:rsid w:val="61A935C5"/>
    <w:rsid w:val="61AE32D0"/>
    <w:rsid w:val="61B01959"/>
    <w:rsid w:val="61B35003"/>
    <w:rsid w:val="61B551C2"/>
    <w:rsid w:val="61B606DC"/>
    <w:rsid w:val="61B6615E"/>
    <w:rsid w:val="61B970E2"/>
    <w:rsid w:val="61C52EF5"/>
    <w:rsid w:val="61D37C8C"/>
    <w:rsid w:val="61D43510"/>
    <w:rsid w:val="61D4570E"/>
    <w:rsid w:val="61D66A13"/>
    <w:rsid w:val="61D71F16"/>
    <w:rsid w:val="61D90EB0"/>
    <w:rsid w:val="61DC639E"/>
    <w:rsid w:val="61DD059C"/>
    <w:rsid w:val="61E12825"/>
    <w:rsid w:val="61ED6709"/>
    <w:rsid w:val="61F017BB"/>
    <w:rsid w:val="61F0503E"/>
    <w:rsid w:val="61F8244A"/>
    <w:rsid w:val="62037CDB"/>
    <w:rsid w:val="620713E0"/>
    <w:rsid w:val="620948E3"/>
    <w:rsid w:val="621041A6"/>
    <w:rsid w:val="621506F6"/>
    <w:rsid w:val="621719D8"/>
    <w:rsid w:val="621A5025"/>
    <w:rsid w:val="621C3904"/>
    <w:rsid w:val="621F2947"/>
    <w:rsid w:val="62277716"/>
    <w:rsid w:val="622A069B"/>
    <w:rsid w:val="62340FAB"/>
    <w:rsid w:val="623644AE"/>
    <w:rsid w:val="623D76BC"/>
    <w:rsid w:val="62442EF7"/>
    <w:rsid w:val="62456CC6"/>
    <w:rsid w:val="62502AD9"/>
    <w:rsid w:val="62523DDE"/>
    <w:rsid w:val="6253185F"/>
    <w:rsid w:val="625414DF"/>
    <w:rsid w:val="625649E2"/>
    <w:rsid w:val="62587EE5"/>
    <w:rsid w:val="625911EA"/>
    <w:rsid w:val="625C216F"/>
    <w:rsid w:val="625E5672"/>
    <w:rsid w:val="62646CCA"/>
    <w:rsid w:val="62674C7D"/>
    <w:rsid w:val="62747816"/>
    <w:rsid w:val="627609C1"/>
    <w:rsid w:val="6278379F"/>
    <w:rsid w:val="627B71A0"/>
    <w:rsid w:val="627D5CDF"/>
    <w:rsid w:val="628149F1"/>
    <w:rsid w:val="628801E0"/>
    <w:rsid w:val="62893F38"/>
    <w:rsid w:val="62931DDF"/>
    <w:rsid w:val="62A167B2"/>
    <w:rsid w:val="62A61902"/>
    <w:rsid w:val="62A712E9"/>
    <w:rsid w:val="62B114E5"/>
    <w:rsid w:val="62B13234"/>
    <w:rsid w:val="62B21879"/>
    <w:rsid w:val="62C17915"/>
    <w:rsid w:val="62C35F0F"/>
    <w:rsid w:val="62CA27A3"/>
    <w:rsid w:val="62CE5926"/>
    <w:rsid w:val="62D02824"/>
    <w:rsid w:val="62D41677"/>
    <w:rsid w:val="62D607B4"/>
    <w:rsid w:val="62DF3642"/>
    <w:rsid w:val="62E20295"/>
    <w:rsid w:val="62E977D4"/>
    <w:rsid w:val="62ED77B7"/>
    <w:rsid w:val="62F435E7"/>
    <w:rsid w:val="62F7274D"/>
    <w:rsid w:val="62F9251F"/>
    <w:rsid w:val="62FB30A8"/>
    <w:rsid w:val="6303037E"/>
    <w:rsid w:val="63033C02"/>
    <w:rsid w:val="63083AA2"/>
    <w:rsid w:val="630B320C"/>
    <w:rsid w:val="63107694"/>
    <w:rsid w:val="631C6D2A"/>
    <w:rsid w:val="631E69AA"/>
    <w:rsid w:val="632708CE"/>
    <w:rsid w:val="632A1297"/>
    <w:rsid w:val="63320ECD"/>
    <w:rsid w:val="6333694F"/>
    <w:rsid w:val="6334525B"/>
    <w:rsid w:val="63366B81"/>
    <w:rsid w:val="633914DA"/>
    <w:rsid w:val="633A38F6"/>
    <w:rsid w:val="633E7C5E"/>
    <w:rsid w:val="634258E5"/>
    <w:rsid w:val="63441142"/>
    <w:rsid w:val="6344336F"/>
    <w:rsid w:val="63483071"/>
    <w:rsid w:val="63490AF3"/>
    <w:rsid w:val="634A36E8"/>
    <w:rsid w:val="63525907"/>
    <w:rsid w:val="635B4290"/>
    <w:rsid w:val="63626220"/>
    <w:rsid w:val="63654BA0"/>
    <w:rsid w:val="636649C5"/>
    <w:rsid w:val="636935A6"/>
    <w:rsid w:val="636D1FAC"/>
    <w:rsid w:val="6370227B"/>
    <w:rsid w:val="63713445"/>
    <w:rsid w:val="63731937"/>
    <w:rsid w:val="63733966"/>
    <w:rsid w:val="637473B8"/>
    <w:rsid w:val="637D2246"/>
    <w:rsid w:val="637F38AA"/>
    <w:rsid w:val="638E7F62"/>
    <w:rsid w:val="6393508F"/>
    <w:rsid w:val="63976673"/>
    <w:rsid w:val="63A57B87"/>
    <w:rsid w:val="63A7308B"/>
    <w:rsid w:val="63AA250D"/>
    <w:rsid w:val="63AD4F94"/>
    <w:rsid w:val="63AF4BB0"/>
    <w:rsid w:val="63B32720"/>
    <w:rsid w:val="63BA6C0F"/>
    <w:rsid w:val="63C27722"/>
    <w:rsid w:val="63D24D30"/>
    <w:rsid w:val="63D47B81"/>
    <w:rsid w:val="63D506D7"/>
    <w:rsid w:val="63D53536"/>
    <w:rsid w:val="63D63372"/>
    <w:rsid w:val="63DA0F0F"/>
    <w:rsid w:val="63DBF994"/>
    <w:rsid w:val="63DF4869"/>
    <w:rsid w:val="63DF6A68"/>
    <w:rsid w:val="63E044E9"/>
    <w:rsid w:val="63E11F6B"/>
    <w:rsid w:val="63E17D6C"/>
    <w:rsid w:val="63E97377"/>
    <w:rsid w:val="63EA24F1"/>
    <w:rsid w:val="63EB287A"/>
    <w:rsid w:val="63EF1280"/>
    <w:rsid w:val="63F4318A"/>
    <w:rsid w:val="63FA2E95"/>
    <w:rsid w:val="63FE3A99"/>
    <w:rsid w:val="64025D23"/>
    <w:rsid w:val="640843A9"/>
    <w:rsid w:val="640F6E0B"/>
    <w:rsid w:val="64125E9D"/>
    <w:rsid w:val="641649C3"/>
    <w:rsid w:val="641F6922"/>
    <w:rsid w:val="642052D3"/>
    <w:rsid w:val="64212D54"/>
    <w:rsid w:val="642C3C6E"/>
    <w:rsid w:val="642D45E8"/>
    <w:rsid w:val="642D4911"/>
    <w:rsid w:val="642F125B"/>
    <w:rsid w:val="64362CFA"/>
    <w:rsid w:val="643903FB"/>
    <w:rsid w:val="643C1380"/>
    <w:rsid w:val="643E324C"/>
    <w:rsid w:val="643E7EF6"/>
    <w:rsid w:val="64480A16"/>
    <w:rsid w:val="644C161A"/>
    <w:rsid w:val="64511325"/>
    <w:rsid w:val="645422AA"/>
    <w:rsid w:val="645657AD"/>
    <w:rsid w:val="646417BB"/>
    <w:rsid w:val="64654742"/>
    <w:rsid w:val="646969CC"/>
    <w:rsid w:val="64706357"/>
    <w:rsid w:val="6477050C"/>
    <w:rsid w:val="64777EE0"/>
    <w:rsid w:val="647911E5"/>
    <w:rsid w:val="647E786B"/>
    <w:rsid w:val="64850E7B"/>
    <w:rsid w:val="648839FD"/>
    <w:rsid w:val="64931D8E"/>
    <w:rsid w:val="649D011F"/>
    <w:rsid w:val="649D1D5B"/>
    <w:rsid w:val="64A02AF8"/>
    <w:rsid w:val="64A23C41"/>
    <w:rsid w:val="64A4332E"/>
    <w:rsid w:val="64A5552C"/>
    <w:rsid w:val="64A70DF2"/>
    <w:rsid w:val="64AD1B28"/>
    <w:rsid w:val="64B07140"/>
    <w:rsid w:val="64BA54D1"/>
    <w:rsid w:val="64BC09D4"/>
    <w:rsid w:val="64BC4CDE"/>
    <w:rsid w:val="64BE770A"/>
    <w:rsid w:val="64BF60D6"/>
    <w:rsid w:val="64C179D9"/>
    <w:rsid w:val="64C55A61"/>
    <w:rsid w:val="64CB576C"/>
    <w:rsid w:val="64CD66F0"/>
    <w:rsid w:val="64CF1BF3"/>
    <w:rsid w:val="64CF6370"/>
    <w:rsid w:val="64D03DF2"/>
    <w:rsid w:val="64D73F27"/>
    <w:rsid w:val="64D77000"/>
    <w:rsid w:val="64DB3379"/>
    <w:rsid w:val="64DB6CED"/>
    <w:rsid w:val="64DC3487"/>
    <w:rsid w:val="64DE698B"/>
    <w:rsid w:val="64DF0813"/>
    <w:rsid w:val="64DFC06C"/>
    <w:rsid w:val="64E73A17"/>
    <w:rsid w:val="64F02C74"/>
    <w:rsid w:val="64F36308"/>
    <w:rsid w:val="64FA2A38"/>
    <w:rsid w:val="64FC5F6F"/>
    <w:rsid w:val="64FD3804"/>
    <w:rsid w:val="64FF23C0"/>
    <w:rsid w:val="65082931"/>
    <w:rsid w:val="6510045E"/>
    <w:rsid w:val="651421FF"/>
    <w:rsid w:val="65156AE4"/>
    <w:rsid w:val="65177DE9"/>
    <w:rsid w:val="6518584B"/>
    <w:rsid w:val="651954EB"/>
    <w:rsid w:val="651D3EF1"/>
    <w:rsid w:val="651F2C77"/>
    <w:rsid w:val="65233248"/>
    <w:rsid w:val="65282282"/>
    <w:rsid w:val="65285B05"/>
    <w:rsid w:val="652965A1"/>
    <w:rsid w:val="652C0C88"/>
    <w:rsid w:val="652F5490"/>
    <w:rsid w:val="65303A44"/>
    <w:rsid w:val="65326415"/>
    <w:rsid w:val="65336094"/>
    <w:rsid w:val="65343B16"/>
    <w:rsid w:val="6536289C"/>
    <w:rsid w:val="654523B9"/>
    <w:rsid w:val="654805B8"/>
    <w:rsid w:val="65503446"/>
    <w:rsid w:val="655343CB"/>
    <w:rsid w:val="65590750"/>
    <w:rsid w:val="65624D19"/>
    <w:rsid w:val="65680AED"/>
    <w:rsid w:val="656E690F"/>
    <w:rsid w:val="65705EF9"/>
    <w:rsid w:val="6571397B"/>
    <w:rsid w:val="65740183"/>
    <w:rsid w:val="65757142"/>
    <w:rsid w:val="65763686"/>
    <w:rsid w:val="657C558F"/>
    <w:rsid w:val="657D3011"/>
    <w:rsid w:val="65837118"/>
    <w:rsid w:val="65887357"/>
    <w:rsid w:val="65914FB0"/>
    <w:rsid w:val="65953340"/>
    <w:rsid w:val="65973BBB"/>
    <w:rsid w:val="659970BE"/>
    <w:rsid w:val="659A6D3E"/>
    <w:rsid w:val="659C2241"/>
    <w:rsid w:val="659D3FA3"/>
    <w:rsid w:val="65A34DC6"/>
    <w:rsid w:val="65B456E9"/>
    <w:rsid w:val="65BB0B51"/>
    <w:rsid w:val="65BDE062"/>
    <w:rsid w:val="65C40356"/>
    <w:rsid w:val="65CA788D"/>
    <w:rsid w:val="65D11E9E"/>
    <w:rsid w:val="65D23214"/>
    <w:rsid w:val="65DB0E2C"/>
    <w:rsid w:val="65DD432F"/>
    <w:rsid w:val="65DE3BCC"/>
    <w:rsid w:val="65E36238"/>
    <w:rsid w:val="65E6393A"/>
    <w:rsid w:val="65E92340"/>
    <w:rsid w:val="65EA7DC1"/>
    <w:rsid w:val="65F0554E"/>
    <w:rsid w:val="65F1774C"/>
    <w:rsid w:val="65FF451C"/>
    <w:rsid w:val="66001F65"/>
    <w:rsid w:val="660C15FB"/>
    <w:rsid w:val="66140031"/>
    <w:rsid w:val="66143184"/>
    <w:rsid w:val="66166687"/>
    <w:rsid w:val="66171B8A"/>
    <w:rsid w:val="661F4D98"/>
    <w:rsid w:val="6623145E"/>
    <w:rsid w:val="662A0BAB"/>
    <w:rsid w:val="66310536"/>
    <w:rsid w:val="66375CC2"/>
    <w:rsid w:val="663D7BCC"/>
    <w:rsid w:val="66414053"/>
    <w:rsid w:val="664408C2"/>
    <w:rsid w:val="664839DE"/>
    <w:rsid w:val="664A6EE1"/>
    <w:rsid w:val="664E34EF"/>
    <w:rsid w:val="66531D6F"/>
    <w:rsid w:val="665705F5"/>
    <w:rsid w:val="665A717C"/>
    <w:rsid w:val="665C6DFC"/>
    <w:rsid w:val="6663397A"/>
    <w:rsid w:val="66686491"/>
    <w:rsid w:val="666B33AA"/>
    <w:rsid w:val="666D2919"/>
    <w:rsid w:val="666F5E1C"/>
    <w:rsid w:val="66716DA1"/>
    <w:rsid w:val="66763229"/>
    <w:rsid w:val="6678672C"/>
    <w:rsid w:val="667C18AF"/>
    <w:rsid w:val="667F0B62"/>
    <w:rsid w:val="667F2833"/>
    <w:rsid w:val="668002B5"/>
    <w:rsid w:val="668D2E4E"/>
    <w:rsid w:val="668F6351"/>
    <w:rsid w:val="669435F8"/>
    <w:rsid w:val="669D0EEA"/>
    <w:rsid w:val="66AA4BC9"/>
    <w:rsid w:val="66AB0539"/>
    <w:rsid w:val="66B2560C"/>
    <w:rsid w:val="66B4528C"/>
    <w:rsid w:val="66B87515"/>
    <w:rsid w:val="66C64D00"/>
    <w:rsid w:val="66C764AB"/>
    <w:rsid w:val="66CA526B"/>
    <w:rsid w:val="66D17304"/>
    <w:rsid w:val="66D51044"/>
    <w:rsid w:val="66D76745"/>
    <w:rsid w:val="66DD13C9"/>
    <w:rsid w:val="66DE1953"/>
    <w:rsid w:val="66DF171C"/>
    <w:rsid w:val="66E3632D"/>
    <w:rsid w:val="66E47FD9"/>
    <w:rsid w:val="66EF1BEE"/>
    <w:rsid w:val="66F43AF7"/>
    <w:rsid w:val="66F66FFA"/>
    <w:rsid w:val="66FA2365"/>
    <w:rsid w:val="66FC0F03"/>
    <w:rsid w:val="67041B93"/>
    <w:rsid w:val="67065B78"/>
    <w:rsid w:val="6709601B"/>
    <w:rsid w:val="670A5668"/>
    <w:rsid w:val="67113427"/>
    <w:rsid w:val="671578AF"/>
    <w:rsid w:val="67192A32"/>
    <w:rsid w:val="67205C40"/>
    <w:rsid w:val="67252EF2"/>
    <w:rsid w:val="67290ACE"/>
    <w:rsid w:val="672F0459"/>
    <w:rsid w:val="67352362"/>
    <w:rsid w:val="67386237"/>
    <w:rsid w:val="67386679"/>
    <w:rsid w:val="67387A63"/>
    <w:rsid w:val="673C1CED"/>
    <w:rsid w:val="674212A6"/>
    <w:rsid w:val="6748499E"/>
    <w:rsid w:val="6749577F"/>
    <w:rsid w:val="674C6704"/>
    <w:rsid w:val="674D7A09"/>
    <w:rsid w:val="674E548A"/>
    <w:rsid w:val="67523E91"/>
    <w:rsid w:val="6759381B"/>
    <w:rsid w:val="675FE357"/>
    <w:rsid w:val="67617776"/>
    <w:rsid w:val="6764762E"/>
    <w:rsid w:val="67673E36"/>
    <w:rsid w:val="67787E6E"/>
    <w:rsid w:val="677D2756"/>
    <w:rsid w:val="677DEF86"/>
    <w:rsid w:val="677F5C59"/>
    <w:rsid w:val="679171F9"/>
    <w:rsid w:val="67961102"/>
    <w:rsid w:val="679703E1"/>
    <w:rsid w:val="67973300"/>
    <w:rsid w:val="679E2C8B"/>
    <w:rsid w:val="67A17493"/>
    <w:rsid w:val="67A75350"/>
    <w:rsid w:val="67AC7A22"/>
    <w:rsid w:val="67AD0D95"/>
    <w:rsid w:val="67B13EAA"/>
    <w:rsid w:val="67BC7EF1"/>
    <w:rsid w:val="67C044C4"/>
    <w:rsid w:val="67D2628C"/>
    <w:rsid w:val="67D27C62"/>
    <w:rsid w:val="67D30F67"/>
    <w:rsid w:val="67D356E3"/>
    <w:rsid w:val="67D853EE"/>
    <w:rsid w:val="67DA08F2"/>
    <w:rsid w:val="67DD1876"/>
    <w:rsid w:val="67DF5160"/>
    <w:rsid w:val="67E62186"/>
    <w:rsid w:val="67E97887"/>
    <w:rsid w:val="67EF78EE"/>
    <w:rsid w:val="67F33A1A"/>
    <w:rsid w:val="67F34699"/>
    <w:rsid w:val="67FA33A5"/>
    <w:rsid w:val="67FB0E26"/>
    <w:rsid w:val="67FB3025"/>
    <w:rsid w:val="67FE3FB4"/>
    <w:rsid w:val="67FF33DC"/>
    <w:rsid w:val="680229AF"/>
    <w:rsid w:val="68033400"/>
    <w:rsid w:val="68041736"/>
    <w:rsid w:val="680D364D"/>
    <w:rsid w:val="68133F4F"/>
    <w:rsid w:val="68156FD0"/>
    <w:rsid w:val="681E22E0"/>
    <w:rsid w:val="68220CE6"/>
    <w:rsid w:val="682674A0"/>
    <w:rsid w:val="6832115E"/>
    <w:rsid w:val="68326D82"/>
    <w:rsid w:val="68334803"/>
    <w:rsid w:val="683361CD"/>
    <w:rsid w:val="683A638D"/>
    <w:rsid w:val="683A6742"/>
    <w:rsid w:val="68415D17"/>
    <w:rsid w:val="6844471E"/>
    <w:rsid w:val="68491856"/>
    <w:rsid w:val="684A6664"/>
    <w:rsid w:val="684C1B2A"/>
    <w:rsid w:val="68503DB3"/>
    <w:rsid w:val="685272B7"/>
    <w:rsid w:val="68577EBB"/>
    <w:rsid w:val="685811C0"/>
    <w:rsid w:val="685C4343"/>
    <w:rsid w:val="68696EDC"/>
    <w:rsid w:val="686A5863"/>
    <w:rsid w:val="686B6B5C"/>
    <w:rsid w:val="686D0966"/>
    <w:rsid w:val="686F44FD"/>
    <w:rsid w:val="68733F68"/>
    <w:rsid w:val="68801421"/>
    <w:rsid w:val="68896A60"/>
    <w:rsid w:val="68951C23"/>
    <w:rsid w:val="68960CA5"/>
    <w:rsid w:val="68975621"/>
    <w:rsid w:val="68996CA3"/>
    <w:rsid w:val="68A2033A"/>
    <w:rsid w:val="68A24AB7"/>
    <w:rsid w:val="68A66D41"/>
    <w:rsid w:val="68A8338A"/>
    <w:rsid w:val="68A869C0"/>
    <w:rsid w:val="68AC2E48"/>
    <w:rsid w:val="68B150D2"/>
    <w:rsid w:val="68B66FDB"/>
    <w:rsid w:val="68B7181F"/>
    <w:rsid w:val="68BE0B64"/>
    <w:rsid w:val="68C77275"/>
    <w:rsid w:val="68CD1043"/>
    <w:rsid w:val="68D35286"/>
    <w:rsid w:val="68D5400D"/>
    <w:rsid w:val="68D61D57"/>
    <w:rsid w:val="68D92A13"/>
    <w:rsid w:val="68DE6E9B"/>
    <w:rsid w:val="68F80B9A"/>
    <w:rsid w:val="69031659"/>
    <w:rsid w:val="690507DD"/>
    <w:rsid w:val="690525DD"/>
    <w:rsid w:val="69083562"/>
    <w:rsid w:val="69092030"/>
    <w:rsid w:val="690B44E7"/>
    <w:rsid w:val="691205EE"/>
    <w:rsid w:val="69140A20"/>
    <w:rsid w:val="69153A23"/>
    <w:rsid w:val="691959FB"/>
    <w:rsid w:val="691B0EFE"/>
    <w:rsid w:val="691F3187"/>
    <w:rsid w:val="691F43AE"/>
    <w:rsid w:val="69247985"/>
    <w:rsid w:val="69282792"/>
    <w:rsid w:val="692E211D"/>
    <w:rsid w:val="693343A6"/>
    <w:rsid w:val="693370F8"/>
    <w:rsid w:val="69362DAC"/>
    <w:rsid w:val="693C1432"/>
    <w:rsid w:val="693F6886"/>
    <w:rsid w:val="69426BBF"/>
    <w:rsid w:val="6942733B"/>
    <w:rsid w:val="6944465B"/>
    <w:rsid w:val="694E0453"/>
    <w:rsid w:val="69531548"/>
    <w:rsid w:val="69557DDE"/>
    <w:rsid w:val="69563A3D"/>
    <w:rsid w:val="695F06ED"/>
    <w:rsid w:val="69655E7A"/>
    <w:rsid w:val="696A51CF"/>
    <w:rsid w:val="696E6789"/>
    <w:rsid w:val="696F420B"/>
    <w:rsid w:val="69701C8D"/>
    <w:rsid w:val="697274F4"/>
    <w:rsid w:val="69744E10"/>
    <w:rsid w:val="69780FAF"/>
    <w:rsid w:val="69787099"/>
    <w:rsid w:val="697B479A"/>
    <w:rsid w:val="697E0FA2"/>
    <w:rsid w:val="69883AB0"/>
    <w:rsid w:val="698A0CE2"/>
    <w:rsid w:val="699011D0"/>
    <w:rsid w:val="699478C3"/>
    <w:rsid w:val="699742EF"/>
    <w:rsid w:val="69A16BD8"/>
    <w:rsid w:val="69A2465A"/>
    <w:rsid w:val="69A27EDD"/>
    <w:rsid w:val="69AB2D6B"/>
    <w:rsid w:val="69AC4F69"/>
    <w:rsid w:val="69AE046D"/>
    <w:rsid w:val="69AF1771"/>
    <w:rsid w:val="69B071F3"/>
    <w:rsid w:val="69B55D5F"/>
    <w:rsid w:val="69C14F0F"/>
    <w:rsid w:val="69C16FE3"/>
    <w:rsid w:val="69CA5672"/>
    <w:rsid w:val="69D22C2B"/>
    <w:rsid w:val="69D23E98"/>
    <w:rsid w:val="69D3CBC6"/>
    <w:rsid w:val="69D519B1"/>
    <w:rsid w:val="69D61631"/>
    <w:rsid w:val="69DA1D9A"/>
    <w:rsid w:val="69E057C4"/>
    <w:rsid w:val="69E67CE6"/>
    <w:rsid w:val="69EF401D"/>
    <w:rsid w:val="69F05A5E"/>
    <w:rsid w:val="69F17C5C"/>
    <w:rsid w:val="69F27A1C"/>
    <w:rsid w:val="69F67967"/>
    <w:rsid w:val="69FA636D"/>
    <w:rsid w:val="69FD72F2"/>
    <w:rsid w:val="69FE38A6"/>
    <w:rsid w:val="69FF6F72"/>
    <w:rsid w:val="6A025FE6"/>
    <w:rsid w:val="6A146F17"/>
    <w:rsid w:val="6A1B7B8C"/>
    <w:rsid w:val="6A1C5DDE"/>
    <w:rsid w:val="6A2151A2"/>
    <w:rsid w:val="6A2A659D"/>
    <w:rsid w:val="6A2D1926"/>
    <w:rsid w:val="6A306848"/>
    <w:rsid w:val="6A331379"/>
    <w:rsid w:val="6A3419CA"/>
    <w:rsid w:val="6A4B0BF5"/>
    <w:rsid w:val="6A5269FC"/>
    <w:rsid w:val="6A533C06"/>
    <w:rsid w:val="6A573A0D"/>
    <w:rsid w:val="6A5B510D"/>
    <w:rsid w:val="6A624A98"/>
    <w:rsid w:val="6A6C53A8"/>
    <w:rsid w:val="6A6F632C"/>
    <w:rsid w:val="6A786C3C"/>
    <w:rsid w:val="6A794FDE"/>
    <w:rsid w:val="6A795CC5"/>
    <w:rsid w:val="6A7A0DD0"/>
    <w:rsid w:val="6A88AB64"/>
    <w:rsid w:val="6A8F6861"/>
    <w:rsid w:val="6A9042E2"/>
    <w:rsid w:val="6A917936"/>
    <w:rsid w:val="6A9A363A"/>
    <w:rsid w:val="6A9E2C97"/>
    <w:rsid w:val="6AA07C6B"/>
    <w:rsid w:val="6AA42F83"/>
    <w:rsid w:val="6AA75E0E"/>
    <w:rsid w:val="6AB4579C"/>
    <w:rsid w:val="6AB954A7"/>
    <w:rsid w:val="6ABA2F28"/>
    <w:rsid w:val="6ABB09AA"/>
    <w:rsid w:val="6ABC062A"/>
    <w:rsid w:val="6ABC642B"/>
    <w:rsid w:val="6ABE50E7"/>
    <w:rsid w:val="6ABF3381"/>
    <w:rsid w:val="6ABF6C2A"/>
    <w:rsid w:val="6ACC2E43"/>
    <w:rsid w:val="6AD2088D"/>
    <w:rsid w:val="6AD45CD0"/>
    <w:rsid w:val="6AD66FD5"/>
    <w:rsid w:val="6AE67E81"/>
    <w:rsid w:val="6AEC303F"/>
    <w:rsid w:val="6AF36585"/>
    <w:rsid w:val="6AF50AF1"/>
    <w:rsid w:val="6AFE3735"/>
    <w:rsid w:val="6AFE4916"/>
    <w:rsid w:val="6AFF1923"/>
    <w:rsid w:val="6AFFFF68"/>
    <w:rsid w:val="6B205754"/>
    <w:rsid w:val="6B2313EE"/>
    <w:rsid w:val="6B2370D5"/>
    <w:rsid w:val="6B2525D8"/>
    <w:rsid w:val="6B2B66DF"/>
    <w:rsid w:val="6B2C79E4"/>
    <w:rsid w:val="6B2E2EE7"/>
    <w:rsid w:val="6B352872"/>
    <w:rsid w:val="6B3602F4"/>
    <w:rsid w:val="6B391278"/>
    <w:rsid w:val="6B425F3D"/>
    <w:rsid w:val="6B44508B"/>
    <w:rsid w:val="6B464D0B"/>
    <w:rsid w:val="6B473AEE"/>
    <w:rsid w:val="6B4F341C"/>
    <w:rsid w:val="6B500E9D"/>
    <w:rsid w:val="6B560E7C"/>
    <w:rsid w:val="6B593D2B"/>
    <w:rsid w:val="6B5D01B3"/>
    <w:rsid w:val="6B5D4CA5"/>
    <w:rsid w:val="6B5FE67D"/>
    <w:rsid w:val="6B621F16"/>
    <w:rsid w:val="6B650882"/>
    <w:rsid w:val="6B686544"/>
    <w:rsid w:val="6B6D624F"/>
    <w:rsid w:val="6B7071D4"/>
    <w:rsid w:val="6B721BC5"/>
    <w:rsid w:val="6B73B419"/>
    <w:rsid w:val="6B822971"/>
    <w:rsid w:val="6B8303F3"/>
    <w:rsid w:val="6B8B57FF"/>
    <w:rsid w:val="6B900DB6"/>
    <w:rsid w:val="6B902CAD"/>
    <w:rsid w:val="6B903E85"/>
    <w:rsid w:val="6B984B15"/>
    <w:rsid w:val="6B9C7C98"/>
    <w:rsid w:val="6BA51E03"/>
    <w:rsid w:val="6BB23BBC"/>
    <w:rsid w:val="6BB573B3"/>
    <w:rsid w:val="6BB71B46"/>
    <w:rsid w:val="6BB875C8"/>
    <w:rsid w:val="6BBF6F53"/>
    <w:rsid w:val="6BBF71B0"/>
    <w:rsid w:val="6BC27ED8"/>
    <w:rsid w:val="6BC568DE"/>
    <w:rsid w:val="6BD8207B"/>
    <w:rsid w:val="6BDB5825"/>
    <w:rsid w:val="6BDF314E"/>
    <w:rsid w:val="6BE41585"/>
    <w:rsid w:val="6BEC459F"/>
    <w:rsid w:val="6BF5742D"/>
    <w:rsid w:val="6BF72930"/>
    <w:rsid w:val="6BFE28D7"/>
    <w:rsid w:val="6BFE44B9"/>
    <w:rsid w:val="6C001B51"/>
    <w:rsid w:val="6C046B2A"/>
    <w:rsid w:val="6C0576C7"/>
    <w:rsid w:val="6C08064C"/>
    <w:rsid w:val="6C084DC9"/>
    <w:rsid w:val="6C0B5D4D"/>
    <w:rsid w:val="6C107C57"/>
    <w:rsid w:val="6C1C72EC"/>
    <w:rsid w:val="6C2211F6"/>
    <w:rsid w:val="6C27567D"/>
    <w:rsid w:val="6C2E5CF1"/>
    <w:rsid w:val="6C311810"/>
    <w:rsid w:val="6C37119B"/>
    <w:rsid w:val="6C411AAB"/>
    <w:rsid w:val="6C416227"/>
    <w:rsid w:val="6C423CA9"/>
    <w:rsid w:val="6C483634"/>
    <w:rsid w:val="6C4909E0"/>
    <w:rsid w:val="6C4D333F"/>
    <w:rsid w:val="6C4E4249"/>
    <w:rsid w:val="6C547446"/>
    <w:rsid w:val="6C55074B"/>
    <w:rsid w:val="6C5F105B"/>
    <w:rsid w:val="6C6973EC"/>
    <w:rsid w:val="6C6F5A72"/>
    <w:rsid w:val="6C700663"/>
    <w:rsid w:val="6C7034F3"/>
    <w:rsid w:val="6C72227A"/>
    <w:rsid w:val="6C75797B"/>
    <w:rsid w:val="6C786381"/>
    <w:rsid w:val="6C7F158F"/>
    <w:rsid w:val="6C7F2A6C"/>
    <w:rsid w:val="6C8071DA"/>
    <w:rsid w:val="6C8305BD"/>
    <w:rsid w:val="6C837F96"/>
    <w:rsid w:val="6C856CA8"/>
    <w:rsid w:val="6C8B2DA7"/>
    <w:rsid w:val="6C8C2E23"/>
    <w:rsid w:val="6C8F3DA8"/>
    <w:rsid w:val="6C924135"/>
    <w:rsid w:val="6C924D2D"/>
    <w:rsid w:val="6C997F3B"/>
    <w:rsid w:val="6C9C0EC0"/>
    <w:rsid w:val="6C9C1458"/>
    <w:rsid w:val="6C9F78C6"/>
    <w:rsid w:val="6CA2084A"/>
    <w:rsid w:val="6CB25261"/>
    <w:rsid w:val="6CB561E6"/>
    <w:rsid w:val="6CB66007"/>
    <w:rsid w:val="6CBF2488"/>
    <w:rsid w:val="6CC0262E"/>
    <w:rsid w:val="6CC2480E"/>
    <w:rsid w:val="6CC30D7F"/>
    <w:rsid w:val="6CCB028A"/>
    <w:rsid w:val="6CD7419C"/>
    <w:rsid w:val="6CD81C1E"/>
    <w:rsid w:val="6CD97FB6"/>
    <w:rsid w:val="6CDA09A4"/>
    <w:rsid w:val="6CDD06CC"/>
    <w:rsid w:val="6CDF1345"/>
    <w:rsid w:val="6CE127FF"/>
    <w:rsid w:val="6CE33832"/>
    <w:rsid w:val="6CE4570D"/>
    <w:rsid w:val="6CE77CBA"/>
    <w:rsid w:val="6CEC4142"/>
    <w:rsid w:val="6CF52916"/>
    <w:rsid w:val="6CF80355"/>
    <w:rsid w:val="6CFF78FA"/>
    <w:rsid w:val="6D0475EA"/>
    <w:rsid w:val="6D05506C"/>
    <w:rsid w:val="6D131E03"/>
    <w:rsid w:val="6D144001"/>
    <w:rsid w:val="6D1A237D"/>
    <w:rsid w:val="6D1F7993"/>
    <w:rsid w:val="6D251D1D"/>
    <w:rsid w:val="6D26779F"/>
    <w:rsid w:val="6D2B74AA"/>
    <w:rsid w:val="6D3348B6"/>
    <w:rsid w:val="6D3A643F"/>
    <w:rsid w:val="6D3E4E45"/>
    <w:rsid w:val="6D415B5B"/>
    <w:rsid w:val="6D465AD5"/>
    <w:rsid w:val="6D4D2752"/>
    <w:rsid w:val="6D4F63E5"/>
    <w:rsid w:val="6D534DEB"/>
    <w:rsid w:val="6D57712D"/>
    <w:rsid w:val="6D5E3F18"/>
    <w:rsid w:val="6D5E7B5A"/>
    <w:rsid w:val="6D6020D5"/>
    <w:rsid w:val="6D61768E"/>
    <w:rsid w:val="6D64376B"/>
    <w:rsid w:val="6D645085"/>
    <w:rsid w:val="6D6D3796"/>
    <w:rsid w:val="6D6E1218"/>
    <w:rsid w:val="6D6F091A"/>
    <w:rsid w:val="6D6F0A50"/>
    <w:rsid w:val="6D71439B"/>
    <w:rsid w:val="6D74531F"/>
    <w:rsid w:val="6D7B4CAA"/>
    <w:rsid w:val="6D83593A"/>
    <w:rsid w:val="6D871DC2"/>
    <w:rsid w:val="6D8B4F45"/>
    <w:rsid w:val="6D8C14BB"/>
    <w:rsid w:val="6D97577B"/>
    <w:rsid w:val="6D9B2FE1"/>
    <w:rsid w:val="6D9B5CE3"/>
    <w:rsid w:val="6DA170E8"/>
    <w:rsid w:val="6DA325EB"/>
    <w:rsid w:val="6DA55AEF"/>
    <w:rsid w:val="6DA822F6"/>
    <w:rsid w:val="6DAA1F76"/>
    <w:rsid w:val="6DAB327B"/>
    <w:rsid w:val="6DAB79F8"/>
    <w:rsid w:val="6DB14A8F"/>
    <w:rsid w:val="6DB74B0F"/>
    <w:rsid w:val="6DBA548D"/>
    <w:rsid w:val="6DBC128D"/>
    <w:rsid w:val="6DC34D11"/>
    <w:rsid w:val="6DC70F1E"/>
    <w:rsid w:val="6DC710C7"/>
    <w:rsid w:val="6DCD426D"/>
    <w:rsid w:val="6DD30BBC"/>
    <w:rsid w:val="6DD46DD3"/>
    <w:rsid w:val="6DD540BF"/>
    <w:rsid w:val="6DE17ED2"/>
    <w:rsid w:val="6DE73EA1"/>
    <w:rsid w:val="6DF8036A"/>
    <w:rsid w:val="6DF862F7"/>
    <w:rsid w:val="6DFAFF3D"/>
    <w:rsid w:val="6DFC53C4"/>
    <w:rsid w:val="6DFF5FB6"/>
    <w:rsid w:val="6E0A6B18"/>
    <w:rsid w:val="6E0E1C9B"/>
    <w:rsid w:val="6E153270"/>
    <w:rsid w:val="6E1A1331"/>
    <w:rsid w:val="6E1B6DB2"/>
    <w:rsid w:val="6E2A15CB"/>
    <w:rsid w:val="6E2A27C9"/>
    <w:rsid w:val="6E2D2550"/>
    <w:rsid w:val="6E2E7FD1"/>
    <w:rsid w:val="6E34121C"/>
    <w:rsid w:val="6E34575E"/>
    <w:rsid w:val="6E3556C0"/>
    <w:rsid w:val="6E3E606D"/>
    <w:rsid w:val="6E3E7A59"/>
    <w:rsid w:val="6E401570"/>
    <w:rsid w:val="6E4269A5"/>
    <w:rsid w:val="6E4843FE"/>
    <w:rsid w:val="6E491E80"/>
    <w:rsid w:val="6E4D0886"/>
    <w:rsid w:val="6E505F87"/>
    <w:rsid w:val="6E522CAD"/>
    <w:rsid w:val="6E540211"/>
    <w:rsid w:val="6E5518BE"/>
    <w:rsid w:val="6E565636"/>
    <w:rsid w:val="6E580E15"/>
    <w:rsid w:val="6E587601"/>
    <w:rsid w:val="6E5D310B"/>
    <w:rsid w:val="6E5F44EB"/>
    <w:rsid w:val="6E605693"/>
    <w:rsid w:val="6E66012B"/>
    <w:rsid w:val="6E6933A5"/>
    <w:rsid w:val="6E6C58B8"/>
    <w:rsid w:val="6E6C7AB6"/>
    <w:rsid w:val="6E6E2FB9"/>
    <w:rsid w:val="6E791204"/>
    <w:rsid w:val="6E79576D"/>
    <w:rsid w:val="6E804558"/>
    <w:rsid w:val="6E831C73"/>
    <w:rsid w:val="6E84042E"/>
    <w:rsid w:val="6E866461"/>
    <w:rsid w:val="6E8973E6"/>
    <w:rsid w:val="6E8A3EFB"/>
    <w:rsid w:val="6E927B4E"/>
    <w:rsid w:val="6E930FFA"/>
    <w:rsid w:val="6EA56D16"/>
    <w:rsid w:val="6EA74418"/>
    <w:rsid w:val="6EA9791B"/>
    <w:rsid w:val="6EAE3DA2"/>
    <w:rsid w:val="6EB87F35"/>
    <w:rsid w:val="6EB92134"/>
    <w:rsid w:val="6EBE8FBF"/>
    <w:rsid w:val="6EBF6664"/>
    <w:rsid w:val="6EC12DC3"/>
    <w:rsid w:val="6EC3135F"/>
    <w:rsid w:val="6EC45F46"/>
    <w:rsid w:val="6ECA7E4F"/>
    <w:rsid w:val="6ECC76A7"/>
    <w:rsid w:val="6ED055DC"/>
    <w:rsid w:val="6EDA5EEB"/>
    <w:rsid w:val="6EDC5B3C"/>
    <w:rsid w:val="6EDD42F7"/>
    <w:rsid w:val="6EDE7B06"/>
    <w:rsid w:val="6EE175F6"/>
    <w:rsid w:val="6EE45C9F"/>
    <w:rsid w:val="6EF23592"/>
    <w:rsid w:val="6EF42168"/>
    <w:rsid w:val="6EF99E09"/>
    <w:rsid w:val="6EFA1CA3"/>
    <w:rsid w:val="6EFABD7D"/>
    <w:rsid w:val="6F046D30"/>
    <w:rsid w:val="6F091F0D"/>
    <w:rsid w:val="6F0A508E"/>
    <w:rsid w:val="6F0D763F"/>
    <w:rsid w:val="6F0E4548"/>
    <w:rsid w:val="6F1728B4"/>
    <w:rsid w:val="6F1C7C5A"/>
    <w:rsid w:val="6F260569"/>
    <w:rsid w:val="6F283A6C"/>
    <w:rsid w:val="6F2C1D99"/>
    <w:rsid w:val="6F2D20F2"/>
    <w:rsid w:val="6F2D6397"/>
    <w:rsid w:val="6F3068FA"/>
    <w:rsid w:val="6F339856"/>
    <w:rsid w:val="6F3426AC"/>
    <w:rsid w:val="6F352D82"/>
    <w:rsid w:val="6F3B1050"/>
    <w:rsid w:val="6F3C663E"/>
    <w:rsid w:val="6F3D018E"/>
    <w:rsid w:val="6F40431D"/>
    <w:rsid w:val="6F416B95"/>
    <w:rsid w:val="6F422098"/>
    <w:rsid w:val="6F425F9C"/>
    <w:rsid w:val="6F455D89"/>
    <w:rsid w:val="6F490CF7"/>
    <w:rsid w:val="6F4E75DB"/>
    <w:rsid w:val="6F532332"/>
    <w:rsid w:val="6F57636D"/>
    <w:rsid w:val="6F5953DE"/>
    <w:rsid w:val="6F5C4206"/>
    <w:rsid w:val="6F5E6055"/>
    <w:rsid w:val="6F5F57AA"/>
    <w:rsid w:val="6F655ACF"/>
    <w:rsid w:val="6F663551"/>
    <w:rsid w:val="6F6A57DA"/>
    <w:rsid w:val="6F6D2EDC"/>
    <w:rsid w:val="6F6D7C0D"/>
    <w:rsid w:val="6F6F60BE"/>
    <w:rsid w:val="6F7118E2"/>
    <w:rsid w:val="6F7A21F2"/>
    <w:rsid w:val="6F7A7FF3"/>
    <w:rsid w:val="6F7DE3D7"/>
    <w:rsid w:val="6F8040FB"/>
    <w:rsid w:val="6F822E81"/>
    <w:rsid w:val="6F842B01"/>
    <w:rsid w:val="6F93311C"/>
    <w:rsid w:val="6F96629E"/>
    <w:rsid w:val="6F9C3A2B"/>
    <w:rsid w:val="6F9DD780"/>
    <w:rsid w:val="6FA06BAE"/>
    <w:rsid w:val="6FA4741F"/>
    <w:rsid w:val="6FA974BD"/>
    <w:rsid w:val="6FAD3401"/>
    <w:rsid w:val="6FAE71C8"/>
    <w:rsid w:val="6FB60B29"/>
    <w:rsid w:val="6FB72056"/>
    <w:rsid w:val="6FB99BE7"/>
    <w:rsid w:val="6FBA2FDB"/>
    <w:rsid w:val="6FBE7AC6"/>
    <w:rsid w:val="6FC203E7"/>
    <w:rsid w:val="6FC85B74"/>
    <w:rsid w:val="6FCB457A"/>
    <w:rsid w:val="6FCB54A1"/>
    <w:rsid w:val="6FCBA52C"/>
    <w:rsid w:val="6FCD1928"/>
    <w:rsid w:val="6FCE54FF"/>
    <w:rsid w:val="6FD6290B"/>
    <w:rsid w:val="6FD74B0A"/>
    <w:rsid w:val="6FD76CEC"/>
    <w:rsid w:val="6FD92972"/>
    <w:rsid w:val="6FD93890"/>
    <w:rsid w:val="6FDB6D93"/>
    <w:rsid w:val="6FE442B3"/>
    <w:rsid w:val="6FE67322"/>
    <w:rsid w:val="6FE93B2A"/>
    <w:rsid w:val="6FE94180"/>
    <w:rsid w:val="6FEC0000"/>
    <w:rsid w:val="6FEC122C"/>
    <w:rsid w:val="6FED2530"/>
    <w:rsid w:val="6FEF5A34"/>
    <w:rsid w:val="6FEFEA7B"/>
    <w:rsid w:val="6FF1E816"/>
    <w:rsid w:val="6FF653BE"/>
    <w:rsid w:val="6FFF1194"/>
    <w:rsid w:val="6FFF1A33"/>
    <w:rsid w:val="6FFF964C"/>
    <w:rsid w:val="6FFFFFA0"/>
    <w:rsid w:val="7004359C"/>
    <w:rsid w:val="70090BB2"/>
    <w:rsid w:val="700965DD"/>
    <w:rsid w:val="700A6939"/>
    <w:rsid w:val="700E4C63"/>
    <w:rsid w:val="700F3CEF"/>
    <w:rsid w:val="70103248"/>
    <w:rsid w:val="70112662"/>
    <w:rsid w:val="70115BE8"/>
    <w:rsid w:val="70136849"/>
    <w:rsid w:val="702C5898"/>
    <w:rsid w:val="702D3015"/>
    <w:rsid w:val="702D331A"/>
    <w:rsid w:val="702D5518"/>
    <w:rsid w:val="703561A8"/>
    <w:rsid w:val="703A6DAC"/>
    <w:rsid w:val="703E1036"/>
    <w:rsid w:val="704241B9"/>
    <w:rsid w:val="70431C3A"/>
    <w:rsid w:val="70442F3F"/>
    <w:rsid w:val="704973C7"/>
    <w:rsid w:val="704D5DCD"/>
    <w:rsid w:val="70531ED5"/>
    <w:rsid w:val="705553D8"/>
    <w:rsid w:val="705A50E3"/>
    <w:rsid w:val="705F4C76"/>
    <w:rsid w:val="70646C24"/>
    <w:rsid w:val="70651B61"/>
    <w:rsid w:val="70653474"/>
    <w:rsid w:val="7067363D"/>
    <w:rsid w:val="706A1AFA"/>
    <w:rsid w:val="706A7644"/>
    <w:rsid w:val="706F1805"/>
    <w:rsid w:val="70701285"/>
    <w:rsid w:val="70711485"/>
    <w:rsid w:val="70726F06"/>
    <w:rsid w:val="7076338E"/>
    <w:rsid w:val="70792114"/>
    <w:rsid w:val="70845F27"/>
    <w:rsid w:val="708F09D4"/>
    <w:rsid w:val="70967F6C"/>
    <w:rsid w:val="70986E39"/>
    <w:rsid w:val="709A00CB"/>
    <w:rsid w:val="709E2354"/>
    <w:rsid w:val="70A132D9"/>
    <w:rsid w:val="70A64653"/>
    <w:rsid w:val="70A66401"/>
    <w:rsid w:val="70AE3D35"/>
    <w:rsid w:val="70AE52B6"/>
    <w:rsid w:val="70B544F8"/>
    <w:rsid w:val="70B71BF9"/>
    <w:rsid w:val="70B7547C"/>
    <w:rsid w:val="70BA00FF"/>
    <w:rsid w:val="70BB0F08"/>
    <w:rsid w:val="70BD199D"/>
    <w:rsid w:val="70BE4E07"/>
    <w:rsid w:val="70C35DB9"/>
    <w:rsid w:val="70D16026"/>
    <w:rsid w:val="70D511A9"/>
    <w:rsid w:val="70D59D42"/>
    <w:rsid w:val="70E417C4"/>
    <w:rsid w:val="70EC4652"/>
    <w:rsid w:val="70EC49AE"/>
    <w:rsid w:val="70F353BF"/>
    <w:rsid w:val="70F77B5D"/>
    <w:rsid w:val="70F95EE6"/>
    <w:rsid w:val="70F96E79"/>
    <w:rsid w:val="70FB13E9"/>
    <w:rsid w:val="70FC6E6A"/>
    <w:rsid w:val="71062FFD"/>
    <w:rsid w:val="710A3C02"/>
    <w:rsid w:val="710E128D"/>
    <w:rsid w:val="7118679B"/>
    <w:rsid w:val="711A233E"/>
    <w:rsid w:val="711D782F"/>
    <w:rsid w:val="71205DA5"/>
    <w:rsid w:val="712810C8"/>
    <w:rsid w:val="712C1BB8"/>
    <w:rsid w:val="71342848"/>
    <w:rsid w:val="71344A46"/>
    <w:rsid w:val="713759CB"/>
    <w:rsid w:val="713C56D6"/>
    <w:rsid w:val="713D3157"/>
    <w:rsid w:val="71400858"/>
    <w:rsid w:val="71435060"/>
    <w:rsid w:val="715440AF"/>
    <w:rsid w:val="7155690B"/>
    <w:rsid w:val="71622092"/>
    <w:rsid w:val="71662034"/>
    <w:rsid w:val="71687ABE"/>
    <w:rsid w:val="71687B5B"/>
    <w:rsid w:val="716B13F9"/>
    <w:rsid w:val="71731F70"/>
    <w:rsid w:val="71784236"/>
    <w:rsid w:val="717A59F1"/>
    <w:rsid w:val="717B51BA"/>
    <w:rsid w:val="717D3F41"/>
    <w:rsid w:val="717E613F"/>
    <w:rsid w:val="71873B84"/>
    <w:rsid w:val="718D0958"/>
    <w:rsid w:val="71A32AFB"/>
    <w:rsid w:val="71A51882"/>
    <w:rsid w:val="71AC120D"/>
    <w:rsid w:val="71B30B97"/>
    <w:rsid w:val="71C26FB3"/>
    <w:rsid w:val="71C70D25"/>
    <w:rsid w:val="71CE2F82"/>
    <w:rsid w:val="71CF59F3"/>
    <w:rsid w:val="71D15BC9"/>
    <w:rsid w:val="71D76A8E"/>
    <w:rsid w:val="71DE745D"/>
    <w:rsid w:val="71E41366"/>
    <w:rsid w:val="71E5266B"/>
    <w:rsid w:val="71E6486A"/>
    <w:rsid w:val="71E65E75"/>
    <w:rsid w:val="71E857EE"/>
    <w:rsid w:val="71E91071"/>
    <w:rsid w:val="71F0647E"/>
    <w:rsid w:val="71F35EA7"/>
    <w:rsid w:val="71F60387"/>
    <w:rsid w:val="71FC42B9"/>
    <w:rsid w:val="71FFCD29"/>
    <w:rsid w:val="7203254B"/>
    <w:rsid w:val="72064D9E"/>
    <w:rsid w:val="720E21AB"/>
    <w:rsid w:val="72210161"/>
    <w:rsid w:val="72216C4D"/>
    <w:rsid w:val="722C0C03"/>
    <w:rsid w:val="722E4900"/>
    <w:rsid w:val="722F17E6"/>
    <w:rsid w:val="72397CB4"/>
    <w:rsid w:val="723B55F8"/>
    <w:rsid w:val="723C307A"/>
    <w:rsid w:val="72434C03"/>
    <w:rsid w:val="72452762"/>
    <w:rsid w:val="72476E8D"/>
    <w:rsid w:val="72492390"/>
    <w:rsid w:val="724D5513"/>
    <w:rsid w:val="724F4299"/>
    <w:rsid w:val="72587203"/>
    <w:rsid w:val="72681446"/>
    <w:rsid w:val="726A4AC3"/>
    <w:rsid w:val="726C5DC7"/>
    <w:rsid w:val="726C7FC6"/>
    <w:rsid w:val="726F01A2"/>
    <w:rsid w:val="7278765C"/>
    <w:rsid w:val="728B087B"/>
    <w:rsid w:val="728D332F"/>
    <w:rsid w:val="72904D02"/>
    <w:rsid w:val="729A1756"/>
    <w:rsid w:val="729A3D44"/>
    <w:rsid w:val="729A5612"/>
    <w:rsid w:val="729A703F"/>
    <w:rsid w:val="72A95C2C"/>
    <w:rsid w:val="72AA66C1"/>
    <w:rsid w:val="72B229EC"/>
    <w:rsid w:val="72B77055"/>
    <w:rsid w:val="72B91A08"/>
    <w:rsid w:val="72C14257"/>
    <w:rsid w:val="72C54B45"/>
    <w:rsid w:val="72CD4B67"/>
    <w:rsid w:val="72D17CEA"/>
    <w:rsid w:val="72D6618C"/>
    <w:rsid w:val="72E15E16"/>
    <w:rsid w:val="72E75711"/>
    <w:rsid w:val="72ED2BA6"/>
    <w:rsid w:val="72F21524"/>
    <w:rsid w:val="72F65D2C"/>
    <w:rsid w:val="72FA21B3"/>
    <w:rsid w:val="72FC1E33"/>
    <w:rsid w:val="72FE5336"/>
    <w:rsid w:val="72FF629D"/>
    <w:rsid w:val="72FF663B"/>
    <w:rsid w:val="730275C0"/>
    <w:rsid w:val="730E64E0"/>
    <w:rsid w:val="73104006"/>
    <w:rsid w:val="73173CE2"/>
    <w:rsid w:val="73181763"/>
    <w:rsid w:val="73185EE0"/>
    <w:rsid w:val="731D5BEB"/>
    <w:rsid w:val="732032ED"/>
    <w:rsid w:val="732301DD"/>
    <w:rsid w:val="73310977"/>
    <w:rsid w:val="73311008"/>
    <w:rsid w:val="73353D6A"/>
    <w:rsid w:val="73401623"/>
    <w:rsid w:val="73404C46"/>
    <w:rsid w:val="735018BD"/>
    <w:rsid w:val="73534EFD"/>
    <w:rsid w:val="73636360"/>
    <w:rsid w:val="7364055E"/>
    <w:rsid w:val="736425A4"/>
    <w:rsid w:val="736D6C6F"/>
    <w:rsid w:val="7373700F"/>
    <w:rsid w:val="7375150F"/>
    <w:rsid w:val="7375627A"/>
    <w:rsid w:val="73760CF3"/>
    <w:rsid w:val="7378493E"/>
    <w:rsid w:val="73797DFD"/>
    <w:rsid w:val="737A056F"/>
    <w:rsid w:val="737B3A06"/>
    <w:rsid w:val="738121AA"/>
    <w:rsid w:val="73867281"/>
    <w:rsid w:val="73881A17"/>
    <w:rsid w:val="7388529A"/>
    <w:rsid w:val="739A51B5"/>
    <w:rsid w:val="739B2C36"/>
    <w:rsid w:val="739B4217"/>
    <w:rsid w:val="739C06B8"/>
    <w:rsid w:val="73A225C1"/>
    <w:rsid w:val="73A43546"/>
    <w:rsid w:val="73A6484A"/>
    <w:rsid w:val="73A65040"/>
    <w:rsid w:val="73AE37EF"/>
    <w:rsid w:val="73AF7C1F"/>
    <w:rsid w:val="73B64AE5"/>
    <w:rsid w:val="73B9644B"/>
    <w:rsid w:val="73C572FE"/>
    <w:rsid w:val="73C81A43"/>
    <w:rsid w:val="73C95D04"/>
    <w:rsid w:val="73CC4A8A"/>
    <w:rsid w:val="73D24415"/>
    <w:rsid w:val="73D5539A"/>
    <w:rsid w:val="73D93DA0"/>
    <w:rsid w:val="73DC038C"/>
    <w:rsid w:val="73DD27A6"/>
    <w:rsid w:val="73E26C2E"/>
    <w:rsid w:val="73E4432F"/>
    <w:rsid w:val="73EC4FBF"/>
    <w:rsid w:val="73EFCE90"/>
    <w:rsid w:val="73F1261D"/>
    <w:rsid w:val="73F2195D"/>
    <w:rsid w:val="73F7B7E9"/>
    <w:rsid w:val="74015E5E"/>
    <w:rsid w:val="74054864"/>
    <w:rsid w:val="74112DB1"/>
    <w:rsid w:val="741A4809"/>
    <w:rsid w:val="74220B87"/>
    <w:rsid w:val="743047AF"/>
    <w:rsid w:val="743447F0"/>
    <w:rsid w:val="743608B6"/>
    <w:rsid w:val="7438763D"/>
    <w:rsid w:val="7439338F"/>
    <w:rsid w:val="743F3744"/>
    <w:rsid w:val="74450ED1"/>
    <w:rsid w:val="744D04DB"/>
    <w:rsid w:val="7452064E"/>
    <w:rsid w:val="74581B18"/>
    <w:rsid w:val="745A1D70"/>
    <w:rsid w:val="745FA5D5"/>
    <w:rsid w:val="7461717C"/>
    <w:rsid w:val="746229FF"/>
    <w:rsid w:val="74640101"/>
    <w:rsid w:val="74674561"/>
    <w:rsid w:val="74674908"/>
    <w:rsid w:val="74694588"/>
    <w:rsid w:val="7469635C"/>
    <w:rsid w:val="74727416"/>
    <w:rsid w:val="747D4C59"/>
    <w:rsid w:val="748F53FE"/>
    <w:rsid w:val="74921549"/>
    <w:rsid w:val="74923DD8"/>
    <w:rsid w:val="749331CE"/>
    <w:rsid w:val="7499095B"/>
    <w:rsid w:val="749D155F"/>
    <w:rsid w:val="749D7040"/>
    <w:rsid w:val="74A024E4"/>
    <w:rsid w:val="74B46F86"/>
    <w:rsid w:val="74B66A46"/>
    <w:rsid w:val="74B9247B"/>
    <w:rsid w:val="74BB0B0F"/>
    <w:rsid w:val="74C62909"/>
    <w:rsid w:val="74C711E5"/>
    <w:rsid w:val="74C83FDE"/>
    <w:rsid w:val="74CF1255"/>
    <w:rsid w:val="74D20734"/>
    <w:rsid w:val="74D474BB"/>
    <w:rsid w:val="74D8263E"/>
    <w:rsid w:val="74E303A7"/>
    <w:rsid w:val="74F03568"/>
    <w:rsid w:val="74FE287D"/>
    <w:rsid w:val="74FE6101"/>
    <w:rsid w:val="750E45F8"/>
    <w:rsid w:val="750F0599"/>
    <w:rsid w:val="75110AE4"/>
    <w:rsid w:val="75171229"/>
    <w:rsid w:val="7519692A"/>
    <w:rsid w:val="7519703E"/>
    <w:rsid w:val="751D3D59"/>
    <w:rsid w:val="751F6635"/>
    <w:rsid w:val="75201490"/>
    <w:rsid w:val="75232716"/>
    <w:rsid w:val="75286F45"/>
    <w:rsid w:val="75301D77"/>
    <w:rsid w:val="75311DD3"/>
    <w:rsid w:val="753428FE"/>
    <w:rsid w:val="7536625B"/>
    <w:rsid w:val="75371D1E"/>
    <w:rsid w:val="753B0164"/>
    <w:rsid w:val="754D9EF7"/>
    <w:rsid w:val="755C1784"/>
    <w:rsid w:val="7563F562"/>
    <w:rsid w:val="75656DAA"/>
    <w:rsid w:val="756578D8"/>
    <w:rsid w:val="756957B0"/>
    <w:rsid w:val="756B2EB1"/>
    <w:rsid w:val="756C0933"/>
    <w:rsid w:val="756D63B5"/>
    <w:rsid w:val="756F0462"/>
    <w:rsid w:val="756F513B"/>
    <w:rsid w:val="756F9E45"/>
    <w:rsid w:val="75722F66"/>
    <w:rsid w:val="75737766"/>
    <w:rsid w:val="75795A4A"/>
    <w:rsid w:val="757A7C49"/>
    <w:rsid w:val="757D09AA"/>
    <w:rsid w:val="757D0BCD"/>
    <w:rsid w:val="75915B98"/>
    <w:rsid w:val="75A0590A"/>
    <w:rsid w:val="75A1363B"/>
    <w:rsid w:val="75A17B08"/>
    <w:rsid w:val="75AC4804"/>
    <w:rsid w:val="75B00123"/>
    <w:rsid w:val="75B275F6"/>
    <w:rsid w:val="75C42647"/>
    <w:rsid w:val="75CA4550"/>
    <w:rsid w:val="75DD1EEC"/>
    <w:rsid w:val="75DEC051"/>
    <w:rsid w:val="75DF0C72"/>
    <w:rsid w:val="75DFA1FE"/>
    <w:rsid w:val="75E64D79"/>
    <w:rsid w:val="75EC246C"/>
    <w:rsid w:val="75ED7F88"/>
    <w:rsid w:val="75EF5122"/>
    <w:rsid w:val="75F13397"/>
    <w:rsid w:val="75FB0CBB"/>
    <w:rsid w:val="75FE79D2"/>
    <w:rsid w:val="75FF1681"/>
    <w:rsid w:val="7603212B"/>
    <w:rsid w:val="76034EB0"/>
    <w:rsid w:val="76091AB6"/>
    <w:rsid w:val="760D04BC"/>
    <w:rsid w:val="761166AA"/>
    <w:rsid w:val="76124944"/>
    <w:rsid w:val="76164029"/>
    <w:rsid w:val="761A4B5D"/>
    <w:rsid w:val="762109B3"/>
    <w:rsid w:val="76214C4D"/>
    <w:rsid w:val="763151F9"/>
    <w:rsid w:val="7633E845"/>
    <w:rsid w:val="763444AF"/>
    <w:rsid w:val="763B5B08"/>
    <w:rsid w:val="76401F90"/>
    <w:rsid w:val="76415493"/>
    <w:rsid w:val="76427692"/>
    <w:rsid w:val="764F47A9"/>
    <w:rsid w:val="76524935"/>
    <w:rsid w:val="76530DD9"/>
    <w:rsid w:val="76540C31"/>
    <w:rsid w:val="765972B7"/>
    <w:rsid w:val="765A05BC"/>
    <w:rsid w:val="765B27BA"/>
    <w:rsid w:val="765F4A43"/>
    <w:rsid w:val="76637BC6"/>
    <w:rsid w:val="7666501E"/>
    <w:rsid w:val="76695353"/>
    <w:rsid w:val="766B59C7"/>
    <w:rsid w:val="766E17DB"/>
    <w:rsid w:val="766E39D9"/>
    <w:rsid w:val="7671275F"/>
    <w:rsid w:val="767174B1"/>
    <w:rsid w:val="76725C62"/>
    <w:rsid w:val="767955ED"/>
    <w:rsid w:val="767A34EE"/>
    <w:rsid w:val="7682047B"/>
    <w:rsid w:val="76833C76"/>
    <w:rsid w:val="76852DCA"/>
    <w:rsid w:val="76866E81"/>
    <w:rsid w:val="76970420"/>
    <w:rsid w:val="769B6E27"/>
    <w:rsid w:val="76A06A0E"/>
    <w:rsid w:val="76A154AD"/>
    <w:rsid w:val="76A21E81"/>
    <w:rsid w:val="76A553AD"/>
    <w:rsid w:val="76A72ED3"/>
    <w:rsid w:val="76AA163F"/>
    <w:rsid w:val="76AD83C6"/>
    <w:rsid w:val="76B03549"/>
    <w:rsid w:val="76B344CD"/>
    <w:rsid w:val="76B455F0"/>
    <w:rsid w:val="76B7B067"/>
    <w:rsid w:val="76BA6056"/>
    <w:rsid w:val="76BB91C5"/>
    <w:rsid w:val="76BC735B"/>
    <w:rsid w:val="76BF021D"/>
    <w:rsid w:val="76BF8645"/>
    <w:rsid w:val="76C137E3"/>
    <w:rsid w:val="76C57C6B"/>
    <w:rsid w:val="76C96671"/>
    <w:rsid w:val="76CB1B74"/>
    <w:rsid w:val="76D61837"/>
    <w:rsid w:val="76D91C13"/>
    <w:rsid w:val="76DB438D"/>
    <w:rsid w:val="76DFC99B"/>
    <w:rsid w:val="76E44C9C"/>
    <w:rsid w:val="76E84269"/>
    <w:rsid w:val="76F27835"/>
    <w:rsid w:val="76FB0145"/>
    <w:rsid w:val="76FBB018"/>
    <w:rsid w:val="76FD7DC5"/>
    <w:rsid w:val="770045CD"/>
    <w:rsid w:val="77027AD0"/>
    <w:rsid w:val="7709593C"/>
    <w:rsid w:val="770D5E61"/>
    <w:rsid w:val="770F3562"/>
    <w:rsid w:val="77137D6A"/>
    <w:rsid w:val="77163BB5"/>
    <w:rsid w:val="771E4AB6"/>
    <w:rsid w:val="772A1B8E"/>
    <w:rsid w:val="77425036"/>
    <w:rsid w:val="77453A3C"/>
    <w:rsid w:val="774E38E9"/>
    <w:rsid w:val="774F49CE"/>
    <w:rsid w:val="77536BB7"/>
    <w:rsid w:val="775F37AE"/>
    <w:rsid w:val="77602068"/>
    <w:rsid w:val="77630DEE"/>
    <w:rsid w:val="77632FEC"/>
    <w:rsid w:val="77690779"/>
    <w:rsid w:val="77712302"/>
    <w:rsid w:val="77727D83"/>
    <w:rsid w:val="7775678A"/>
    <w:rsid w:val="7778770E"/>
    <w:rsid w:val="777C1998"/>
    <w:rsid w:val="777C6115"/>
    <w:rsid w:val="77882D05"/>
    <w:rsid w:val="778A2F0E"/>
    <w:rsid w:val="778F7334"/>
    <w:rsid w:val="77933B3B"/>
    <w:rsid w:val="779671C0"/>
    <w:rsid w:val="7798281C"/>
    <w:rsid w:val="779F53D0"/>
    <w:rsid w:val="77A45FD4"/>
    <w:rsid w:val="77A6041A"/>
    <w:rsid w:val="77AC6C64"/>
    <w:rsid w:val="77AF0DF9"/>
    <w:rsid w:val="77AF3968"/>
    <w:rsid w:val="77B41AF2"/>
    <w:rsid w:val="77B77146"/>
    <w:rsid w:val="77C70B12"/>
    <w:rsid w:val="77C76C79"/>
    <w:rsid w:val="77C9D1A7"/>
    <w:rsid w:val="77CC7198"/>
    <w:rsid w:val="77CF362E"/>
    <w:rsid w:val="77D01422"/>
    <w:rsid w:val="77D1761F"/>
    <w:rsid w:val="77DA4BE2"/>
    <w:rsid w:val="77DA5EF6"/>
    <w:rsid w:val="77DC5234"/>
    <w:rsid w:val="77DDE8ED"/>
    <w:rsid w:val="77DF7F02"/>
    <w:rsid w:val="77DF9020"/>
    <w:rsid w:val="77E2133C"/>
    <w:rsid w:val="77E295BC"/>
    <w:rsid w:val="77E55B44"/>
    <w:rsid w:val="77E596A1"/>
    <w:rsid w:val="77F428DB"/>
    <w:rsid w:val="77F7370C"/>
    <w:rsid w:val="77F7D3B2"/>
    <w:rsid w:val="77F81853"/>
    <w:rsid w:val="77FC1EE6"/>
    <w:rsid w:val="77FF7361"/>
    <w:rsid w:val="78000AED"/>
    <w:rsid w:val="7801636E"/>
    <w:rsid w:val="78042B76"/>
    <w:rsid w:val="78046B5B"/>
    <w:rsid w:val="78054D74"/>
    <w:rsid w:val="7809377A"/>
    <w:rsid w:val="781150DF"/>
    <w:rsid w:val="781B279B"/>
    <w:rsid w:val="783B0AD1"/>
    <w:rsid w:val="783E61D3"/>
    <w:rsid w:val="783F3C54"/>
    <w:rsid w:val="784513E1"/>
    <w:rsid w:val="7845694F"/>
    <w:rsid w:val="78466E62"/>
    <w:rsid w:val="7847480A"/>
    <w:rsid w:val="784748E4"/>
    <w:rsid w:val="785051F3"/>
    <w:rsid w:val="78563879"/>
    <w:rsid w:val="78597C5C"/>
    <w:rsid w:val="785C7CED"/>
    <w:rsid w:val="78656092"/>
    <w:rsid w:val="78693EBB"/>
    <w:rsid w:val="786E1B39"/>
    <w:rsid w:val="7879264D"/>
    <w:rsid w:val="78805A60"/>
    <w:rsid w:val="78830EC5"/>
    <w:rsid w:val="788543C8"/>
    <w:rsid w:val="7888534D"/>
    <w:rsid w:val="788A40D3"/>
    <w:rsid w:val="788E755B"/>
    <w:rsid w:val="78993069"/>
    <w:rsid w:val="78995B8F"/>
    <w:rsid w:val="789A1AFF"/>
    <w:rsid w:val="789B436E"/>
    <w:rsid w:val="789E52F2"/>
    <w:rsid w:val="78A044B9"/>
    <w:rsid w:val="78A06277"/>
    <w:rsid w:val="78A2177A"/>
    <w:rsid w:val="78AA6B87"/>
    <w:rsid w:val="78AE558D"/>
    <w:rsid w:val="78AF520D"/>
    <w:rsid w:val="78B23F93"/>
    <w:rsid w:val="78B62999"/>
    <w:rsid w:val="78BA359E"/>
    <w:rsid w:val="78BB48A3"/>
    <w:rsid w:val="78BBF068"/>
    <w:rsid w:val="78BD7DA6"/>
    <w:rsid w:val="78D12489"/>
    <w:rsid w:val="78D6764B"/>
    <w:rsid w:val="78DA7590"/>
    <w:rsid w:val="78DC2751"/>
    <w:rsid w:val="78DEC5E2"/>
    <w:rsid w:val="78E34762"/>
    <w:rsid w:val="78E421E4"/>
    <w:rsid w:val="78E656E7"/>
    <w:rsid w:val="78EA1B6E"/>
    <w:rsid w:val="78EE0575"/>
    <w:rsid w:val="78F227FE"/>
    <w:rsid w:val="78F47C74"/>
    <w:rsid w:val="78F53783"/>
    <w:rsid w:val="78F73403"/>
    <w:rsid w:val="78F77E6D"/>
    <w:rsid w:val="78F80E84"/>
    <w:rsid w:val="78F96906"/>
    <w:rsid w:val="78FB1E09"/>
    <w:rsid w:val="78FE6611"/>
    <w:rsid w:val="78FF0DA4"/>
    <w:rsid w:val="78FF4092"/>
    <w:rsid w:val="79003D12"/>
    <w:rsid w:val="79042718"/>
    <w:rsid w:val="79096BA0"/>
    <w:rsid w:val="790E3028"/>
    <w:rsid w:val="790F43FB"/>
    <w:rsid w:val="79117830"/>
    <w:rsid w:val="7912643F"/>
    <w:rsid w:val="791F6B45"/>
    <w:rsid w:val="79252C4D"/>
    <w:rsid w:val="79291653"/>
    <w:rsid w:val="792C25D8"/>
    <w:rsid w:val="792D302C"/>
    <w:rsid w:val="79325627"/>
    <w:rsid w:val="79360969"/>
    <w:rsid w:val="793741EC"/>
    <w:rsid w:val="79386064"/>
    <w:rsid w:val="793B4DF1"/>
    <w:rsid w:val="793C2872"/>
    <w:rsid w:val="79444A09"/>
    <w:rsid w:val="79450F83"/>
    <w:rsid w:val="794514C8"/>
    <w:rsid w:val="7955121E"/>
    <w:rsid w:val="795A247F"/>
    <w:rsid w:val="79653A37"/>
    <w:rsid w:val="796C0501"/>
    <w:rsid w:val="796E3E01"/>
    <w:rsid w:val="7970564B"/>
    <w:rsid w:val="79707849"/>
    <w:rsid w:val="79722D4C"/>
    <w:rsid w:val="797265CF"/>
    <w:rsid w:val="79784C56"/>
    <w:rsid w:val="797B3FE8"/>
    <w:rsid w:val="797DDBFF"/>
    <w:rsid w:val="79870D9A"/>
    <w:rsid w:val="798D8FAB"/>
    <w:rsid w:val="79905B80"/>
    <w:rsid w:val="79913601"/>
    <w:rsid w:val="79936B04"/>
    <w:rsid w:val="799F2ECA"/>
    <w:rsid w:val="79A05E1A"/>
    <w:rsid w:val="79A3604D"/>
    <w:rsid w:val="79A93327"/>
    <w:rsid w:val="79B002F1"/>
    <w:rsid w:val="79B80F53"/>
    <w:rsid w:val="79BD0290"/>
    <w:rsid w:val="79BD450B"/>
    <w:rsid w:val="79BE53CA"/>
    <w:rsid w:val="79C472D3"/>
    <w:rsid w:val="79C51ADA"/>
    <w:rsid w:val="79CC7F63"/>
    <w:rsid w:val="79D31AEC"/>
    <w:rsid w:val="79D54FEF"/>
    <w:rsid w:val="79D60872"/>
    <w:rsid w:val="79DBDF0E"/>
    <w:rsid w:val="79DE7E7D"/>
    <w:rsid w:val="79EE0E19"/>
    <w:rsid w:val="79EF2D74"/>
    <w:rsid w:val="79F1109C"/>
    <w:rsid w:val="79F26B1E"/>
    <w:rsid w:val="79F458A4"/>
    <w:rsid w:val="79F57AA2"/>
    <w:rsid w:val="79F65524"/>
    <w:rsid w:val="79FB522F"/>
    <w:rsid w:val="79FB527C"/>
    <w:rsid w:val="79FC742D"/>
    <w:rsid w:val="79FF3026"/>
    <w:rsid w:val="7A002AAB"/>
    <w:rsid w:val="7A020420"/>
    <w:rsid w:val="7A022236"/>
    <w:rsid w:val="7A03263B"/>
    <w:rsid w:val="7A057D3D"/>
    <w:rsid w:val="7A071041"/>
    <w:rsid w:val="7A0C60AF"/>
    <w:rsid w:val="7A1712DC"/>
    <w:rsid w:val="7A195E96"/>
    <w:rsid w:val="7A1E6FD4"/>
    <w:rsid w:val="7A2250EE"/>
    <w:rsid w:val="7A2418D4"/>
    <w:rsid w:val="7A2E3636"/>
    <w:rsid w:val="7A3005B1"/>
    <w:rsid w:val="7A373D8F"/>
    <w:rsid w:val="7A412120"/>
    <w:rsid w:val="7A430EA6"/>
    <w:rsid w:val="7A4A42A1"/>
    <w:rsid w:val="7A4E39B4"/>
    <w:rsid w:val="7A5A025C"/>
    <w:rsid w:val="7A5A304A"/>
    <w:rsid w:val="7A5F5EC1"/>
    <w:rsid w:val="7A6314F3"/>
    <w:rsid w:val="7A6B2F64"/>
    <w:rsid w:val="7A6E3EE9"/>
    <w:rsid w:val="7A704E19"/>
    <w:rsid w:val="7A712C6F"/>
    <w:rsid w:val="7A7255A6"/>
    <w:rsid w:val="7A7C3B6E"/>
    <w:rsid w:val="7A7E1F85"/>
    <w:rsid w:val="7A8263B9"/>
    <w:rsid w:val="7A843E8E"/>
    <w:rsid w:val="7A851910"/>
    <w:rsid w:val="7A890316"/>
    <w:rsid w:val="7A8D23E0"/>
    <w:rsid w:val="7A8D259F"/>
    <w:rsid w:val="7A944128"/>
    <w:rsid w:val="7A9863B2"/>
    <w:rsid w:val="7A9E4A38"/>
    <w:rsid w:val="7AA36941"/>
    <w:rsid w:val="7AA443C3"/>
    <w:rsid w:val="7AAA4CC1"/>
    <w:rsid w:val="7AABB5E3"/>
    <w:rsid w:val="7AAC076B"/>
    <w:rsid w:val="7AB114DA"/>
    <w:rsid w:val="7ABB3FE8"/>
    <w:rsid w:val="7ABC0070"/>
    <w:rsid w:val="7ABC786B"/>
    <w:rsid w:val="7ABD61A0"/>
    <w:rsid w:val="7AC371F6"/>
    <w:rsid w:val="7AC41B09"/>
    <w:rsid w:val="7AC8587C"/>
    <w:rsid w:val="7ACD1D04"/>
    <w:rsid w:val="7AD1070A"/>
    <w:rsid w:val="7AD319CB"/>
    <w:rsid w:val="7AD83918"/>
    <w:rsid w:val="7ADF4BE2"/>
    <w:rsid w:val="7ADF76B6"/>
    <w:rsid w:val="7AE451AC"/>
    <w:rsid w:val="7AE91D0C"/>
    <w:rsid w:val="7AEF72AF"/>
    <w:rsid w:val="7AF244C2"/>
    <w:rsid w:val="7AF43248"/>
    <w:rsid w:val="7AF6674C"/>
    <w:rsid w:val="7AFF21C6"/>
    <w:rsid w:val="7B027FE0"/>
    <w:rsid w:val="7B046B46"/>
    <w:rsid w:val="7B063163"/>
    <w:rsid w:val="7B0669E6"/>
    <w:rsid w:val="7B073F40"/>
    <w:rsid w:val="7B09796A"/>
    <w:rsid w:val="7B0F1874"/>
    <w:rsid w:val="7B1072F5"/>
    <w:rsid w:val="7B1C5306"/>
    <w:rsid w:val="7B203D0C"/>
    <w:rsid w:val="7B227210"/>
    <w:rsid w:val="7B245F96"/>
    <w:rsid w:val="7B28499C"/>
    <w:rsid w:val="7B2E2C4E"/>
    <w:rsid w:val="7B2F430E"/>
    <w:rsid w:val="7B2F6525"/>
    <w:rsid w:val="7B35042F"/>
    <w:rsid w:val="7B3A48B6"/>
    <w:rsid w:val="7B517D5F"/>
    <w:rsid w:val="7B5E364A"/>
    <w:rsid w:val="7B5E7074"/>
    <w:rsid w:val="7B60B64F"/>
    <w:rsid w:val="7B62387C"/>
    <w:rsid w:val="7B62843E"/>
    <w:rsid w:val="7B6312FE"/>
    <w:rsid w:val="7B667D04"/>
    <w:rsid w:val="7B6B418C"/>
    <w:rsid w:val="7B6C1C0D"/>
    <w:rsid w:val="7B774D0B"/>
    <w:rsid w:val="7B777748"/>
    <w:rsid w:val="7B7F0166"/>
    <w:rsid w:val="7B80502B"/>
    <w:rsid w:val="7B8F2D1A"/>
    <w:rsid w:val="7B8FB025"/>
    <w:rsid w:val="7B923A44"/>
    <w:rsid w:val="7B95754E"/>
    <w:rsid w:val="7B974C50"/>
    <w:rsid w:val="7B9854E0"/>
    <w:rsid w:val="7B9A1458"/>
    <w:rsid w:val="7B9C39B8"/>
    <w:rsid w:val="7B9EBB5A"/>
    <w:rsid w:val="7BA577E9"/>
    <w:rsid w:val="7BAC6E32"/>
    <w:rsid w:val="7BAD2677"/>
    <w:rsid w:val="7BB42002"/>
    <w:rsid w:val="7BBC2C91"/>
    <w:rsid w:val="7BBE2911"/>
    <w:rsid w:val="7BCC76A8"/>
    <w:rsid w:val="7BD36B37"/>
    <w:rsid w:val="7BD38675"/>
    <w:rsid w:val="7BD52290"/>
    <w:rsid w:val="7BD5403F"/>
    <w:rsid w:val="7BD858DD"/>
    <w:rsid w:val="7BDA7B3A"/>
    <w:rsid w:val="7BDBFA66"/>
    <w:rsid w:val="7BE0414B"/>
    <w:rsid w:val="7BE2764E"/>
    <w:rsid w:val="7BE42B51"/>
    <w:rsid w:val="7BE969F1"/>
    <w:rsid w:val="7BEC08A5"/>
    <w:rsid w:val="7BEC98C3"/>
    <w:rsid w:val="7BED93FF"/>
    <w:rsid w:val="7BEDF55F"/>
    <w:rsid w:val="7BEE1BB0"/>
    <w:rsid w:val="7BF23691"/>
    <w:rsid w:val="7BF817F1"/>
    <w:rsid w:val="7BFB04AD"/>
    <w:rsid w:val="7BFDDF2A"/>
    <w:rsid w:val="7BFE64FC"/>
    <w:rsid w:val="7BFF1BCA"/>
    <w:rsid w:val="7BFF66D5"/>
    <w:rsid w:val="7C00467F"/>
    <w:rsid w:val="7C062D05"/>
    <w:rsid w:val="7C090879"/>
    <w:rsid w:val="7C106E98"/>
    <w:rsid w:val="7C131926"/>
    <w:rsid w:val="7C1742A4"/>
    <w:rsid w:val="7C1C072C"/>
    <w:rsid w:val="7C31632B"/>
    <w:rsid w:val="7C3A35C2"/>
    <w:rsid w:val="7C401BE6"/>
    <w:rsid w:val="7C431DAC"/>
    <w:rsid w:val="7C4C6D4F"/>
    <w:rsid w:val="7C4F7C82"/>
    <w:rsid w:val="7C57180B"/>
    <w:rsid w:val="7C590591"/>
    <w:rsid w:val="7C5A6013"/>
    <w:rsid w:val="7C5CEAD8"/>
    <w:rsid w:val="7C6543A4"/>
    <w:rsid w:val="7C696B15"/>
    <w:rsid w:val="7C6E394B"/>
    <w:rsid w:val="7C6F2735"/>
    <w:rsid w:val="7C6FE4D1"/>
    <w:rsid w:val="7C7E185D"/>
    <w:rsid w:val="7C8040AE"/>
    <w:rsid w:val="7C8932DF"/>
    <w:rsid w:val="7C9219F0"/>
    <w:rsid w:val="7C9619C8"/>
    <w:rsid w:val="7C9755A2"/>
    <w:rsid w:val="7C975E78"/>
    <w:rsid w:val="7C976E5F"/>
    <w:rsid w:val="7C99137B"/>
    <w:rsid w:val="7C9C22FF"/>
    <w:rsid w:val="7C9D1F7F"/>
    <w:rsid w:val="7CA52C0F"/>
    <w:rsid w:val="7CA7686B"/>
    <w:rsid w:val="7CAD0B17"/>
    <w:rsid w:val="7CAE78FD"/>
    <w:rsid w:val="7CB41BA4"/>
    <w:rsid w:val="7CB41EA6"/>
    <w:rsid w:val="7CB62EA9"/>
    <w:rsid w:val="7CB9570E"/>
    <w:rsid w:val="7CBA3AAE"/>
    <w:rsid w:val="7CBB5010"/>
    <w:rsid w:val="7CBE24B4"/>
    <w:rsid w:val="7CBF37B9"/>
    <w:rsid w:val="7CBF3FFE"/>
    <w:rsid w:val="7CC16CBC"/>
    <w:rsid w:val="7CCE0550"/>
    <w:rsid w:val="7CD94362"/>
    <w:rsid w:val="7CDB7433"/>
    <w:rsid w:val="7CDF1420"/>
    <w:rsid w:val="7CE35489"/>
    <w:rsid w:val="7CE50175"/>
    <w:rsid w:val="7CEE0D62"/>
    <w:rsid w:val="7CEF4308"/>
    <w:rsid w:val="7CF1528D"/>
    <w:rsid w:val="7CF84C17"/>
    <w:rsid w:val="7CFD56A4"/>
    <w:rsid w:val="7CFFA2BA"/>
    <w:rsid w:val="7D021025"/>
    <w:rsid w:val="7D04348A"/>
    <w:rsid w:val="7D13EA29"/>
    <w:rsid w:val="7D163638"/>
    <w:rsid w:val="7D1A4DCC"/>
    <w:rsid w:val="7D1FA984"/>
    <w:rsid w:val="7D21353D"/>
    <w:rsid w:val="7D240F5F"/>
    <w:rsid w:val="7D320274"/>
    <w:rsid w:val="7D3C0CBC"/>
    <w:rsid w:val="7D3FDB25"/>
    <w:rsid w:val="7D422894"/>
    <w:rsid w:val="7D43322A"/>
    <w:rsid w:val="7D433D9C"/>
    <w:rsid w:val="7D4A23FE"/>
    <w:rsid w:val="7D4EDAAB"/>
    <w:rsid w:val="7D4F1DA3"/>
    <w:rsid w:val="7D4F7263"/>
    <w:rsid w:val="7D580EAF"/>
    <w:rsid w:val="7D6531A0"/>
    <w:rsid w:val="7D6B38D1"/>
    <w:rsid w:val="7D741FE3"/>
    <w:rsid w:val="7D785165"/>
    <w:rsid w:val="7D796BB8"/>
    <w:rsid w:val="7D817FF3"/>
    <w:rsid w:val="7D836D7A"/>
    <w:rsid w:val="7D8447FB"/>
    <w:rsid w:val="7D8A0903"/>
    <w:rsid w:val="7D8F021D"/>
    <w:rsid w:val="7D9046C1"/>
    <w:rsid w:val="7D9348E9"/>
    <w:rsid w:val="7D9A1C38"/>
    <w:rsid w:val="7D9B661F"/>
    <w:rsid w:val="7DA5582E"/>
    <w:rsid w:val="7DA911B8"/>
    <w:rsid w:val="7DB704CD"/>
    <w:rsid w:val="7DBB7100"/>
    <w:rsid w:val="7DC1685E"/>
    <w:rsid w:val="7DC4436B"/>
    <w:rsid w:val="7DC44CCF"/>
    <w:rsid w:val="7DC73FEB"/>
    <w:rsid w:val="7DD37DFE"/>
    <w:rsid w:val="7DD672CD"/>
    <w:rsid w:val="7DD91D07"/>
    <w:rsid w:val="7DDB6D9F"/>
    <w:rsid w:val="7DDC070D"/>
    <w:rsid w:val="7DDD290B"/>
    <w:rsid w:val="7DE3411A"/>
    <w:rsid w:val="7DE5359B"/>
    <w:rsid w:val="7DE57D18"/>
    <w:rsid w:val="7DE7BDD7"/>
    <w:rsid w:val="7DE844FD"/>
    <w:rsid w:val="7DE91FA1"/>
    <w:rsid w:val="7DEA41A0"/>
    <w:rsid w:val="7DEA47A5"/>
    <w:rsid w:val="7DEC5124"/>
    <w:rsid w:val="7DEF107F"/>
    <w:rsid w:val="7DF2702E"/>
    <w:rsid w:val="7DF734B5"/>
    <w:rsid w:val="7DF7CEB7"/>
    <w:rsid w:val="7DFB2DEF"/>
    <w:rsid w:val="7DFBE8C1"/>
    <w:rsid w:val="7DFE66C3"/>
    <w:rsid w:val="7DFF247B"/>
    <w:rsid w:val="7DFF6E85"/>
    <w:rsid w:val="7DFFC8C9"/>
    <w:rsid w:val="7E0272C8"/>
    <w:rsid w:val="7E040796"/>
    <w:rsid w:val="7E071551"/>
    <w:rsid w:val="7E086FD3"/>
    <w:rsid w:val="7E094A54"/>
    <w:rsid w:val="7E244E09"/>
    <w:rsid w:val="7E261E06"/>
    <w:rsid w:val="7E2B6198"/>
    <w:rsid w:val="7E2E7F6F"/>
    <w:rsid w:val="7E2EADB0"/>
    <w:rsid w:val="7E2F2716"/>
    <w:rsid w:val="7E325778"/>
    <w:rsid w:val="7E33111C"/>
    <w:rsid w:val="7E351BA5"/>
    <w:rsid w:val="7E377B22"/>
    <w:rsid w:val="7E381D20"/>
    <w:rsid w:val="7E3B1136"/>
    <w:rsid w:val="7E3F712D"/>
    <w:rsid w:val="7E4548B9"/>
    <w:rsid w:val="7E4B4294"/>
    <w:rsid w:val="7E4C610E"/>
    <w:rsid w:val="7E5106CC"/>
    <w:rsid w:val="7E5D66DD"/>
    <w:rsid w:val="7E5F5463"/>
    <w:rsid w:val="7E646068"/>
    <w:rsid w:val="7E6B59F3"/>
    <w:rsid w:val="7E6E21FA"/>
    <w:rsid w:val="7E7056FE"/>
    <w:rsid w:val="7E708430"/>
    <w:rsid w:val="7E73471C"/>
    <w:rsid w:val="7E736682"/>
    <w:rsid w:val="7E775881"/>
    <w:rsid w:val="7E7FC16F"/>
    <w:rsid w:val="7E837C03"/>
    <w:rsid w:val="7E870BA6"/>
    <w:rsid w:val="7E8B17AA"/>
    <w:rsid w:val="7E8C502E"/>
    <w:rsid w:val="7E8E0A46"/>
    <w:rsid w:val="7E8F01B1"/>
    <w:rsid w:val="7E921135"/>
    <w:rsid w:val="7E936CFC"/>
    <w:rsid w:val="7E977CD1"/>
    <w:rsid w:val="7E98303F"/>
    <w:rsid w:val="7E9FB468"/>
    <w:rsid w:val="7EA2394E"/>
    <w:rsid w:val="7EA67F14"/>
    <w:rsid w:val="7EA76A0F"/>
    <w:rsid w:val="7EB738F3"/>
    <w:rsid w:val="7EB74F7B"/>
    <w:rsid w:val="7EBB22FA"/>
    <w:rsid w:val="7EBB74DF"/>
    <w:rsid w:val="7EBF0D00"/>
    <w:rsid w:val="7EBF4357"/>
    <w:rsid w:val="7EC7030B"/>
    <w:rsid w:val="7ECBAA92"/>
    <w:rsid w:val="7ECE2D78"/>
    <w:rsid w:val="7ED06A1C"/>
    <w:rsid w:val="7ED272AF"/>
    <w:rsid w:val="7ED55219"/>
    <w:rsid w:val="7ED93924"/>
    <w:rsid w:val="7EDA196C"/>
    <w:rsid w:val="7EDC56E4"/>
    <w:rsid w:val="7EE14738"/>
    <w:rsid w:val="7EEB128A"/>
    <w:rsid w:val="7EEB1545"/>
    <w:rsid w:val="7EEFC4D7"/>
    <w:rsid w:val="7EF317D2"/>
    <w:rsid w:val="7EF42A2E"/>
    <w:rsid w:val="7EF66862"/>
    <w:rsid w:val="7EF736ED"/>
    <w:rsid w:val="7EF8435D"/>
    <w:rsid w:val="7EFB5883"/>
    <w:rsid w:val="7EFE2453"/>
    <w:rsid w:val="7EFF11E3"/>
    <w:rsid w:val="7EFF25B8"/>
    <w:rsid w:val="7EFF36A7"/>
    <w:rsid w:val="7EFFC728"/>
    <w:rsid w:val="7F04016F"/>
    <w:rsid w:val="7F065B5B"/>
    <w:rsid w:val="7F0D3AEF"/>
    <w:rsid w:val="7F1A58FA"/>
    <w:rsid w:val="7F1C27E5"/>
    <w:rsid w:val="7F1D3298"/>
    <w:rsid w:val="7F1D6B1B"/>
    <w:rsid w:val="7F1E459D"/>
    <w:rsid w:val="7F1FE5D1"/>
    <w:rsid w:val="7F22771F"/>
    <w:rsid w:val="7F2406A4"/>
    <w:rsid w:val="7F242C23"/>
    <w:rsid w:val="7F243F59"/>
    <w:rsid w:val="7F2F2545"/>
    <w:rsid w:val="7F2F3472"/>
    <w:rsid w:val="7F3127BE"/>
    <w:rsid w:val="7F3217A8"/>
    <w:rsid w:val="7F3379FA"/>
    <w:rsid w:val="7F3541C2"/>
    <w:rsid w:val="7F3B079D"/>
    <w:rsid w:val="7F3FB314"/>
    <w:rsid w:val="7F403EC5"/>
    <w:rsid w:val="7F415C4F"/>
    <w:rsid w:val="7F4925BF"/>
    <w:rsid w:val="7F4F3593"/>
    <w:rsid w:val="7F544A77"/>
    <w:rsid w:val="7F572178"/>
    <w:rsid w:val="7F5F2E08"/>
    <w:rsid w:val="7F675C96"/>
    <w:rsid w:val="7F6A7194"/>
    <w:rsid w:val="7F6AAD38"/>
    <w:rsid w:val="7F6C211D"/>
    <w:rsid w:val="7F6F0FAE"/>
    <w:rsid w:val="7F700B24"/>
    <w:rsid w:val="7F7165A5"/>
    <w:rsid w:val="7F77395D"/>
    <w:rsid w:val="7F774D69"/>
    <w:rsid w:val="7F7B314F"/>
    <w:rsid w:val="7F7B63F4"/>
    <w:rsid w:val="7F7E6BD5"/>
    <w:rsid w:val="7F7F333C"/>
    <w:rsid w:val="7F7FE62C"/>
    <w:rsid w:val="7F800DBE"/>
    <w:rsid w:val="7F832E74"/>
    <w:rsid w:val="7F867444"/>
    <w:rsid w:val="7F8861CA"/>
    <w:rsid w:val="7F8FC6D7"/>
    <w:rsid w:val="7F93455B"/>
    <w:rsid w:val="7F964BC8"/>
    <w:rsid w:val="7F97F680"/>
    <w:rsid w:val="7F997149"/>
    <w:rsid w:val="7F9A2241"/>
    <w:rsid w:val="7F9F7A59"/>
    <w:rsid w:val="7F9FF8E4"/>
    <w:rsid w:val="7FA20752"/>
    <w:rsid w:val="7FA5388C"/>
    <w:rsid w:val="7FA6577A"/>
    <w:rsid w:val="7FA65FDA"/>
    <w:rsid w:val="7FA966FF"/>
    <w:rsid w:val="7FAA0A2E"/>
    <w:rsid w:val="7FAC7684"/>
    <w:rsid w:val="7FAD08B8"/>
    <w:rsid w:val="7FB7BF40"/>
    <w:rsid w:val="7FB80F18"/>
    <w:rsid w:val="7FBA8F6A"/>
    <w:rsid w:val="7FBD6332"/>
    <w:rsid w:val="7FBE01F8"/>
    <w:rsid w:val="7FBE65A8"/>
    <w:rsid w:val="7FBF128D"/>
    <w:rsid w:val="7FBF58B2"/>
    <w:rsid w:val="7FC63AB1"/>
    <w:rsid w:val="7FCB024A"/>
    <w:rsid w:val="7FCF827F"/>
    <w:rsid w:val="7FD14040"/>
    <w:rsid w:val="7FD25AF0"/>
    <w:rsid w:val="7FD7D7F9"/>
    <w:rsid w:val="7FD9FAF1"/>
    <w:rsid w:val="7FDBBDA8"/>
    <w:rsid w:val="7FDF08ED"/>
    <w:rsid w:val="7FDFDE02"/>
    <w:rsid w:val="7FE3454A"/>
    <w:rsid w:val="7FE4B27D"/>
    <w:rsid w:val="7FE5CD68"/>
    <w:rsid w:val="7FEAE6D0"/>
    <w:rsid w:val="7FEE7657"/>
    <w:rsid w:val="7FEF034E"/>
    <w:rsid w:val="7FEF2BCA"/>
    <w:rsid w:val="7FEFA20E"/>
    <w:rsid w:val="7FEFB552"/>
    <w:rsid w:val="7FF12376"/>
    <w:rsid w:val="7FF17667"/>
    <w:rsid w:val="7FF5DBAC"/>
    <w:rsid w:val="7FF60915"/>
    <w:rsid w:val="7FF667AF"/>
    <w:rsid w:val="7FF6FDA9"/>
    <w:rsid w:val="7FF700CB"/>
    <w:rsid w:val="7FF7EDD9"/>
    <w:rsid w:val="7FF91981"/>
    <w:rsid w:val="7FFB5920"/>
    <w:rsid w:val="7FFC2906"/>
    <w:rsid w:val="7FFD75DD"/>
    <w:rsid w:val="7FFDA20E"/>
    <w:rsid w:val="7FFE3172"/>
    <w:rsid w:val="7FFE7571"/>
    <w:rsid w:val="7FFE852C"/>
    <w:rsid w:val="7FFF3A5F"/>
    <w:rsid w:val="7FFF67E3"/>
    <w:rsid w:val="7FFFB6CB"/>
    <w:rsid w:val="7FFFD7BF"/>
    <w:rsid w:val="7FFFDFFC"/>
    <w:rsid w:val="805A694E"/>
    <w:rsid w:val="8FBDFC81"/>
    <w:rsid w:val="8FFFDAC4"/>
    <w:rsid w:val="91EDB408"/>
    <w:rsid w:val="939F0D7D"/>
    <w:rsid w:val="95FF067F"/>
    <w:rsid w:val="96BEBB2D"/>
    <w:rsid w:val="976E6B4D"/>
    <w:rsid w:val="977DC594"/>
    <w:rsid w:val="97D149BB"/>
    <w:rsid w:val="97F93131"/>
    <w:rsid w:val="97FD7073"/>
    <w:rsid w:val="99BFFA5F"/>
    <w:rsid w:val="9BFF06AA"/>
    <w:rsid w:val="9BFF39A9"/>
    <w:rsid w:val="9C75AD87"/>
    <w:rsid w:val="9C7E31CD"/>
    <w:rsid w:val="9DFC07AF"/>
    <w:rsid w:val="9DFFE243"/>
    <w:rsid w:val="9F395386"/>
    <w:rsid w:val="9F3DE761"/>
    <w:rsid w:val="9F6F87DC"/>
    <w:rsid w:val="9F7BC1FC"/>
    <w:rsid w:val="9FADCB79"/>
    <w:rsid w:val="9FCFD5D5"/>
    <w:rsid w:val="9FD7FD50"/>
    <w:rsid w:val="9FDF2AB4"/>
    <w:rsid w:val="9FEF6411"/>
    <w:rsid w:val="9FFFF826"/>
    <w:rsid w:val="A3958FA9"/>
    <w:rsid w:val="A77733FB"/>
    <w:rsid w:val="A777F5CE"/>
    <w:rsid w:val="A77FF744"/>
    <w:rsid w:val="A79FD199"/>
    <w:rsid w:val="A7DDB79D"/>
    <w:rsid w:val="A97D35D6"/>
    <w:rsid w:val="A9FAD545"/>
    <w:rsid w:val="ABFFE5A8"/>
    <w:rsid w:val="ACFFD078"/>
    <w:rsid w:val="AE967F0B"/>
    <w:rsid w:val="AEE338DE"/>
    <w:rsid w:val="AF3F798F"/>
    <w:rsid w:val="AFA939BD"/>
    <w:rsid w:val="AFEC02A9"/>
    <w:rsid w:val="AFFF50FB"/>
    <w:rsid w:val="B1EC2EB2"/>
    <w:rsid w:val="B2FF3DF1"/>
    <w:rsid w:val="B3FE2FFD"/>
    <w:rsid w:val="B3FFA2BF"/>
    <w:rsid w:val="B5679D98"/>
    <w:rsid w:val="B57BE002"/>
    <w:rsid w:val="B5D26231"/>
    <w:rsid w:val="B67BA741"/>
    <w:rsid w:val="B67DACC8"/>
    <w:rsid w:val="B6BC4472"/>
    <w:rsid w:val="B6FD1A3D"/>
    <w:rsid w:val="B7FF7471"/>
    <w:rsid w:val="B7FFEA6D"/>
    <w:rsid w:val="BA4F5A94"/>
    <w:rsid w:val="BB6716B0"/>
    <w:rsid w:val="BB775BCF"/>
    <w:rsid w:val="BBB73992"/>
    <w:rsid w:val="BBDF5D46"/>
    <w:rsid w:val="BBEED3C7"/>
    <w:rsid w:val="BBFF094D"/>
    <w:rsid w:val="BCDF2B8E"/>
    <w:rsid w:val="BCF676F4"/>
    <w:rsid w:val="BCFB3B5A"/>
    <w:rsid w:val="BD47FDF4"/>
    <w:rsid w:val="BD77910C"/>
    <w:rsid w:val="BD77B592"/>
    <w:rsid w:val="BD7FA1F8"/>
    <w:rsid w:val="BDABCF25"/>
    <w:rsid w:val="BDF60F07"/>
    <w:rsid w:val="BDFF0CB6"/>
    <w:rsid w:val="BED1FDD5"/>
    <w:rsid w:val="BEEDDCA0"/>
    <w:rsid w:val="BEFE7E5B"/>
    <w:rsid w:val="BF6F4B55"/>
    <w:rsid w:val="BF760341"/>
    <w:rsid w:val="BFB6EF70"/>
    <w:rsid w:val="BFBD0B48"/>
    <w:rsid w:val="BFD00785"/>
    <w:rsid w:val="BFDF4C5D"/>
    <w:rsid w:val="BFDF848E"/>
    <w:rsid w:val="BFDFC7A7"/>
    <w:rsid w:val="BFF1AF7E"/>
    <w:rsid w:val="BFF7C2DA"/>
    <w:rsid w:val="BFFAD1AC"/>
    <w:rsid w:val="BFFADD09"/>
    <w:rsid w:val="BFFB9511"/>
    <w:rsid w:val="C3FD8C08"/>
    <w:rsid w:val="C4FDB420"/>
    <w:rsid w:val="C5DD27A5"/>
    <w:rsid w:val="C5EF8028"/>
    <w:rsid w:val="C5EFD956"/>
    <w:rsid w:val="C63ECA00"/>
    <w:rsid w:val="C7FFEE63"/>
    <w:rsid w:val="CADB9DD4"/>
    <w:rsid w:val="CEBFFE1E"/>
    <w:rsid w:val="CEDB7968"/>
    <w:rsid w:val="CEF740D6"/>
    <w:rsid w:val="CF3EEDC2"/>
    <w:rsid w:val="CF7D74D3"/>
    <w:rsid w:val="CF7EDA8D"/>
    <w:rsid w:val="CFF6DE7B"/>
    <w:rsid w:val="CFF9567B"/>
    <w:rsid w:val="D0EFD297"/>
    <w:rsid w:val="D2BA45B5"/>
    <w:rsid w:val="D376F87F"/>
    <w:rsid w:val="D3BF125C"/>
    <w:rsid w:val="D5D3098C"/>
    <w:rsid w:val="D6DA17DD"/>
    <w:rsid w:val="D6FE3034"/>
    <w:rsid w:val="D71BAD35"/>
    <w:rsid w:val="D72F525E"/>
    <w:rsid w:val="D77C416E"/>
    <w:rsid w:val="D77D6BDA"/>
    <w:rsid w:val="D77F69F7"/>
    <w:rsid w:val="D7A1E383"/>
    <w:rsid w:val="D7AFE13D"/>
    <w:rsid w:val="D7B484AA"/>
    <w:rsid w:val="D7DFE200"/>
    <w:rsid w:val="D7F7687F"/>
    <w:rsid w:val="D7FB2D01"/>
    <w:rsid w:val="D7FB3D0B"/>
    <w:rsid w:val="D7FE2946"/>
    <w:rsid w:val="D7FF693E"/>
    <w:rsid w:val="D8DE9AC0"/>
    <w:rsid w:val="D8FF0E58"/>
    <w:rsid w:val="DACB3038"/>
    <w:rsid w:val="DAEFE785"/>
    <w:rsid w:val="DAFEBCBC"/>
    <w:rsid w:val="DB3799DE"/>
    <w:rsid w:val="DB7E592A"/>
    <w:rsid w:val="DB7F9166"/>
    <w:rsid w:val="DB9B0C5D"/>
    <w:rsid w:val="DBB73D04"/>
    <w:rsid w:val="DBC3C9F7"/>
    <w:rsid w:val="DBDEB8D9"/>
    <w:rsid w:val="DBF1F1BD"/>
    <w:rsid w:val="DBF787DD"/>
    <w:rsid w:val="DBFF5D2A"/>
    <w:rsid w:val="DBFFB7D0"/>
    <w:rsid w:val="DCBFA995"/>
    <w:rsid w:val="DCFEB14E"/>
    <w:rsid w:val="DD2E148A"/>
    <w:rsid w:val="DD5DBB97"/>
    <w:rsid w:val="DD748B1A"/>
    <w:rsid w:val="DD7F696E"/>
    <w:rsid w:val="DDB5B4C3"/>
    <w:rsid w:val="DDDF1774"/>
    <w:rsid w:val="DE7FE5CC"/>
    <w:rsid w:val="DEB99841"/>
    <w:rsid w:val="DEDDE32D"/>
    <w:rsid w:val="DEFDE3D5"/>
    <w:rsid w:val="DF5DE886"/>
    <w:rsid w:val="DF7E2DF2"/>
    <w:rsid w:val="DF7F9A0D"/>
    <w:rsid w:val="DF7FA3B1"/>
    <w:rsid w:val="DF9D687B"/>
    <w:rsid w:val="DFB74FB8"/>
    <w:rsid w:val="DFB97ED7"/>
    <w:rsid w:val="DFBD0D8D"/>
    <w:rsid w:val="DFBE7387"/>
    <w:rsid w:val="DFBFF738"/>
    <w:rsid w:val="DFC66326"/>
    <w:rsid w:val="DFDB3DC7"/>
    <w:rsid w:val="DFDF9F70"/>
    <w:rsid w:val="DFFC1FF0"/>
    <w:rsid w:val="E1FDE228"/>
    <w:rsid w:val="E3D6F8BE"/>
    <w:rsid w:val="E3DF443C"/>
    <w:rsid w:val="E3F38C25"/>
    <w:rsid w:val="E3F82E26"/>
    <w:rsid w:val="E57F637E"/>
    <w:rsid w:val="E63E361A"/>
    <w:rsid w:val="E67F4729"/>
    <w:rsid w:val="E73FDEE8"/>
    <w:rsid w:val="E77F5AD5"/>
    <w:rsid w:val="E7AA7465"/>
    <w:rsid w:val="E7BB0CDE"/>
    <w:rsid w:val="E7BE10B1"/>
    <w:rsid w:val="E7BEB26A"/>
    <w:rsid w:val="E7DE08F0"/>
    <w:rsid w:val="E7F7960F"/>
    <w:rsid w:val="E7FF0EF3"/>
    <w:rsid w:val="E9C738D7"/>
    <w:rsid w:val="E9FF908A"/>
    <w:rsid w:val="EAFF5A81"/>
    <w:rsid w:val="EB7A8FFC"/>
    <w:rsid w:val="EBAF6347"/>
    <w:rsid w:val="EC9F4506"/>
    <w:rsid w:val="ECFFC886"/>
    <w:rsid w:val="ED7EC0CB"/>
    <w:rsid w:val="EDDD478A"/>
    <w:rsid w:val="EDFB4423"/>
    <w:rsid w:val="EE7F69D8"/>
    <w:rsid w:val="EEA9D121"/>
    <w:rsid w:val="EEDCE410"/>
    <w:rsid w:val="EEFD7801"/>
    <w:rsid w:val="EF278918"/>
    <w:rsid w:val="EF7B23FD"/>
    <w:rsid w:val="EFCFA210"/>
    <w:rsid w:val="EFD3240B"/>
    <w:rsid w:val="EFF77EF7"/>
    <w:rsid w:val="EFFCBDDF"/>
    <w:rsid w:val="EFFF0F65"/>
    <w:rsid w:val="F1BFE441"/>
    <w:rsid w:val="F1FF3BAB"/>
    <w:rsid w:val="F1FF5EAE"/>
    <w:rsid w:val="F2EEB4AD"/>
    <w:rsid w:val="F3BAE253"/>
    <w:rsid w:val="F3DE99BE"/>
    <w:rsid w:val="F3DF6E79"/>
    <w:rsid w:val="F3EBE1F8"/>
    <w:rsid w:val="F3F7C78B"/>
    <w:rsid w:val="F3FF5FD5"/>
    <w:rsid w:val="F4DF7A4B"/>
    <w:rsid w:val="F4EE0DA5"/>
    <w:rsid w:val="F52E42D9"/>
    <w:rsid w:val="F53F19B5"/>
    <w:rsid w:val="F55FFBB7"/>
    <w:rsid w:val="F5AD3941"/>
    <w:rsid w:val="F5ED4409"/>
    <w:rsid w:val="F5FB42E1"/>
    <w:rsid w:val="F5FB7303"/>
    <w:rsid w:val="F5FCFE97"/>
    <w:rsid w:val="F5FF80AF"/>
    <w:rsid w:val="F5FFE701"/>
    <w:rsid w:val="F64FEDA5"/>
    <w:rsid w:val="F675E783"/>
    <w:rsid w:val="F675F84D"/>
    <w:rsid w:val="F6A8E6AB"/>
    <w:rsid w:val="F6EFF108"/>
    <w:rsid w:val="F6FF8328"/>
    <w:rsid w:val="F71B845F"/>
    <w:rsid w:val="F72FFCF0"/>
    <w:rsid w:val="F77D1C6B"/>
    <w:rsid w:val="F7BCAB1C"/>
    <w:rsid w:val="F7BD0B12"/>
    <w:rsid w:val="F7BE7B52"/>
    <w:rsid w:val="F7BEC997"/>
    <w:rsid w:val="F7BEDEAF"/>
    <w:rsid w:val="F7CB7A95"/>
    <w:rsid w:val="F7D72051"/>
    <w:rsid w:val="F7DE0212"/>
    <w:rsid w:val="F7DE0AFB"/>
    <w:rsid w:val="F7EAF7B1"/>
    <w:rsid w:val="F7ED4536"/>
    <w:rsid w:val="F7FAA764"/>
    <w:rsid w:val="F7FF589A"/>
    <w:rsid w:val="F8E1EF8B"/>
    <w:rsid w:val="F938D998"/>
    <w:rsid w:val="F93BD211"/>
    <w:rsid w:val="F95F5EF2"/>
    <w:rsid w:val="F9E2A9D3"/>
    <w:rsid w:val="F9EE5E9A"/>
    <w:rsid w:val="F9F653A2"/>
    <w:rsid w:val="FA2E90E1"/>
    <w:rsid w:val="FA76DDDF"/>
    <w:rsid w:val="FADBADCD"/>
    <w:rsid w:val="FB4B7E1E"/>
    <w:rsid w:val="FB753470"/>
    <w:rsid w:val="FB7734D8"/>
    <w:rsid w:val="FB7B44D0"/>
    <w:rsid w:val="FB7E5F06"/>
    <w:rsid w:val="FB7FB391"/>
    <w:rsid w:val="FB7FF75F"/>
    <w:rsid w:val="FBAF8B46"/>
    <w:rsid w:val="FBCA651F"/>
    <w:rsid w:val="FBCF5E50"/>
    <w:rsid w:val="FBCF9636"/>
    <w:rsid w:val="FBDD25D1"/>
    <w:rsid w:val="FBEF2B26"/>
    <w:rsid w:val="FBF58AC2"/>
    <w:rsid w:val="FBF7639C"/>
    <w:rsid w:val="FBF8F934"/>
    <w:rsid w:val="FBF9B40F"/>
    <w:rsid w:val="FBFB27C4"/>
    <w:rsid w:val="FBFDB2E9"/>
    <w:rsid w:val="FBFE0A28"/>
    <w:rsid w:val="FBFF7ADF"/>
    <w:rsid w:val="FBFFF558"/>
    <w:rsid w:val="FC2BD20A"/>
    <w:rsid w:val="FC5758B7"/>
    <w:rsid w:val="FC7DA0E8"/>
    <w:rsid w:val="FC9C7945"/>
    <w:rsid w:val="FCBFB398"/>
    <w:rsid w:val="FCCFF53E"/>
    <w:rsid w:val="FCDD32D7"/>
    <w:rsid w:val="FCF3AFA1"/>
    <w:rsid w:val="FCFF74D9"/>
    <w:rsid w:val="FCFF83C8"/>
    <w:rsid w:val="FD1BF63F"/>
    <w:rsid w:val="FD3F934D"/>
    <w:rsid w:val="FD57ED75"/>
    <w:rsid w:val="FD5F5BD5"/>
    <w:rsid w:val="FD75B104"/>
    <w:rsid w:val="FD7D62F9"/>
    <w:rsid w:val="FD9EC4B2"/>
    <w:rsid w:val="FDADE506"/>
    <w:rsid w:val="FDAE4D8D"/>
    <w:rsid w:val="FDBEE799"/>
    <w:rsid w:val="FDC72136"/>
    <w:rsid w:val="FDCF5489"/>
    <w:rsid w:val="FDCF7550"/>
    <w:rsid w:val="FDDEDA9A"/>
    <w:rsid w:val="FDE7CBFA"/>
    <w:rsid w:val="FDE926E1"/>
    <w:rsid w:val="FDEED4AD"/>
    <w:rsid w:val="FDEF7D28"/>
    <w:rsid w:val="FDF75722"/>
    <w:rsid w:val="FDFB6719"/>
    <w:rsid w:val="FDFD2775"/>
    <w:rsid w:val="FDFFA8F1"/>
    <w:rsid w:val="FE16C205"/>
    <w:rsid w:val="FE375FED"/>
    <w:rsid w:val="FE7A5005"/>
    <w:rsid w:val="FE7B676E"/>
    <w:rsid w:val="FEA446FA"/>
    <w:rsid w:val="FEADE7FA"/>
    <w:rsid w:val="FEBF8D64"/>
    <w:rsid w:val="FEC55A51"/>
    <w:rsid w:val="FECF2DBC"/>
    <w:rsid w:val="FED4EF84"/>
    <w:rsid w:val="FEE7E8EA"/>
    <w:rsid w:val="FEEA036D"/>
    <w:rsid w:val="FEEF50C5"/>
    <w:rsid w:val="FEEFB231"/>
    <w:rsid w:val="FEEFD198"/>
    <w:rsid w:val="FEFBDB8B"/>
    <w:rsid w:val="FEFD2D7E"/>
    <w:rsid w:val="FEFED40C"/>
    <w:rsid w:val="FEFF47FF"/>
    <w:rsid w:val="FEFF74F6"/>
    <w:rsid w:val="FF339D2B"/>
    <w:rsid w:val="FF3C95EF"/>
    <w:rsid w:val="FF47ED30"/>
    <w:rsid w:val="FF5D34E2"/>
    <w:rsid w:val="FF5E36A1"/>
    <w:rsid w:val="FF5F1DD5"/>
    <w:rsid w:val="FF5FC2C7"/>
    <w:rsid w:val="FF675181"/>
    <w:rsid w:val="FF67A3EE"/>
    <w:rsid w:val="FF67ADC5"/>
    <w:rsid w:val="FF6E5474"/>
    <w:rsid w:val="FF6F3E19"/>
    <w:rsid w:val="FF7D8615"/>
    <w:rsid w:val="FF7EC1AB"/>
    <w:rsid w:val="FF7EEF2D"/>
    <w:rsid w:val="FF7F293F"/>
    <w:rsid w:val="FF91BEBA"/>
    <w:rsid w:val="FF94C0F0"/>
    <w:rsid w:val="FF9D95C9"/>
    <w:rsid w:val="FF9EACA5"/>
    <w:rsid w:val="FFAFB954"/>
    <w:rsid w:val="FFB25F78"/>
    <w:rsid w:val="FFB70FD6"/>
    <w:rsid w:val="FFB81E05"/>
    <w:rsid w:val="FFBBDB55"/>
    <w:rsid w:val="FFBDBE74"/>
    <w:rsid w:val="FFBDD400"/>
    <w:rsid w:val="FFD7A1BE"/>
    <w:rsid w:val="FFDAC710"/>
    <w:rsid w:val="FFDAE12F"/>
    <w:rsid w:val="FFDB629C"/>
    <w:rsid w:val="FFDEF6FE"/>
    <w:rsid w:val="FFEE2ECC"/>
    <w:rsid w:val="FFEEE202"/>
    <w:rsid w:val="FFEF32B4"/>
    <w:rsid w:val="FFEF56BD"/>
    <w:rsid w:val="FFEFE5AD"/>
    <w:rsid w:val="FFF34D73"/>
    <w:rsid w:val="FFF64E87"/>
    <w:rsid w:val="FFF73357"/>
    <w:rsid w:val="FFF739B2"/>
    <w:rsid w:val="FFF73AFD"/>
    <w:rsid w:val="FFFB3385"/>
    <w:rsid w:val="FFFE8CE7"/>
    <w:rsid w:val="FFFED254"/>
    <w:rsid w:val="FFFEEB68"/>
    <w:rsid w:val="FFFF044A"/>
    <w:rsid w:val="FFFF20AE"/>
    <w:rsid w:val="FFFF35D4"/>
    <w:rsid w:val="FFFF3B20"/>
    <w:rsid w:val="FFFF497E"/>
    <w:rsid w:val="FFFFB690"/>
    <w:rsid w:val="FFFFBE07"/>
    <w:rsid w:val="FFFFE693"/>
    <w:rsid w:val="FFFFF189"/>
    <w:rsid w:val="FFFFF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1"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200" w:line="579" w:lineRule="auto"/>
      <w:outlineLvl w:val="0"/>
    </w:pPr>
    <w:rPr>
      <w:rFonts w:eastAsia="黑体"/>
      <w:b/>
      <w:bCs/>
      <w:kern w:val="44"/>
      <w:sz w:val="36"/>
      <w:szCs w:val="44"/>
    </w:rPr>
  </w:style>
  <w:style w:type="paragraph" w:styleId="5">
    <w:name w:val="heading 2"/>
    <w:basedOn w:val="1"/>
    <w:next w:val="1"/>
    <w:unhideWhenUsed/>
    <w:qFormat/>
    <w:uiPriority w:val="9"/>
    <w:pPr>
      <w:keepNext/>
      <w:keepLines/>
      <w:spacing w:before="100" w:beforeLines="100" w:line="360" w:lineRule="auto"/>
      <w:ind w:firstLine="880" w:firstLineChars="200"/>
      <w:outlineLvl w:val="1"/>
    </w:pPr>
    <w:rPr>
      <w:rFonts w:ascii="Cambria" w:hAnsi="Cambria"/>
      <w:b/>
      <w:bCs/>
      <w:kern w:val="0"/>
      <w:sz w:val="32"/>
      <w:szCs w:val="32"/>
    </w:rPr>
  </w:style>
  <w:style w:type="paragraph" w:styleId="6">
    <w:name w:val="heading 3"/>
    <w:basedOn w:val="1"/>
    <w:next w:val="1"/>
    <w:qFormat/>
    <w:uiPriority w:val="0"/>
    <w:pPr>
      <w:keepNext/>
      <w:keepLines/>
      <w:spacing w:before="260" w:after="260" w:line="416" w:lineRule="auto"/>
      <w:ind w:firstLine="420" w:firstLineChars="200"/>
      <w:outlineLvl w:val="2"/>
    </w:pPr>
    <w:rPr>
      <w:rFonts w:eastAsia="仿宋_GB2312"/>
      <w:b/>
      <w:bCs/>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kern w:val="0"/>
    </w:rPr>
  </w:style>
  <w:style w:type="paragraph" w:styleId="3">
    <w:name w:val="Title"/>
    <w:basedOn w:val="1"/>
    <w:next w:val="1"/>
    <w:unhideWhenUsed/>
    <w:qFormat/>
    <w:uiPriority w:val="99"/>
    <w:pPr>
      <w:widowControl w:val="0"/>
      <w:ind w:firstLine="562"/>
      <w:jc w:val="center"/>
      <w:outlineLvl w:val="0"/>
    </w:pPr>
    <w:rPr>
      <w:rFonts w:hint="eastAsia" w:ascii="Calibri Light" w:hAnsi="Calibri Light"/>
      <w:b/>
      <w:sz w:val="32"/>
      <w:szCs w:val="24"/>
    </w:rPr>
  </w:style>
  <w:style w:type="paragraph" w:styleId="7">
    <w:name w:val="Normal Indent"/>
    <w:basedOn w:val="1"/>
    <w:next w:val="1"/>
    <w:qFormat/>
    <w:uiPriority w:val="0"/>
    <w:pPr>
      <w:ind w:firstLine="420" w:firstLineChars="200"/>
    </w:pPr>
  </w:style>
  <w:style w:type="paragraph" w:styleId="8">
    <w:name w:val="toa heading"/>
    <w:basedOn w:val="1"/>
    <w:next w:val="1"/>
    <w:qFormat/>
    <w:uiPriority w:val="99"/>
    <w:pPr>
      <w:spacing w:before="120"/>
    </w:pPr>
    <w:rPr>
      <w:rFonts w:ascii="Calibri Light" w:hAnsi="Calibri Light" w:cs="Calibri Light"/>
      <w:sz w:val="24"/>
    </w:rPr>
  </w:style>
  <w:style w:type="paragraph" w:styleId="9">
    <w:name w:val="Body Text Indent"/>
    <w:basedOn w:val="1"/>
    <w:next w:val="1"/>
    <w:qFormat/>
    <w:uiPriority w:val="99"/>
    <w:pPr>
      <w:ind w:firstLine="640" w:firstLineChars="200"/>
    </w:pPr>
    <w:rPr>
      <w:rFonts w:eastAsia="仿宋_GB2312"/>
      <w:sz w:val="3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rPr>
      <w:sz w:val="24"/>
    </w:rPr>
  </w:style>
  <w:style w:type="paragraph" w:styleId="15">
    <w:name w:val="Body Text First Indent"/>
    <w:basedOn w:val="2"/>
    <w:next w:val="1"/>
    <w:unhideWhenUsed/>
    <w:qFormat/>
    <w:uiPriority w:val="99"/>
    <w:pPr>
      <w:ind w:firstLine="420" w:firstLineChars="100"/>
    </w:pPr>
  </w:style>
  <w:style w:type="paragraph" w:styleId="16">
    <w:name w:val="Body Text First Indent 2"/>
    <w:basedOn w:val="9"/>
    <w:next w:val="1"/>
    <w:qFormat/>
    <w:uiPriority w:val="99"/>
    <w:pPr>
      <w:ind w:firstLine="420"/>
    </w:pPr>
  </w:style>
  <w:style w:type="character" w:styleId="19">
    <w:name w:val="Strong"/>
    <w:basedOn w:val="18"/>
    <w:qFormat/>
    <w:uiPriority w:val="99"/>
    <w:rPr>
      <w:rFonts w:cs="Times New Roman"/>
      <w:b/>
    </w:rPr>
  </w:style>
  <w:style w:type="character" w:styleId="20">
    <w:name w:val="endnote reference"/>
    <w:basedOn w:val="18"/>
    <w:unhideWhenUsed/>
    <w:qFormat/>
    <w:uiPriority w:val="1"/>
    <w:rPr>
      <w:vertAlign w:val="superscript"/>
    </w:rPr>
  </w:style>
  <w:style w:type="paragraph" w:customStyle="1" w:styleId="21">
    <w:name w:val="BodyText"/>
    <w:basedOn w:val="1"/>
    <w:next w:val="22"/>
    <w:qFormat/>
    <w:uiPriority w:val="0"/>
    <w:pPr>
      <w:spacing w:line="240" w:lineRule="auto"/>
      <w:ind w:left="102"/>
      <w:jc w:val="both"/>
      <w:textAlignment w:val="baseline"/>
    </w:pPr>
    <w:rPr>
      <w:rFonts w:ascii="宋体" w:hAnsi="宋体" w:eastAsia="宋体"/>
      <w:kern w:val="2"/>
      <w:sz w:val="29"/>
      <w:szCs w:val="24"/>
      <w:lang w:val="en-US" w:eastAsia="zh-CN" w:bidi="ar-SA"/>
    </w:rPr>
  </w:style>
  <w:style w:type="paragraph" w:customStyle="1" w:styleId="22">
    <w:name w:val="181"/>
    <w:basedOn w:val="1"/>
    <w:next w:val="1"/>
    <w:qFormat/>
    <w:uiPriority w:val="0"/>
    <w:pPr>
      <w:spacing w:before="360" w:after="360" w:line="240" w:lineRule="auto"/>
      <w:ind w:left="950" w:right="950"/>
      <w:jc w:val="center"/>
      <w:textAlignment w:val="baseline"/>
    </w:pPr>
    <w:rPr>
      <w:rFonts w:ascii="Times New Roman" w:hAnsi="Times New Roman" w:eastAsia="宋体"/>
      <w:i/>
      <w:kern w:val="2"/>
      <w:sz w:val="21"/>
      <w:szCs w:val="24"/>
      <w:lang w:val="en-US" w:eastAsia="zh-CN" w:bidi="ar-SA"/>
    </w:rPr>
  </w:style>
  <w:style w:type="paragraph" w:customStyle="1" w:styleId="23">
    <w:name w:val="Heading3"/>
    <w:basedOn w:val="1"/>
    <w:next w:val="1"/>
    <w:qFormat/>
    <w:uiPriority w:val="0"/>
    <w:pPr>
      <w:keepNext/>
      <w:keepLines/>
      <w:spacing w:before="260" w:after="260" w:line="416" w:lineRule="atLeast"/>
      <w:jc w:val="both"/>
      <w:textAlignment w:val="baseline"/>
    </w:pPr>
    <w:rPr>
      <w:rFonts w:ascii="仿宋_GB2312" w:hAnsi="Calibri" w:eastAsia="仿宋_GB2312" w:cs="Times New Roman"/>
      <w:b/>
      <w:bCs/>
      <w:spacing w:val="8"/>
      <w:kern w:val="2"/>
      <w:sz w:val="32"/>
      <w:szCs w:val="32"/>
      <w:lang w:val="en-US" w:eastAsia="zh-CN" w:bidi="ar-SA"/>
    </w:rPr>
  </w:style>
  <w:style w:type="paragraph" w:customStyle="1" w:styleId="24">
    <w:name w:val="正文-公1"/>
    <w:basedOn w:val="1"/>
    <w:qFormat/>
    <w:uiPriority w:val="99"/>
  </w:style>
  <w:style w:type="paragraph" w:customStyle="1" w:styleId="25">
    <w:name w:val="_Style 4"/>
    <w:basedOn w:val="1"/>
    <w:next w:val="1"/>
    <w:qFormat/>
    <w:uiPriority w:val="0"/>
    <w:pPr>
      <w:wordWrap w:val="0"/>
      <w:ind w:left="950" w:right="950"/>
      <w:jc w:val="center"/>
    </w:pPr>
    <w:rPr>
      <w:rFonts w:ascii="Times New Roman" w:hAnsi="Times New Roman"/>
      <w:i/>
    </w:rPr>
  </w:style>
  <w:style w:type="paragraph" w:customStyle="1" w:styleId="26">
    <w:name w:val="No Spacing"/>
    <w:basedOn w:val="1"/>
    <w:qFormat/>
    <w:uiPriority w:val="0"/>
    <w:pPr>
      <w:keepNext w:val="0"/>
      <w:keepLines w:val="0"/>
      <w:widowControl/>
      <w:suppressLineNumbers w:val="0"/>
      <w:adjustRightInd w:val="0"/>
      <w:snapToGrid w:val="0"/>
      <w:spacing w:before="0" w:beforeAutospacing="0" w:after="0" w:afterAutospacing="0"/>
      <w:ind w:left="0" w:right="0"/>
      <w:jc w:val="left"/>
    </w:pPr>
    <w:rPr>
      <w:rFonts w:hint="default" w:ascii="Tahoma" w:hAnsi="Tahoma" w:eastAsia="微软雅黑" w:cs="Times New Roman"/>
      <w:kern w:val="0"/>
      <w:sz w:val="22"/>
      <w:szCs w:val="22"/>
      <w:lang w:val="en-US" w:eastAsia="zh-CN" w:bidi="ar"/>
    </w:rPr>
  </w:style>
  <w:style w:type="paragraph" w:customStyle="1" w:styleId="27">
    <w:name w:val="11111"/>
    <w:basedOn w:val="1"/>
    <w:next w:val="1"/>
    <w:qFormat/>
    <w:uiPriority w:val="0"/>
    <w:pPr>
      <w:spacing w:line="360" w:lineRule="auto"/>
      <w:ind w:firstLine="200" w:firstLineChars="200"/>
    </w:pPr>
    <w:rPr>
      <w:rFonts w:ascii="宋体" w:hAnsi="宋体" w:eastAsia="宋体" w:cs="宋体"/>
      <w:sz w:val="24"/>
    </w:rPr>
  </w:style>
  <w:style w:type="paragraph" w:customStyle="1" w:styleId="28">
    <w:name w:val="Intense Quote"/>
    <w:basedOn w:val="1"/>
    <w:next w:val="1"/>
    <w:qFormat/>
    <w:uiPriority w:val="0"/>
    <w:pPr>
      <w:widowControl w:val="0"/>
      <w:wordWrap w:val="0"/>
      <w:spacing w:before="360" w:after="360"/>
      <w:ind w:left="950" w:right="950"/>
      <w:jc w:val="center"/>
    </w:pPr>
    <w:rPr>
      <w:rFonts w:ascii="Times New Roman" w:hAnsi="Times New Roman" w:eastAsia="宋体" w:cs="Times New Roman"/>
      <w:i/>
      <w:kern w:val="2"/>
      <w:sz w:val="21"/>
      <w:szCs w:val="24"/>
      <w:lang w:val="en-US" w:eastAsia="zh-CN" w:bidi="ar-SA"/>
    </w:rPr>
  </w:style>
  <w:style w:type="paragraph" w:customStyle="1" w:styleId="29">
    <w:name w:val="Default"/>
    <w:basedOn w:val="30"/>
    <w:unhideWhenUsed/>
    <w:qFormat/>
    <w:uiPriority w:val="99"/>
    <w:pPr>
      <w:widowControl w:val="0"/>
      <w:autoSpaceDE w:val="0"/>
      <w:autoSpaceDN w:val="0"/>
      <w:adjustRightInd w:val="0"/>
    </w:pPr>
    <w:rPr>
      <w:rFonts w:hint="eastAsia" w:ascii="方正仿宋_GBK" w:hAnsi="方正仿宋_GBK" w:eastAsia="方正仿宋_GBK" w:cs="Times New Roman"/>
      <w:color w:val="000000"/>
      <w:kern w:val="0"/>
      <w:sz w:val="24"/>
      <w:szCs w:val="22"/>
      <w:lang w:val="en-US" w:eastAsia="zh-CN" w:bidi="ar-SA"/>
    </w:rPr>
  </w:style>
  <w:style w:type="paragraph" w:customStyle="1" w:styleId="30">
    <w:name w:val="纯文本1"/>
    <w:basedOn w:val="1"/>
    <w:qFormat/>
    <w:uiPriority w:val="0"/>
    <w:rPr>
      <w:rFonts w:ascii="宋体" w:hAnsi="Courier New" w:eastAsia="宋体" w:cs="Times New Roman"/>
    </w:rPr>
  </w:style>
  <w:style w:type="paragraph" w:customStyle="1" w:styleId="31">
    <w:name w:val="正文-公1151"/>
    <w:basedOn w:val="1"/>
    <w:qFormat/>
    <w:uiPriority w:val="0"/>
    <w:pPr>
      <w:ind w:firstLine="200" w:firstLineChars="200"/>
      <w:jc w:val="left"/>
    </w:pPr>
    <w:rPr>
      <w:rFonts w:eastAsia="仿宋_GB2312"/>
    </w:rPr>
  </w:style>
  <w:style w:type="paragraph" w:customStyle="1" w:styleId="32">
    <w:name w:val="正文1"/>
    <w:qFormat/>
    <w:uiPriority w:val="0"/>
    <w:pPr>
      <w:widowControl w:val="0"/>
      <w:suppressAutoHyphens w:val="0"/>
      <w:bidi w:val="0"/>
      <w:spacing w:beforeLines="0" w:beforeAutospacing="0" w:afterLines="0" w:afterAutospacing="0" w:line="580" w:lineRule="exact"/>
      <w:ind w:firstLine="0" w:firstLineChars="200"/>
      <w:jc w:val="both"/>
    </w:pPr>
    <w:rPr>
      <w:rFonts w:ascii="仿宋" w:eastAsia="仿宋" w:hAnsiTheme="minorHAnsi" w:cstheme="minorBidi"/>
      <w:color w:val="0D0D0D" w:themeColor="text1" w:themeTint="F2"/>
      <w:kern w:val="2"/>
      <w:sz w:val="28"/>
      <w:szCs w:val="22"/>
      <w:lang w:val="en-US" w:eastAsia="zh-CN" w:bidi="ar-SA"/>
      <w14:textFill>
        <w14:solidFill>
          <w14:schemeClr w14:val="tx1">
            <w14:lumMod w14:val="95000"/>
            <w14:lumOff w14:val="5000"/>
          </w14:schemeClr>
        </w14:solidFill>
      </w14:textFill>
    </w:rPr>
  </w:style>
  <w:style w:type="paragraph" w:customStyle="1" w:styleId="33">
    <w:name w:val="标题 21"/>
    <w:basedOn w:val="32"/>
    <w:next w:val="32"/>
    <w:unhideWhenUsed/>
    <w:qFormat/>
    <w:uiPriority w:val="9"/>
    <w:pPr>
      <w:keepNext/>
      <w:keepLines/>
      <w:spacing w:before="156" w:beforeAutospacing="0" w:after="156" w:afterAutospacing="0" w:line="580" w:lineRule="atLeast"/>
      <w:outlineLvl w:val="1"/>
    </w:pPr>
    <w:rPr>
      <w:rFonts w:hAnsiTheme="majorHAnsi" w:cstheme="majorBidi"/>
      <w:b/>
      <w:bCs/>
      <w:szCs w:val="32"/>
    </w:rPr>
  </w:style>
  <w:style w:type="paragraph" w:customStyle="1" w:styleId="34">
    <w:name w:val="标题 11"/>
    <w:basedOn w:val="32"/>
    <w:next w:val="32"/>
    <w:qFormat/>
    <w:uiPriority w:val="9"/>
    <w:pPr>
      <w:keepNext/>
      <w:keepLines/>
      <w:spacing w:line="580" w:lineRule="atLeast"/>
      <w:outlineLvl w:val="0"/>
    </w:pPr>
    <w:rPr>
      <w:b/>
      <w:bCs/>
      <w:kern w:val="2"/>
      <w:szCs w:val="44"/>
    </w:rPr>
  </w:style>
  <w:style w:type="paragraph" w:customStyle="1" w:styleId="35">
    <w:name w:val=" Char Char11"/>
    <w:basedOn w:val="1"/>
    <w:qFormat/>
    <w:uiPriority w:val="0"/>
    <w:pPr>
      <w:widowControl/>
      <w:spacing w:after="160" w:afterLines="0" w:line="240" w:lineRule="exact"/>
      <w:jc w:val="left"/>
    </w:pPr>
    <w:rPr>
      <w:sz w:val="28"/>
    </w:rPr>
  </w:style>
  <w:style w:type="paragraph" w:customStyle="1" w:styleId="36">
    <w:name w:val="_Style 13"/>
    <w:qFormat/>
    <w:uiPriority w:val="0"/>
    <w:pPr>
      <w:spacing w:before="120" w:after="120" w:line="288" w:lineRule="auto"/>
      <w:ind w:left="0"/>
      <w:jc w:val="left"/>
    </w:pPr>
    <w:rPr>
      <w:rFonts w:ascii="Arial" w:hAnsi="Arial" w:eastAsia="等线" w:cs="Arial"/>
      <w:sz w:val="22"/>
      <w:szCs w:val="22"/>
    </w:rPr>
  </w:style>
  <w:style w:type="paragraph" w:customStyle="1" w:styleId="37">
    <w:name w:val="表标题"/>
    <w:basedOn w:val="1"/>
    <w:qFormat/>
    <w:uiPriority w:val="0"/>
    <w:pPr>
      <w:jc w:val="center"/>
    </w:pPr>
    <w:rPr>
      <w:rFonts w:ascii="方正小标宋简体" w:hAnsi="Times New Roman" w:eastAsia="方正小标宋简体" w:cs="Times New Roman"/>
      <w:sz w:val="28"/>
    </w:rPr>
  </w:style>
  <w:style w:type="paragraph" w:customStyle="1" w:styleId="38">
    <w:name w:val="专栏内文"/>
    <w:basedOn w:val="1"/>
    <w:qFormat/>
    <w:uiPriority w:val="0"/>
    <w:pPr>
      <w:ind w:firstLine="200" w:firstLineChars="200"/>
    </w:pPr>
    <w:rPr>
      <w:rFonts w:ascii="Times New Roman" w:hAnsi="Times New Roman" w:eastAsia="仿宋_GB2312" w:cs="Times New Roman"/>
      <w:sz w:val="24"/>
      <w:szCs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55842</Words>
  <Characters>56589</Characters>
  <Lines>0</Lines>
  <Paragraphs>0</Paragraphs>
  <TotalTime>3</TotalTime>
  <ScaleCrop>false</ScaleCrop>
  <LinksUpToDate>false</LinksUpToDate>
  <CharactersWithSpaces>56838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2025-09-06T00:51:00Z</dcterms:created>
  <dc:creator>GXDC</dc:creator>
  <cp:lastModifiedBy>天行健</cp:lastModifiedBy>
  <cp:lastPrinted>2026-05-09T07:34:00Z</cp:lastPrinted>
  <dcterms:modified xsi:type="dcterms:W3CDTF">2026-08-21T09:04:43Z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E0FC30BAE5BC44B79DA8CEBA6BBDAA6B</vt:lpwstr>
  </property>
  <property fmtid="{D5CDD505-2E9C-101B-9397-08002B2CF9AE}" pid="4" name="KSOTemplateDocerSaveRecord">
    <vt:lpwstr>eyJoZGlkIjoiMTYyMjRjY2ExNmM3OTQyNGM3MjIxOWY5Y2Y1NTQwY2QiLCJ1c2VySWQiOiI2MTUzNzMwMzIifQ==</vt:lpwstr>
  </property>
</Properties>
</file>