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1" w:after="0" w:afterAutospacing="0" w:line="641" w:lineRule="atLeast"/>
        <w:ind w:left="0" w:right="0" w:firstLine="0"/>
        <w:jc w:val="center"/>
        <w:rPr>
          <w:rFonts w:ascii="sans-serif" w:hAnsi="sans-serif" w:eastAsia="sans-serif" w:cs="sans-serif"/>
          <w:i w:val="0"/>
          <w:iCs w:val="0"/>
          <w:caps w:val="0"/>
          <w:color w:val="000000"/>
          <w:spacing w:val="0"/>
          <w:sz w:val="15"/>
          <w:szCs w:val="15"/>
        </w:rPr>
      </w:pPr>
      <w:r>
        <w:rPr>
          <w:rFonts w:ascii="方正小标宋简体" w:hAnsi="方正小标宋简体" w:eastAsia="方正小标宋简体" w:cs="方正小标宋简体"/>
          <w:i w:val="0"/>
          <w:iCs w:val="0"/>
          <w:caps w:val="0"/>
          <w:color w:val="000000"/>
          <w:spacing w:val="0"/>
          <w:sz w:val="44"/>
          <w:szCs w:val="44"/>
        </w:rPr>
        <w:br w:type="textWrapping"/>
      </w:r>
      <w:r>
        <w:rPr>
          <w:rFonts w:hint="default" w:ascii="方正小标宋简体" w:hAnsi="方正小标宋简体" w:eastAsia="方正小标宋简体" w:cs="方正小标宋简体"/>
          <w:i w:val="0"/>
          <w:iCs w:val="0"/>
          <w:caps w:val="0"/>
          <w:color w:val="000000"/>
          <w:spacing w:val="0"/>
          <w:sz w:val="44"/>
          <w:szCs w:val="44"/>
        </w:rPr>
        <w:t>柳城县人民政府关于</w:t>
      </w:r>
    </w:p>
    <w:p>
      <w:pPr>
        <w:pStyle w:val="6"/>
        <w:keepNext w:val="0"/>
        <w:keepLines w:val="0"/>
        <w:widowControl/>
        <w:suppressLineNumbers w:val="0"/>
        <w:spacing w:before="0" w:beforeAutospacing="1" w:after="0" w:afterAutospacing="0" w:line="641" w:lineRule="atLeast"/>
        <w:ind w:left="0" w:right="0" w:firstLine="0"/>
        <w:jc w:val="center"/>
        <w:rPr>
          <w:rFonts w:hint="default" w:ascii="sans-serif" w:hAnsi="sans-serif" w:eastAsia="sans-serif" w:cs="sans-serif"/>
          <w:i w:val="0"/>
          <w:iCs w:val="0"/>
          <w:caps w:val="0"/>
          <w:color w:val="000000"/>
          <w:spacing w:val="0"/>
          <w:sz w:val="15"/>
          <w:szCs w:val="15"/>
        </w:rPr>
      </w:pPr>
      <w:r>
        <w:rPr>
          <w:rFonts w:hint="default" w:ascii="方正小标宋简体" w:hAnsi="方正小标宋简体" w:eastAsia="方正小标宋简体" w:cs="方正小标宋简体"/>
          <w:i w:val="0"/>
          <w:iCs w:val="0"/>
          <w:caps w:val="0"/>
          <w:color w:val="000000"/>
          <w:spacing w:val="0"/>
          <w:sz w:val="44"/>
          <w:szCs w:val="44"/>
        </w:rPr>
        <w:t>印发柳城县行政许可事项清单的通知</w:t>
      </w:r>
    </w:p>
    <w:p>
      <w:pPr>
        <w:pStyle w:val="6"/>
        <w:keepNext w:val="0"/>
        <w:keepLines w:val="0"/>
        <w:widowControl/>
        <w:suppressLineNumbers w:val="0"/>
        <w:spacing w:before="0" w:beforeAutospacing="1" w:after="0" w:afterAutospacing="0" w:line="641" w:lineRule="atLeast"/>
        <w:ind w:left="0" w:right="0" w:firstLine="0"/>
        <w:jc w:val="center"/>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0"/>
        <w:rPr>
          <w:rFonts w:hint="default" w:ascii="sans-serif" w:hAnsi="sans-serif" w:eastAsia="sans-serif" w:cs="sans-serif"/>
          <w:i w:val="0"/>
          <w:iCs w:val="0"/>
          <w:caps w:val="0"/>
          <w:color w:val="000000"/>
          <w:spacing w:val="0"/>
          <w:sz w:val="15"/>
          <w:szCs w:val="15"/>
        </w:rPr>
      </w:pPr>
      <w:r>
        <w:rPr>
          <w:rFonts w:ascii="仿宋_GB2312" w:hAnsi="sans-serif" w:eastAsia="仿宋_GB2312" w:cs="仿宋_GB2312"/>
          <w:i w:val="0"/>
          <w:iCs w:val="0"/>
          <w:caps w:val="0"/>
          <w:color w:val="000000"/>
          <w:spacing w:val="0"/>
          <w:sz w:val="32"/>
          <w:szCs w:val="32"/>
        </w:rPr>
        <w:t>各乡镇人民政府、华侨管理区，县人民政府各组成部门</w:t>
      </w:r>
      <w:r>
        <w:rPr>
          <w:rFonts w:hint="eastAsia" w:ascii="仿宋_GB2312" w:hAnsi="sans-serif" w:eastAsia="仿宋_GB2312" w:cs="仿宋_GB2312"/>
          <w:i w:val="0"/>
          <w:iCs w:val="0"/>
          <w:caps w:val="0"/>
          <w:color w:val="000000"/>
          <w:spacing w:val="0"/>
          <w:sz w:val="32"/>
          <w:szCs w:val="32"/>
        </w:rPr>
        <w:t>，驻县中直、区直各单位</w:t>
      </w:r>
      <w:r>
        <w:rPr>
          <w:rFonts w:hint="eastAsia" w:ascii="仿宋_GB2312" w:hAnsi="Times New Roman" w:eastAsia="仿宋_GB2312" w:cs="仿宋_GB2312"/>
          <w:i w:val="0"/>
          <w:iCs w:val="0"/>
          <w:caps w:val="0"/>
          <w:color w:val="000000"/>
          <w:spacing w:val="0"/>
          <w:sz w:val="32"/>
          <w:szCs w:val="32"/>
        </w:rPr>
        <w:t>:</w:t>
      </w:r>
    </w:p>
    <w:p>
      <w:pPr>
        <w:pStyle w:val="6"/>
        <w:keepNext w:val="0"/>
        <w:keepLines w:val="0"/>
        <w:widowControl/>
        <w:suppressLineNumbers w:val="0"/>
        <w:spacing w:before="0" w:beforeAutospacing="1" w:after="0" w:afterAutospacing="0" w:line="562" w:lineRule="atLeast"/>
        <w:ind w:left="0" w:right="0" w:firstLine="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w:t>
      </w:r>
      <w:r>
        <w:rPr>
          <w:rFonts w:hint="eastAsia" w:ascii="仿宋_GB2312" w:hAnsi="sans-serif" w:eastAsia="仿宋_GB2312" w:cs="仿宋_GB2312"/>
          <w:i w:val="0"/>
          <w:iCs w:val="0"/>
          <w:caps w:val="0"/>
          <w:color w:val="000000"/>
          <w:spacing w:val="0"/>
          <w:sz w:val="32"/>
          <w:szCs w:val="32"/>
          <w:shd w:val="clear" w:fill="FFFFFF"/>
        </w:rPr>
        <w:t>根据《国务院办公厅关于全面实行行政许可事项清单管理的通知》（国办发〔</w:t>
      </w:r>
      <w:r>
        <w:rPr>
          <w:rFonts w:hint="eastAsia" w:ascii="仿宋_GB2312" w:hAnsi="Times New Roman" w:eastAsia="仿宋_GB2312" w:cs="仿宋_GB2312"/>
          <w:i w:val="0"/>
          <w:iCs w:val="0"/>
          <w:caps w:val="0"/>
          <w:color w:val="000000"/>
          <w:spacing w:val="0"/>
          <w:sz w:val="32"/>
          <w:szCs w:val="32"/>
          <w:shd w:val="clear" w:fill="FFFFFF"/>
        </w:rPr>
        <w:t>2022</w:t>
      </w:r>
      <w:r>
        <w:rPr>
          <w:rFonts w:hint="eastAsia" w:ascii="仿宋_GB2312" w:hAnsi="sans-serif"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2</w:t>
      </w:r>
      <w:r>
        <w:rPr>
          <w:rFonts w:hint="eastAsia" w:ascii="仿宋_GB2312" w:hAnsi="sans-serif" w:eastAsia="仿宋_GB2312" w:cs="仿宋_GB2312"/>
          <w:i w:val="0"/>
          <w:iCs w:val="0"/>
          <w:caps w:val="0"/>
          <w:color w:val="000000"/>
          <w:spacing w:val="0"/>
          <w:sz w:val="32"/>
          <w:szCs w:val="32"/>
          <w:shd w:val="clear" w:fill="FFFFFF"/>
        </w:rPr>
        <w:t>号）、《广西壮族自治区人民政府关于印发行政许可事项清单的通知》（桂政发〔</w:t>
      </w:r>
      <w:r>
        <w:rPr>
          <w:rFonts w:hint="eastAsia" w:ascii="仿宋_GB2312" w:hAnsi="Times New Roman" w:eastAsia="仿宋_GB2312" w:cs="仿宋_GB2312"/>
          <w:i w:val="0"/>
          <w:iCs w:val="0"/>
          <w:caps w:val="0"/>
          <w:color w:val="000000"/>
          <w:spacing w:val="0"/>
          <w:sz w:val="32"/>
          <w:szCs w:val="32"/>
          <w:shd w:val="clear" w:fill="FFFFFF"/>
        </w:rPr>
        <w:t>2022</w:t>
      </w:r>
      <w:r>
        <w:rPr>
          <w:rFonts w:hint="eastAsia" w:ascii="仿宋_GB2312" w:hAnsi="sans-serif"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19</w:t>
      </w:r>
      <w:r>
        <w:rPr>
          <w:rFonts w:hint="eastAsia" w:ascii="仿宋_GB2312" w:hAnsi="sans-serif" w:eastAsia="仿宋_GB2312" w:cs="仿宋_GB2312"/>
          <w:i w:val="0"/>
          <w:iCs w:val="0"/>
          <w:caps w:val="0"/>
          <w:color w:val="000000"/>
          <w:spacing w:val="0"/>
          <w:sz w:val="32"/>
          <w:szCs w:val="32"/>
          <w:shd w:val="clear" w:fill="FFFFFF"/>
        </w:rPr>
        <w:t>号）、《柳州市人民政府关于印发行政许可事项清单的通知》（柳政规〔</w:t>
      </w:r>
      <w:r>
        <w:rPr>
          <w:rFonts w:hint="eastAsia" w:ascii="仿宋_GB2312" w:hAnsi="Times New Roman" w:eastAsia="仿宋_GB2312" w:cs="仿宋_GB2312"/>
          <w:i w:val="0"/>
          <w:iCs w:val="0"/>
          <w:caps w:val="0"/>
          <w:color w:val="000000"/>
          <w:spacing w:val="0"/>
          <w:sz w:val="32"/>
          <w:szCs w:val="32"/>
          <w:shd w:val="clear" w:fill="FFFFFF"/>
        </w:rPr>
        <w:t>2022</w:t>
      </w:r>
      <w:r>
        <w:rPr>
          <w:rFonts w:hint="eastAsia" w:ascii="仿宋_GB2312" w:hAnsi="sans-serif"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rPr>
        <w:t>19</w:t>
      </w:r>
      <w:r>
        <w:rPr>
          <w:rFonts w:hint="eastAsia" w:ascii="仿宋_GB2312" w:hAnsi="sans-serif" w:eastAsia="仿宋_GB2312" w:cs="仿宋_GB2312"/>
          <w:i w:val="0"/>
          <w:iCs w:val="0"/>
          <w:caps w:val="0"/>
          <w:color w:val="000000"/>
          <w:spacing w:val="0"/>
          <w:sz w:val="32"/>
          <w:szCs w:val="32"/>
          <w:shd w:val="clear" w:fill="FFFFFF"/>
        </w:rPr>
        <w:t>号）工作部署，为进一步明晰行政许可权利边界、规范行政许可运行，现将《柳城县行政许可事项清单（</w:t>
      </w:r>
      <w:r>
        <w:rPr>
          <w:rFonts w:hint="eastAsia" w:ascii="仿宋_GB2312" w:hAnsi="Times New Roman" w:eastAsia="仿宋_GB2312" w:cs="仿宋_GB2312"/>
          <w:i w:val="0"/>
          <w:iCs w:val="0"/>
          <w:caps w:val="0"/>
          <w:color w:val="000000"/>
          <w:spacing w:val="0"/>
          <w:sz w:val="32"/>
          <w:szCs w:val="32"/>
          <w:shd w:val="clear" w:fill="FFFFFF"/>
        </w:rPr>
        <w:t>2022</w:t>
      </w:r>
      <w:r>
        <w:rPr>
          <w:rFonts w:hint="eastAsia" w:ascii="仿宋_GB2312" w:hAnsi="sans-serif" w:eastAsia="仿宋_GB2312" w:cs="仿宋_GB2312"/>
          <w:i w:val="0"/>
          <w:iCs w:val="0"/>
          <w:caps w:val="0"/>
          <w:color w:val="000000"/>
          <w:spacing w:val="0"/>
          <w:sz w:val="32"/>
          <w:szCs w:val="32"/>
          <w:shd w:val="clear" w:fill="FFFFFF"/>
        </w:rPr>
        <w:t>年版）》和《中直驻柳城单位行政许可事项清单（</w:t>
      </w:r>
      <w:r>
        <w:rPr>
          <w:rFonts w:hint="eastAsia" w:ascii="仿宋_GB2312" w:hAnsi="Times New Roman" w:eastAsia="仿宋_GB2312" w:cs="仿宋_GB2312"/>
          <w:i w:val="0"/>
          <w:iCs w:val="0"/>
          <w:caps w:val="0"/>
          <w:color w:val="000000"/>
          <w:spacing w:val="0"/>
          <w:sz w:val="32"/>
          <w:szCs w:val="32"/>
          <w:shd w:val="clear" w:fill="FFFFFF"/>
        </w:rPr>
        <w:t>2022</w:t>
      </w:r>
      <w:r>
        <w:rPr>
          <w:rFonts w:hint="eastAsia" w:ascii="仿宋_GB2312" w:hAnsi="sans-serif" w:eastAsia="仿宋_GB2312" w:cs="仿宋_GB2312"/>
          <w:i w:val="0"/>
          <w:iCs w:val="0"/>
          <w:caps w:val="0"/>
          <w:color w:val="000000"/>
          <w:spacing w:val="0"/>
          <w:sz w:val="32"/>
          <w:szCs w:val="32"/>
          <w:shd w:val="clear" w:fill="FFFFFF"/>
        </w:rPr>
        <w:t>年版）》（以上两张清单统称柳城县行政许可事项清单），现印发给你们，并就有关事项通知如下：</w:t>
      </w:r>
    </w:p>
    <w:p>
      <w:pPr>
        <w:pStyle w:val="6"/>
        <w:keepNext w:val="0"/>
        <w:keepLines w:val="0"/>
        <w:widowControl/>
        <w:suppressLineNumbers w:val="0"/>
        <w:spacing w:before="0" w:beforeAutospacing="1" w:after="0" w:afterAutospacing="0" w:line="562" w:lineRule="atLeast"/>
        <w:ind w:left="0" w:right="0" w:firstLine="0"/>
        <w:jc w:val="both"/>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一、柳城县行政许可事项清单中行政许可事项出自《法律、行政法规、国务院决定设定的行政许可事项清单（</w:t>
      </w:r>
      <w:r>
        <w:rPr>
          <w:rFonts w:hint="eastAsia" w:ascii="仿宋_GB2312" w:hAnsi="Times New Roman"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年版）》《广西壮族自治区行政许可事项清单（</w:t>
      </w:r>
      <w:r>
        <w:rPr>
          <w:rFonts w:hint="eastAsia" w:ascii="仿宋_GB2312" w:hAnsi="Times New Roman"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年版）》，有国家法律、行政法规、国务院决定和地方性法规作为设定依据，符合行政许可法关于行政许可性质的规定。</w:t>
      </w:r>
    </w:p>
    <w:p>
      <w:pPr>
        <w:pStyle w:val="6"/>
        <w:keepNext w:val="0"/>
        <w:keepLines w:val="0"/>
        <w:widowControl/>
        <w:suppressLineNumbers w:val="0"/>
        <w:spacing w:before="0" w:beforeAutospacing="1" w:after="0" w:afterAutospacing="0" w:line="562" w:lineRule="atLeast"/>
        <w:ind w:left="0" w:right="0" w:firstLine="0"/>
        <w:jc w:val="both"/>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二、行政许可事项实行清单管理。严格落实清单之外一律不得违法实施行政许可的要求，大力清理整治变相许可。有关行政机关和其他具有管理公共事务职能的组织以备案、证明、目录、计划、规划、指定、认证、年检等名义，要求行政相对人经申请获批后方可从事特定活动的，应当认定为变相许可。全县各乡镇各部门要加强对变相许可的自查自纠，坚决防止行政许可“明减暗增”。</w:t>
      </w:r>
    </w:p>
    <w:p>
      <w:pPr>
        <w:pStyle w:val="6"/>
        <w:keepNext w:val="0"/>
        <w:keepLines w:val="0"/>
        <w:widowControl/>
        <w:suppressLineNumbers w:val="0"/>
        <w:spacing w:before="0" w:beforeAutospacing="1" w:after="0" w:afterAutospacing="0" w:line="562" w:lineRule="atLeast"/>
        <w:ind w:left="0" w:right="0" w:firstLine="0"/>
        <w:jc w:val="both"/>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三、对承接自治区委托下放的行政许可事项，承接部门要加强与自治区业务主管部门对接，认真履行受委托职责，加强业务培训、指导等措施，确保事项“接得住、管得好”，严格按照自治区委托下放权限开展审批工作。</w:t>
      </w:r>
    </w:p>
    <w:p>
      <w:pPr>
        <w:pStyle w:val="6"/>
        <w:keepNext w:val="0"/>
        <w:keepLines w:val="0"/>
        <w:widowControl/>
        <w:suppressLineNumbers w:val="0"/>
        <w:spacing w:before="0" w:beforeAutospacing="1" w:after="0" w:afterAutospacing="0" w:line="562" w:lineRule="atLeast"/>
        <w:ind w:left="0" w:right="0" w:firstLine="0"/>
        <w:jc w:val="both"/>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四、全县各乡镇各部门依据柳城县行政许可事项清单对本级本部门权力清单中的行政许可类事项作相应调整。原柳城县已公布行政许可事项目录相关内容与柳城县行政许可事项清单不一致的，以柳城县行政许可事项清单为准。　</w:t>
      </w:r>
    </w:p>
    <w:p>
      <w:pPr>
        <w:pStyle w:val="6"/>
        <w:keepNext w:val="0"/>
        <w:keepLines w:val="0"/>
        <w:widowControl/>
        <w:suppressLineNumbers w:val="0"/>
        <w:spacing w:before="0" w:beforeAutospacing="1" w:after="0" w:afterAutospacing="0" w:line="562" w:lineRule="atLeast"/>
        <w:ind w:left="0" w:right="0" w:firstLine="641"/>
        <w:jc w:val="both"/>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五、权责清单、市场准入负面清单、政务服务事项基本目录、“互联网＋监管”事项清单、投资项目审批事项清单、工程建设项目审批事项清单等中涉及的行政许可事项，应当严格与柳城县行政许可事项清单保持一致并做好衔接。柳城县行政许可事项清单调整的，有关清单要适时作出相应调整。</w:t>
      </w:r>
    </w:p>
    <w:p>
      <w:pPr>
        <w:pStyle w:val="6"/>
        <w:keepNext w:val="0"/>
        <w:keepLines w:val="0"/>
        <w:widowControl/>
        <w:suppressLineNumbers w:val="0"/>
        <w:spacing w:before="0" w:beforeAutospacing="1" w:after="0" w:afterAutospacing="0" w:line="562" w:lineRule="atLeast"/>
        <w:ind w:left="0" w:right="0" w:firstLine="0"/>
        <w:jc w:val="both"/>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六、中直驻柳城单位行政许可事项的取消、下放、调整工作由中直驻柳城单位根据有关规定自行负责。为方便群众和企业办事，今后各中直驻柳城单位所主管的行政许可事项如有调整，应将调整后继续实施的行政许可事项目录送县审改牵头机构汇总，并统一对外公布。</w:t>
      </w:r>
    </w:p>
    <w:p>
      <w:pPr>
        <w:pStyle w:val="6"/>
        <w:keepNext w:val="0"/>
        <w:keepLines w:val="0"/>
        <w:widowControl/>
        <w:suppressLineNumbers w:val="0"/>
        <w:spacing w:before="0" w:beforeAutospacing="1" w:after="0" w:afterAutospacing="0" w:line="562" w:lineRule="atLeast"/>
        <w:ind w:left="0" w:right="0" w:firstLine="0"/>
        <w:jc w:val="left"/>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0"/>
        <w:jc w:val="left"/>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附件：</w:t>
      </w:r>
      <w:r>
        <w:rPr>
          <w:rFonts w:hint="eastAsia" w:ascii="仿宋_GB2312" w:hAnsi="Times New Roman" w:eastAsia="仿宋_GB2312" w:cs="仿宋_GB2312"/>
          <w:i w:val="0"/>
          <w:iCs w:val="0"/>
          <w:caps w:val="0"/>
          <w:color w:val="000000"/>
          <w:spacing w:val="0"/>
          <w:sz w:val="32"/>
          <w:szCs w:val="32"/>
        </w:rPr>
        <w:t>1.</w:t>
      </w:r>
      <w:r>
        <w:rPr>
          <w:rFonts w:hint="eastAsia" w:ascii="仿宋_GB2312" w:hAnsi="sans-serif" w:eastAsia="仿宋_GB2312" w:cs="仿宋_GB2312"/>
          <w:i w:val="0"/>
          <w:iCs w:val="0"/>
          <w:caps w:val="0"/>
          <w:color w:val="000000"/>
          <w:spacing w:val="0"/>
          <w:sz w:val="32"/>
          <w:szCs w:val="32"/>
        </w:rPr>
        <w:t>柳城县行政许可事项清单（</w:t>
      </w:r>
      <w:r>
        <w:rPr>
          <w:rFonts w:hint="eastAsia" w:ascii="仿宋_GB2312" w:hAnsi="Times New Roman"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年版）</w:t>
      </w:r>
    </w:p>
    <w:p>
      <w:pPr>
        <w:pStyle w:val="6"/>
        <w:keepNext w:val="0"/>
        <w:keepLines w:val="0"/>
        <w:widowControl/>
        <w:suppressLineNumbers w:val="0"/>
        <w:spacing w:before="0" w:beforeAutospacing="1" w:after="0" w:afterAutospacing="0" w:line="562" w:lineRule="atLeast"/>
        <w:ind w:left="0" w:right="0" w:firstLine="0"/>
        <w:jc w:val="left"/>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w:t>
      </w:r>
      <w:r>
        <w:rPr>
          <w:rFonts w:hint="eastAsia" w:ascii="仿宋_GB2312" w:hAnsi="Times New Roman" w:eastAsia="仿宋_GB2312" w:cs="仿宋_GB2312"/>
          <w:i w:val="0"/>
          <w:iCs w:val="0"/>
          <w:caps w:val="0"/>
          <w:color w:val="000000"/>
          <w:spacing w:val="0"/>
          <w:sz w:val="32"/>
          <w:szCs w:val="32"/>
        </w:rPr>
        <w:t>2.</w:t>
      </w:r>
      <w:r>
        <w:rPr>
          <w:rFonts w:hint="eastAsia" w:ascii="仿宋_GB2312" w:hAnsi="sans-serif" w:eastAsia="仿宋_GB2312" w:cs="仿宋_GB2312"/>
          <w:i w:val="0"/>
          <w:iCs w:val="0"/>
          <w:caps w:val="0"/>
          <w:color w:val="000000"/>
          <w:spacing w:val="0"/>
          <w:sz w:val="32"/>
          <w:szCs w:val="32"/>
        </w:rPr>
        <w:t>中直驻柳城单位行政许可事项清单（</w:t>
      </w:r>
      <w:r>
        <w:rPr>
          <w:rFonts w:hint="eastAsia" w:ascii="仿宋_GB2312" w:hAnsi="Times New Roman"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年版）</w:t>
      </w:r>
    </w:p>
    <w:p>
      <w:pPr>
        <w:pStyle w:val="6"/>
        <w:keepNext w:val="0"/>
        <w:keepLines w:val="0"/>
        <w:widowControl/>
        <w:suppressLineNumbers w:val="0"/>
        <w:spacing w:before="0" w:beforeAutospacing="1" w:after="0" w:afterAutospacing="0" w:line="562" w:lineRule="atLeast"/>
        <w:ind w:left="0" w:right="0" w:firstLine="0"/>
        <w:jc w:val="left"/>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0"/>
        <w:jc w:val="left"/>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0"/>
        <w:jc w:val="left"/>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0"/>
        <w:jc w:val="left"/>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0"/>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　　　　　　　　　　　　　　　柳城县人民政府</w:t>
      </w:r>
    </w:p>
    <w:p>
      <w:pPr>
        <w:pStyle w:val="6"/>
        <w:keepNext w:val="0"/>
        <w:keepLines w:val="0"/>
        <w:widowControl/>
        <w:suppressLineNumbers w:val="0"/>
        <w:spacing w:before="0" w:beforeAutospacing="1" w:after="0" w:afterAutospacing="0" w:line="562" w:lineRule="atLeast"/>
        <w:ind w:left="0" w:right="0" w:firstLine="5447"/>
        <w:jc w:val="left"/>
        <w:rPr>
          <w:rFonts w:hint="default" w:ascii="sans-serif" w:hAnsi="sans-serif" w:eastAsia="sans-serif" w:cs="sans-serif"/>
          <w:i w:val="0"/>
          <w:iCs w:val="0"/>
          <w:caps w:val="0"/>
          <w:color w:val="000000"/>
          <w:spacing w:val="0"/>
          <w:sz w:val="15"/>
          <w:szCs w:val="15"/>
        </w:rPr>
      </w:pPr>
      <w:r>
        <w:rPr>
          <w:rFonts w:hint="eastAsia" w:ascii="仿宋_GB2312" w:hAnsi="Times New Roman" w:eastAsia="仿宋_GB2312" w:cs="仿宋_GB2312"/>
          <w:i w:val="0"/>
          <w:iCs w:val="0"/>
          <w:caps w:val="0"/>
          <w:color w:val="000000"/>
          <w:spacing w:val="0"/>
          <w:sz w:val="32"/>
          <w:szCs w:val="32"/>
        </w:rPr>
        <w:t>2022</w:t>
      </w:r>
      <w:r>
        <w:rPr>
          <w:rFonts w:hint="eastAsia" w:ascii="仿宋_GB2312" w:hAnsi="sans-serif" w:eastAsia="仿宋_GB2312" w:cs="仿宋_GB2312"/>
          <w:i w:val="0"/>
          <w:iCs w:val="0"/>
          <w:caps w:val="0"/>
          <w:color w:val="000000"/>
          <w:spacing w:val="0"/>
          <w:sz w:val="32"/>
          <w:szCs w:val="32"/>
        </w:rPr>
        <w:t>年</w:t>
      </w:r>
      <w:r>
        <w:rPr>
          <w:rFonts w:hint="eastAsia" w:ascii="仿宋_GB2312" w:hAnsi="Times New Roman" w:eastAsia="仿宋_GB2312" w:cs="仿宋_GB2312"/>
          <w:i w:val="0"/>
          <w:iCs w:val="0"/>
          <w:caps w:val="0"/>
          <w:color w:val="000000"/>
          <w:spacing w:val="0"/>
          <w:sz w:val="32"/>
          <w:szCs w:val="32"/>
        </w:rPr>
        <w:t>9</w:t>
      </w:r>
      <w:r>
        <w:rPr>
          <w:rFonts w:hint="eastAsia" w:ascii="仿宋_GB2312" w:hAnsi="sans-serif" w:eastAsia="仿宋_GB2312" w:cs="仿宋_GB2312"/>
          <w:i w:val="0"/>
          <w:iCs w:val="0"/>
          <w:caps w:val="0"/>
          <w:color w:val="000000"/>
          <w:spacing w:val="0"/>
          <w:sz w:val="32"/>
          <w:szCs w:val="32"/>
        </w:rPr>
        <w:t>月</w:t>
      </w:r>
      <w:r>
        <w:rPr>
          <w:rFonts w:hint="eastAsia" w:ascii="仿宋_GB2312" w:hAnsi="Times New Roman" w:eastAsia="仿宋_GB2312" w:cs="仿宋_GB2312"/>
          <w:i w:val="0"/>
          <w:iCs w:val="0"/>
          <w:caps w:val="0"/>
          <w:color w:val="000000"/>
          <w:spacing w:val="0"/>
          <w:sz w:val="32"/>
          <w:szCs w:val="32"/>
        </w:rPr>
        <w:t>30</w:t>
      </w:r>
      <w:r>
        <w:rPr>
          <w:rFonts w:hint="eastAsia" w:ascii="仿宋_GB2312" w:hAnsi="sans-serif" w:eastAsia="仿宋_GB2312" w:cs="仿宋_GB2312"/>
          <w:i w:val="0"/>
          <w:iCs w:val="0"/>
          <w:caps w:val="0"/>
          <w:color w:val="000000"/>
          <w:spacing w:val="0"/>
          <w:sz w:val="32"/>
          <w:szCs w:val="32"/>
        </w:rPr>
        <w:t>日　　　</w:t>
      </w:r>
    </w:p>
    <w:p>
      <w:pPr>
        <w:pStyle w:val="6"/>
        <w:keepNext w:val="0"/>
        <w:keepLines w:val="0"/>
        <w:widowControl/>
        <w:suppressLineNumbers w:val="0"/>
        <w:spacing w:before="0" w:beforeAutospacing="1" w:after="0" w:afterAutospacing="0" w:line="562" w:lineRule="atLeast"/>
        <w:ind w:left="0" w:right="0" w:firstLine="641"/>
        <w:jc w:val="left"/>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2"/>
          <w:szCs w:val="32"/>
        </w:rPr>
        <w:t>（</w:t>
      </w:r>
      <w:r>
        <w:rPr>
          <w:rFonts w:hint="default" w:ascii="方正小标宋简体" w:hAnsi="方正小标宋简体" w:eastAsia="方正小标宋简体" w:cs="方正小标宋简体"/>
          <w:i w:val="0"/>
          <w:iCs w:val="0"/>
          <w:caps w:val="0"/>
          <w:color w:val="000000"/>
          <w:spacing w:val="0"/>
          <w:sz w:val="32"/>
          <w:szCs w:val="32"/>
        </w:rPr>
        <w:t>公开方式：</w:t>
      </w:r>
      <w:r>
        <w:rPr>
          <w:rFonts w:hint="eastAsia" w:ascii="仿宋_GB2312" w:hAnsi="sans-serif" w:eastAsia="仿宋_GB2312" w:cs="仿宋_GB2312"/>
          <w:i w:val="0"/>
          <w:iCs w:val="0"/>
          <w:caps w:val="0"/>
          <w:color w:val="000000"/>
          <w:spacing w:val="0"/>
          <w:sz w:val="32"/>
          <w:szCs w:val="32"/>
        </w:rPr>
        <w:t>主动公开）</w:t>
      </w:r>
    </w:p>
    <w:p>
      <w:pPr>
        <w:pStyle w:val="6"/>
        <w:keepNext w:val="0"/>
        <w:keepLines w:val="0"/>
        <w:widowControl/>
        <w:suppressLineNumbers w:val="0"/>
        <w:spacing w:before="0" w:beforeAutospacing="1" w:after="0" w:afterAutospacing="0" w:line="562" w:lineRule="atLeast"/>
        <w:ind w:left="0" w:right="0" w:firstLine="641"/>
        <w:jc w:val="left"/>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641"/>
        <w:jc w:val="left"/>
        <w:rPr>
          <w:rFonts w:hint="default" w:ascii="sans-serif" w:hAnsi="sans-serif" w:eastAsia="sans-serif" w:cs="sans-serif"/>
          <w:i w:val="0"/>
          <w:iCs w:val="0"/>
          <w:caps w:val="0"/>
          <w:color w:val="000000"/>
          <w:spacing w:val="0"/>
          <w:sz w:val="15"/>
          <w:szCs w:val="15"/>
        </w:rPr>
      </w:pPr>
    </w:p>
    <w:p>
      <w:pPr>
        <w:pStyle w:val="6"/>
        <w:keepNext w:val="0"/>
        <w:keepLines w:val="0"/>
        <w:widowControl/>
        <w:suppressLineNumbers w:val="0"/>
        <w:spacing w:before="0" w:beforeAutospacing="1" w:after="0" w:afterAutospacing="0" w:line="562" w:lineRule="atLeast"/>
        <w:ind w:left="0" w:right="0" w:firstLine="295"/>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0"/>
          <w:szCs w:val="30"/>
        </w:rPr>
        <w:t>抄送：县委各部门，各人民团体。</w:t>
      </w:r>
    </w:p>
    <w:p>
      <w:pPr>
        <w:pStyle w:val="6"/>
        <w:keepNext w:val="0"/>
        <w:keepLines w:val="0"/>
        <w:widowControl/>
        <w:suppressLineNumbers w:val="0"/>
        <w:spacing w:before="0" w:beforeAutospacing="1" w:after="0" w:afterAutospacing="0" w:line="562" w:lineRule="atLeast"/>
        <w:ind w:left="0" w:right="0" w:firstLine="295"/>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0"/>
          <w:szCs w:val="30"/>
        </w:rPr>
        <w:t>县人大常委会办公室，县政协办公室，县法院，县检察院。</w:t>
      </w:r>
    </w:p>
    <w:p>
      <w:pPr>
        <w:pStyle w:val="6"/>
        <w:keepNext w:val="0"/>
        <w:keepLines w:val="0"/>
        <w:widowControl/>
        <w:suppressLineNumbers w:val="0"/>
        <w:spacing w:before="0" w:beforeAutospacing="1" w:after="0" w:afterAutospacing="0" w:line="562" w:lineRule="atLeast"/>
        <w:ind w:left="0" w:right="0" w:firstLine="295"/>
        <w:rPr>
          <w:rFonts w:hint="default" w:ascii="sans-serif" w:hAnsi="sans-serif" w:eastAsia="sans-serif" w:cs="sans-serif"/>
          <w:i w:val="0"/>
          <w:iCs w:val="0"/>
          <w:caps w:val="0"/>
          <w:color w:val="000000"/>
          <w:spacing w:val="0"/>
          <w:sz w:val="15"/>
          <w:szCs w:val="15"/>
        </w:rPr>
      </w:pPr>
      <w:r>
        <w:rPr>
          <w:rFonts w:hint="eastAsia" w:ascii="仿宋_GB2312" w:hAnsi="sans-serif" w:eastAsia="仿宋_GB2312" w:cs="仿宋_GB2312"/>
          <w:i w:val="0"/>
          <w:iCs w:val="0"/>
          <w:caps w:val="0"/>
          <w:color w:val="000000"/>
          <w:spacing w:val="0"/>
          <w:sz w:val="30"/>
          <w:szCs w:val="30"/>
        </w:rPr>
        <w:t>柳城县人民政府办公室 </w:t>
      </w:r>
      <w:r>
        <w:rPr>
          <w:rFonts w:hint="eastAsia" w:ascii="仿宋_GB2312" w:hAnsi="Times New Roman" w:eastAsia="仿宋_GB2312" w:cs="仿宋_GB2312"/>
          <w:i w:val="0"/>
          <w:iCs w:val="0"/>
          <w:caps w:val="0"/>
          <w:color w:val="000000"/>
          <w:spacing w:val="0"/>
          <w:sz w:val="30"/>
          <w:szCs w:val="30"/>
        </w:rPr>
        <w:t>2022</w:t>
      </w:r>
      <w:r>
        <w:rPr>
          <w:rFonts w:hint="eastAsia" w:ascii="仿宋_GB2312" w:hAnsi="sans-serif" w:eastAsia="仿宋_GB2312" w:cs="仿宋_GB2312"/>
          <w:i w:val="0"/>
          <w:iCs w:val="0"/>
          <w:caps w:val="0"/>
          <w:color w:val="000000"/>
          <w:spacing w:val="0"/>
          <w:sz w:val="30"/>
          <w:szCs w:val="30"/>
        </w:rPr>
        <w:t>年</w:t>
      </w:r>
      <w:r>
        <w:rPr>
          <w:rFonts w:hint="eastAsia" w:ascii="仿宋_GB2312" w:hAnsi="Times New Roman" w:eastAsia="仿宋_GB2312" w:cs="仿宋_GB2312"/>
          <w:i w:val="0"/>
          <w:iCs w:val="0"/>
          <w:caps w:val="0"/>
          <w:color w:val="000000"/>
          <w:spacing w:val="0"/>
          <w:sz w:val="30"/>
          <w:szCs w:val="30"/>
        </w:rPr>
        <w:t>9</w:t>
      </w:r>
      <w:r>
        <w:rPr>
          <w:rFonts w:hint="eastAsia" w:ascii="仿宋_GB2312" w:hAnsi="sans-serif" w:eastAsia="仿宋_GB2312" w:cs="仿宋_GB2312"/>
          <w:i w:val="0"/>
          <w:iCs w:val="0"/>
          <w:caps w:val="0"/>
          <w:color w:val="000000"/>
          <w:spacing w:val="0"/>
          <w:sz w:val="30"/>
          <w:szCs w:val="30"/>
        </w:rPr>
        <w:t>月</w:t>
      </w:r>
      <w:r>
        <w:rPr>
          <w:rFonts w:hint="eastAsia" w:ascii="仿宋_GB2312" w:hAnsi="Times New Roman" w:eastAsia="仿宋_GB2312" w:cs="仿宋_GB2312"/>
          <w:i w:val="0"/>
          <w:iCs w:val="0"/>
          <w:caps w:val="0"/>
          <w:color w:val="000000"/>
          <w:spacing w:val="0"/>
          <w:sz w:val="30"/>
          <w:szCs w:val="30"/>
        </w:rPr>
        <w:t>30</w:t>
      </w:r>
      <w:r>
        <w:rPr>
          <w:rFonts w:hint="eastAsia" w:ascii="仿宋_GB2312" w:hAnsi="sans-serif" w:eastAsia="仿宋_GB2312" w:cs="仿宋_GB2312"/>
          <w:i w:val="0"/>
          <w:iCs w:val="0"/>
          <w:caps w:val="0"/>
          <w:color w:val="000000"/>
          <w:spacing w:val="0"/>
          <w:sz w:val="30"/>
          <w:szCs w:val="30"/>
        </w:rPr>
        <w:t>日印发</w:t>
      </w:r>
    </w:p>
    <w:p>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543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543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42.8pt;width:144pt;mso-position-horizontal:outside;mso-position-horizontal-relative:margin;mso-wrap-style:none;z-index:251659264;mso-width-relative:page;mso-height-relative:page;" filled="f" stroked="f" coordsize="21600,21600" o:gfxdata="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ZYYk9QAAAAEAQAADwAAAAAAAAABACAAAAAiAAAAZHJzL2Rvd25yZXYueG1s&#10;UEsBAhQAFAAAAAgAh07iQAb63aw1AgAAYAQAAA4AAAAAAAAAAQAgAAAAIwEAAGRycy9lMm9Eb2Mu&#10;eG1sUEsFBgAAAAAGAAYAWQEAAMoFA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NGZmNTMyOWM3ZTEzNTNkMjk5M2VkZTljYjU5YTUifQ=="/>
  </w:docVars>
  <w:rsids>
    <w:rsidRoot w:val="401E05D9"/>
    <w:rsid w:val="025D5C0E"/>
    <w:rsid w:val="0E1A1D85"/>
    <w:rsid w:val="159F14ED"/>
    <w:rsid w:val="17DB07D7"/>
    <w:rsid w:val="1D3D2514"/>
    <w:rsid w:val="20213559"/>
    <w:rsid w:val="26355556"/>
    <w:rsid w:val="287311B0"/>
    <w:rsid w:val="2CCC16C0"/>
    <w:rsid w:val="38765C86"/>
    <w:rsid w:val="401E05D9"/>
    <w:rsid w:val="48AC2FFE"/>
    <w:rsid w:val="58331046"/>
    <w:rsid w:val="5FECAD6D"/>
    <w:rsid w:val="6BDB3A77"/>
    <w:rsid w:val="708737C9"/>
    <w:rsid w:val="77052FDA"/>
    <w:rsid w:val="78EF38DF"/>
    <w:rsid w:val="7A7472FF"/>
    <w:rsid w:val="7DEFB118"/>
    <w:rsid w:val="7EF61AD3"/>
    <w:rsid w:val="FBF7E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1168</Words>
  <Characters>1211</Characters>
  <Lines>0</Lines>
  <Paragraphs>0</Paragraphs>
  <TotalTime>0</TotalTime>
  <ScaleCrop>false</ScaleCrop>
  <LinksUpToDate>false</LinksUpToDate>
  <CharactersWithSpaces>1276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2022-10-11T10:51:00Z</dcterms:created>
  <dc:creator>浮生若梦</dc:creator>
  <cp:lastModifiedBy>トゥルーライズ</cp:lastModifiedBy>
  <cp:lastPrinted>2022-10-11T11:02:00Z</cp:lastPrinted>
  <dcterms:modified xsi:type="dcterms:W3CDTF">2022-11-14T02:27:52Z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330A47FB6C6440598108C2EC3C20097E</vt:lpwstr>
  </property>
</Properties>
</file>