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0A99A">
      <w:pPr>
        <w:rPr>
          <w:rFonts w:ascii="楷体_GB2312" w:hAnsi="新宋体" w:eastAsia="楷体_GB2312"/>
          <w:sz w:val="24"/>
        </w:rPr>
      </w:pPr>
      <w:r>
        <w:rPr>
          <w:rFonts w:hint="eastAsia" w:ascii="楷体_GB2312" w:hAnsi="新宋体" w:eastAsia="楷体_GB2312"/>
          <w:sz w:val="28"/>
          <w:szCs w:val="28"/>
        </w:rPr>
        <w:t>提案首页</w:t>
      </w:r>
      <w:r>
        <w:rPr>
          <w:rFonts w:ascii="楷体_GB2312" w:hAnsi="新宋体" w:eastAsia="楷体_GB2312"/>
          <w:sz w:val="24"/>
        </w:rPr>
        <w:t xml:space="preserve">                                                         </w:t>
      </w:r>
      <w:r>
        <w:rPr>
          <w:rFonts w:hint="eastAsia" w:ascii="楷体_GB2312" w:hAnsi="新宋体" w:eastAsia="楷体_GB2312"/>
          <w:sz w:val="28"/>
          <w:szCs w:val="28"/>
        </w:rPr>
        <w:t>界别</w:t>
      </w:r>
      <w:r>
        <w:rPr>
          <w:rFonts w:ascii="楷体_GB2312" w:hAnsi="新宋体" w:eastAsia="楷体_GB2312"/>
          <w:sz w:val="24"/>
          <w:u w:val="single"/>
        </w:rPr>
        <w:t xml:space="preserve">  </w:t>
      </w:r>
      <w:r>
        <w:rPr>
          <w:rFonts w:hint="eastAsia" w:ascii="楷体_GB2312" w:hAnsi="新宋体" w:eastAsia="楷体_GB2312"/>
          <w:sz w:val="24"/>
          <w:u w:val="single"/>
        </w:rPr>
        <w:t>特邀</w:t>
      </w:r>
      <w:r>
        <w:rPr>
          <w:rFonts w:ascii="楷体_GB2312" w:hAnsi="新宋体" w:eastAsia="楷体_GB2312"/>
          <w:sz w:val="24"/>
          <w:u w:val="single"/>
        </w:rPr>
        <w:t xml:space="preserve">         </w:t>
      </w:r>
    </w:p>
    <w:p w14:paraId="42307613">
      <w:pPr>
        <w:rPr>
          <w:rFonts w:ascii="宋体-PUA" w:hAnsi="新宋体" w:eastAsia="新宋体"/>
          <w:sz w:val="24"/>
          <w:szCs w:val="44"/>
        </w:rPr>
      </w:pPr>
    </w:p>
    <w:p w14:paraId="12A1BE9A">
      <w:pPr>
        <w:jc w:val="center"/>
        <w:rPr>
          <w:rFonts w:ascii="宋体-PUA" w:hAnsi="新宋体" w:eastAsia="新宋体"/>
          <w:b/>
          <w:sz w:val="44"/>
          <w:szCs w:val="44"/>
        </w:rPr>
      </w:pPr>
      <w:r>
        <w:rPr>
          <w:rFonts w:hint="eastAsia" w:ascii="宋体-PUA" w:hAnsi="新宋体" w:eastAsia="新宋体"/>
          <w:b/>
          <w:sz w:val="44"/>
          <w:szCs w:val="44"/>
        </w:rPr>
        <w:t>柳城县政协十届五次会议提案</w:t>
      </w:r>
    </w:p>
    <w:p w14:paraId="27500984"/>
    <w:p w14:paraId="24CC671D"/>
    <w:p w14:paraId="76AD6F4F"/>
    <w:p w14:paraId="791DF52C">
      <w:pPr>
        <w:ind w:firstLine="640"/>
        <w:rPr>
          <w:rFonts w:eastAsia="黑体"/>
        </w:rPr>
      </w:pPr>
      <w:r>
        <w:rPr>
          <w:rFonts w:hint="eastAsia" w:eastAsia="黑体"/>
        </w:rPr>
        <w:t>案由</w:t>
      </w:r>
      <w:r>
        <w:rPr>
          <w:rFonts w:hint="eastAsia" w:eastAsia="黑体"/>
          <w:sz w:val="28"/>
        </w:rPr>
        <w:t>（即题目）</w:t>
      </w:r>
      <w:r>
        <w:rPr>
          <w:rFonts w:hint="eastAsia" w:eastAsia="黑体"/>
          <w:sz w:val="30"/>
        </w:rPr>
        <w:t>：</w:t>
      </w:r>
      <w:r>
        <w:rPr>
          <w:rFonts w:hint="eastAsia" w:eastAsia="黑体"/>
          <w:sz w:val="30"/>
          <w:u w:val="single"/>
        </w:rPr>
        <w:t>关于提升柳城县知青城景区发展的建议</w:t>
      </w:r>
    </w:p>
    <w:p w14:paraId="3BE6EBAE">
      <w:pPr>
        <w:ind w:firstLine="640"/>
        <w:rPr>
          <w:rFonts w:eastAsia="黑体"/>
          <w:sz w:val="30"/>
          <w:u w:val="single"/>
        </w:rPr>
      </w:pPr>
    </w:p>
    <w:p w14:paraId="455B9A3D">
      <w:pPr>
        <w:ind w:firstLine="640"/>
        <w:rPr>
          <w:rFonts w:eastAsia="黑体"/>
          <w:sz w:val="30"/>
          <w:u w:val="single"/>
        </w:rPr>
      </w:pPr>
    </w:p>
    <w:p w14:paraId="3B9076E2">
      <w:pPr>
        <w:ind w:firstLine="640"/>
        <w:rPr>
          <w:rFonts w:eastAsia="黑体"/>
          <w:sz w:val="30"/>
          <w:u w:val="single"/>
        </w:rPr>
      </w:pPr>
      <w:r>
        <w:rPr>
          <w:rFonts w:hint="eastAsia" w:eastAsia="黑体"/>
          <w:sz w:val="28"/>
          <w:szCs w:val="28"/>
        </w:rPr>
        <w:t>（委员提案）</w:t>
      </w:r>
    </w:p>
    <w:tbl>
      <w:tblPr>
        <w:tblStyle w:val="2"/>
        <w:tblW w:w="0" w:type="auto"/>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0FBA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835" w:type="dxa"/>
            <w:vAlign w:val="center"/>
          </w:tcPr>
          <w:p w14:paraId="52FC4878">
            <w:pPr>
              <w:rPr>
                <w:rFonts w:ascii="宋体"/>
                <w:sz w:val="28"/>
                <w:szCs w:val="28"/>
              </w:rPr>
            </w:pPr>
            <w:r>
              <w:rPr>
                <w:rFonts w:hint="eastAsia" w:ascii="宋体" w:hAnsi="宋体"/>
                <w:sz w:val="28"/>
                <w:szCs w:val="28"/>
              </w:rPr>
              <w:t>第一提案人（签名）：</w:t>
            </w:r>
            <w:r>
              <w:rPr>
                <w:rFonts w:hint="eastAsia" w:eastAsia="仿宋_GB2312"/>
                <w:szCs w:val="32"/>
              </w:rPr>
              <w:t>吕美烨</w:t>
            </w:r>
            <w:r>
              <w:rPr>
                <w:rFonts w:eastAsia="仿宋_GB2312"/>
                <w:szCs w:val="32"/>
              </w:rPr>
              <w:t xml:space="preserve"> </w:t>
            </w:r>
            <w:r>
              <w:rPr>
                <w:rFonts w:ascii="宋体" w:hAnsi="宋体"/>
                <w:sz w:val="28"/>
                <w:szCs w:val="28"/>
              </w:rPr>
              <w:t xml:space="preserve">     </w:t>
            </w:r>
            <w:r>
              <w:rPr>
                <w:rFonts w:hint="eastAsia" w:ascii="宋体" w:hAnsi="宋体"/>
                <w:sz w:val="28"/>
                <w:szCs w:val="28"/>
              </w:rPr>
              <w:t>联系电话：</w:t>
            </w:r>
            <w:r>
              <w:rPr>
                <w:rFonts w:eastAsia="仿宋_GB2312"/>
                <w:szCs w:val="32"/>
              </w:rPr>
              <w:t>17376126690</w:t>
            </w:r>
          </w:p>
        </w:tc>
      </w:tr>
      <w:tr w14:paraId="7177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8835" w:type="dxa"/>
            <w:vAlign w:val="center"/>
          </w:tcPr>
          <w:p w14:paraId="2ABF716C">
            <w:pPr>
              <w:rPr>
                <w:rFonts w:ascii="宋体"/>
                <w:sz w:val="28"/>
                <w:szCs w:val="28"/>
              </w:rPr>
            </w:pPr>
            <w:r>
              <w:rPr>
                <w:rFonts w:hint="eastAsia" w:ascii="宋体" w:hAnsi="宋体"/>
                <w:sz w:val="28"/>
                <w:szCs w:val="28"/>
              </w:rPr>
              <w:t>通讯地址：</w:t>
            </w:r>
            <w:r>
              <w:rPr>
                <w:rFonts w:hint="eastAsia"/>
                <w:sz w:val="28"/>
                <w:szCs w:val="28"/>
              </w:rPr>
              <w:t>大埔镇河西大道</w:t>
            </w:r>
            <w:r>
              <w:rPr>
                <w:sz w:val="28"/>
                <w:szCs w:val="28"/>
              </w:rPr>
              <w:t>138</w:t>
            </w:r>
            <w:r>
              <w:rPr>
                <w:rFonts w:hint="eastAsia"/>
                <w:sz w:val="28"/>
                <w:szCs w:val="28"/>
              </w:rPr>
              <w:t>号</w:t>
            </w:r>
            <w:r>
              <w:rPr>
                <w:sz w:val="28"/>
                <w:szCs w:val="28"/>
              </w:rPr>
              <w:t xml:space="preserve">   </w:t>
            </w:r>
            <w:r>
              <w:rPr>
                <w:rFonts w:hint="eastAsia"/>
                <w:sz w:val="28"/>
                <w:szCs w:val="28"/>
              </w:rPr>
              <w:t>提案日期：</w:t>
            </w:r>
            <w:r>
              <w:rPr>
                <w:sz w:val="28"/>
                <w:szCs w:val="28"/>
              </w:rPr>
              <w:t>2025</w:t>
            </w:r>
            <w:r>
              <w:rPr>
                <w:rFonts w:hint="eastAsia"/>
                <w:sz w:val="28"/>
                <w:szCs w:val="28"/>
              </w:rPr>
              <w:t>年</w:t>
            </w:r>
            <w:r>
              <w:rPr>
                <w:sz w:val="28"/>
                <w:szCs w:val="28"/>
              </w:rPr>
              <w:t>1</w:t>
            </w:r>
            <w:r>
              <w:rPr>
                <w:rFonts w:hint="eastAsia"/>
                <w:sz w:val="28"/>
                <w:szCs w:val="28"/>
              </w:rPr>
              <w:t>月</w:t>
            </w:r>
            <w:r>
              <w:rPr>
                <w:sz w:val="28"/>
                <w:szCs w:val="28"/>
              </w:rPr>
              <w:t>20</w:t>
            </w:r>
            <w:r>
              <w:rPr>
                <w:rFonts w:hint="eastAsia"/>
                <w:sz w:val="28"/>
                <w:szCs w:val="28"/>
              </w:rPr>
              <w:t>日</w:t>
            </w:r>
          </w:p>
        </w:tc>
      </w:tr>
    </w:tbl>
    <w:p w14:paraId="7F549A80">
      <w:pPr>
        <w:rPr>
          <w:sz w:val="28"/>
          <w:szCs w:val="28"/>
        </w:rPr>
      </w:pPr>
    </w:p>
    <w:p w14:paraId="461E877F">
      <w:pPr>
        <w:rPr>
          <w:rFonts w:eastAsia="黑体"/>
          <w:sz w:val="28"/>
          <w:szCs w:val="28"/>
        </w:rPr>
      </w:pPr>
      <w:r>
        <w:rPr>
          <w:rFonts w:eastAsia="黑体"/>
          <w:sz w:val="28"/>
          <w:szCs w:val="28"/>
        </w:rPr>
        <w:t xml:space="preserve">    </w:t>
      </w:r>
      <w:r>
        <w:rPr>
          <w:rFonts w:hint="eastAsia" w:eastAsia="黑体"/>
          <w:sz w:val="28"/>
          <w:szCs w:val="28"/>
        </w:rPr>
        <w:t>（集体提案）</w:t>
      </w:r>
    </w:p>
    <w:tbl>
      <w:tblPr>
        <w:tblStyle w:val="2"/>
        <w:tblW w:w="0" w:type="auto"/>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14:paraId="12966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865" w:type="dxa"/>
            <w:vAlign w:val="center"/>
          </w:tcPr>
          <w:p w14:paraId="1EA2A90D">
            <w:pPr>
              <w:rPr>
                <w:rFonts w:ascii="宋体"/>
                <w:sz w:val="28"/>
                <w:szCs w:val="28"/>
              </w:rPr>
            </w:pPr>
            <w:r>
              <w:rPr>
                <w:rFonts w:hint="eastAsia" w:ascii="宋体" w:hAnsi="宋体"/>
                <w:sz w:val="28"/>
                <w:szCs w:val="28"/>
              </w:rPr>
              <w:t>提案单位（公章）：</w:t>
            </w:r>
            <w:r>
              <w:rPr>
                <w:rFonts w:ascii="宋体" w:hAnsi="宋体"/>
                <w:sz w:val="28"/>
                <w:szCs w:val="28"/>
              </w:rPr>
              <w:t xml:space="preserve">                  </w:t>
            </w:r>
            <w:r>
              <w:rPr>
                <w:rFonts w:hint="eastAsia" w:ascii="宋体" w:hAnsi="宋体"/>
                <w:sz w:val="28"/>
                <w:szCs w:val="28"/>
              </w:rPr>
              <w:t>联系电话：</w:t>
            </w:r>
          </w:p>
        </w:tc>
      </w:tr>
      <w:tr w14:paraId="2A32B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865" w:type="dxa"/>
            <w:vAlign w:val="center"/>
          </w:tcPr>
          <w:p w14:paraId="74BE8738">
            <w:pPr>
              <w:rPr>
                <w:rFonts w:ascii="宋体"/>
                <w:sz w:val="28"/>
                <w:szCs w:val="28"/>
              </w:rPr>
            </w:pPr>
            <w:r>
              <w:rPr>
                <w:rFonts w:hint="eastAsia" w:ascii="宋体" w:hAnsi="宋体"/>
                <w:sz w:val="28"/>
                <w:szCs w:val="28"/>
              </w:rPr>
              <w:t>联系人：</w:t>
            </w:r>
            <w:r>
              <w:rPr>
                <w:rFonts w:ascii="宋体" w:hAnsi="宋体"/>
                <w:sz w:val="28"/>
                <w:szCs w:val="28"/>
              </w:rPr>
              <w:t xml:space="preserve">                           </w:t>
            </w:r>
            <w:r>
              <w:rPr>
                <w:rFonts w:hint="eastAsia" w:ascii="宋体" w:hAnsi="宋体"/>
                <w:sz w:val="28"/>
                <w:szCs w:val="28"/>
              </w:rPr>
              <w:t>提案日期：</w:t>
            </w:r>
            <w:r>
              <w:rPr>
                <w:rFonts w:ascii="宋体" w:hAnsi="宋体"/>
                <w:sz w:val="28"/>
                <w:szCs w:val="28"/>
              </w:rPr>
              <w:t xml:space="preserve">     </w:t>
            </w: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tc>
      </w:tr>
    </w:tbl>
    <w:p w14:paraId="1841D36B">
      <w:pPr>
        <w:rPr>
          <w:sz w:val="28"/>
          <w:szCs w:val="28"/>
        </w:rPr>
      </w:pPr>
    </w:p>
    <w:p w14:paraId="35D0D18C">
      <w:pPr>
        <w:rPr>
          <w:sz w:val="28"/>
          <w:szCs w:val="28"/>
        </w:rPr>
      </w:pPr>
    </w:p>
    <w:p w14:paraId="553D9794">
      <w:pPr>
        <w:rPr>
          <w:sz w:val="28"/>
          <w:szCs w:val="28"/>
        </w:rPr>
      </w:pPr>
    </w:p>
    <w:p w14:paraId="105AB72B">
      <w:pPr>
        <w:rPr>
          <w:rFonts w:eastAsia="黑体"/>
          <w:sz w:val="28"/>
          <w:szCs w:val="28"/>
        </w:rPr>
      </w:pPr>
      <w:r>
        <w:rPr>
          <w:rFonts w:eastAsia="黑体"/>
          <w:sz w:val="28"/>
          <w:szCs w:val="28"/>
        </w:rPr>
        <w:t xml:space="preserve">    </w:t>
      </w:r>
      <w:r>
        <w:rPr>
          <w:rFonts w:hint="eastAsia" w:eastAsia="黑体"/>
          <w:sz w:val="28"/>
          <w:szCs w:val="28"/>
        </w:rPr>
        <w:t>提案审查意见</w:t>
      </w:r>
    </w:p>
    <w:tbl>
      <w:tblPr>
        <w:tblStyle w:val="2"/>
        <w:tblW w:w="0" w:type="auto"/>
        <w:tblInd w:w="4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2"/>
        <w:gridCol w:w="1417"/>
        <w:gridCol w:w="1418"/>
      </w:tblGrid>
      <w:tr w14:paraId="3CE6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6022" w:type="dxa"/>
            <w:vAlign w:val="center"/>
          </w:tcPr>
          <w:p w14:paraId="530F21DC">
            <w:pPr>
              <w:rPr>
                <w:rFonts w:ascii="宋体"/>
                <w:sz w:val="28"/>
                <w:szCs w:val="28"/>
              </w:rPr>
            </w:pPr>
            <w:r>
              <w:rPr>
                <w:rFonts w:hint="eastAsia" w:ascii="宋体" w:hAnsi="宋体"/>
                <w:sz w:val="28"/>
                <w:szCs w:val="28"/>
              </w:rPr>
              <w:t>经提案审查委员会审查：</w:t>
            </w:r>
          </w:p>
        </w:tc>
        <w:tc>
          <w:tcPr>
            <w:tcW w:w="1417" w:type="dxa"/>
            <w:vAlign w:val="center"/>
          </w:tcPr>
          <w:p w14:paraId="10E0EB97">
            <w:pPr>
              <w:jc w:val="center"/>
              <w:rPr>
                <w:rFonts w:ascii="宋体"/>
                <w:spacing w:val="-10"/>
                <w:sz w:val="28"/>
                <w:szCs w:val="28"/>
              </w:rPr>
            </w:pPr>
            <w:r>
              <w:rPr>
                <w:rFonts w:hint="eastAsia" w:ascii="宋体" w:hAnsi="宋体"/>
                <w:spacing w:val="-10"/>
                <w:sz w:val="28"/>
                <w:szCs w:val="28"/>
              </w:rPr>
              <w:t>提案编号</w:t>
            </w:r>
          </w:p>
        </w:tc>
        <w:tc>
          <w:tcPr>
            <w:tcW w:w="1418" w:type="dxa"/>
            <w:vAlign w:val="center"/>
          </w:tcPr>
          <w:p w14:paraId="236186C4">
            <w:pPr>
              <w:jc w:val="center"/>
              <w:rPr>
                <w:rFonts w:ascii="宋体"/>
                <w:sz w:val="28"/>
                <w:szCs w:val="28"/>
              </w:rPr>
            </w:pPr>
          </w:p>
        </w:tc>
      </w:tr>
      <w:tr w14:paraId="3B5F3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8857" w:type="dxa"/>
            <w:gridSpan w:val="3"/>
            <w:vAlign w:val="center"/>
          </w:tcPr>
          <w:p w14:paraId="515FD1E1">
            <w:pPr>
              <w:spacing w:line="440" w:lineRule="exact"/>
              <w:jc w:val="center"/>
              <w:rPr>
                <w:rFonts w:ascii="宋体"/>
                <w:sz w:val="28"/>
                <w:szCs w:val="28"/>
              </w:rPr>
            </w:pPr>
            <w:r>
              <w:rPr>
                <w:rFonts w:ascii="宋体" w:hAnsi="宋体"/>
                <w:sz w:val="28"/>
                <w:szCs w:val="28"/>
              </w:rPr>
              <w:t xml:space="preserve">                                        </w:t>
            </w:r>
          </w:p>
          <w:p w14:paraId="39DC3BE4">
            <w:pPr>
              <w:spacing w:line="440" w:lineRule="exact"/>
              <w:jc w:val="center"/>
              <w:rPr>
                <w:rFonts w:ascii="宋体"/>
                <w:sz w:val="28"/>
                <w:szCs w:val="28"/>
              </w:rPr>
            </w:pPr>
            <w:r>
              <w:rPr>
                <w:rFonts w:ascii="宋体" w:hAnsi="宋体"/>
                <w:sz w:val="28"/>
                <w:szCs w:val="28"/>
              </w:rPr>
              <w:t xml:space="preserve">                                          </w:t>
            </w:r>
            <w:r>
              <w:rPr>
                <w:rFonts w:hint="eastAsia" w:ascii="宋体" w:hAnsi="宋体"/>
                <w:spacing w:val="20"/>
                <w:sz w:val="28"/>
                <w:szCs w:val="28"/>
              </w:rPr>
              <w:t>政协柳城县委员会</w:t>
            </w:r>
            <w:r>
              <w:rPr>
                <w:rFonts w:ascii="宋体" w:hAnsi="宋体"/>
                <w:spacing w:val="20"/>
                <w:sz w:val="28"/>
                <w:szCs w:val="28"/>
              </w:rPr>
              <w:t xml:space="preserve">                                    </w:t>
            </w:r>
          </w:p>
          <w:p w14:paraId="27932391">
            <w:pPr>
              <w:spacing w:line="440" w:lineRule="exact"/>
              <w:jc w:val="center"/>
              <w:rPr>
                <w:rFonts w:ascii="宋体"/>
                <w:sz w:val="28"/>
                <w:szCs w:val="28"/>
              </w:rPr>
            </w:pPr>
            <w:r>
              <w:rPr>
                <w:rFonts w:ascii="宋体" w:hAnsi="宋体"/>
                <w:sz w:val="28"/>
                <w:szCs w:val="28"/>
              </w:rPr>
              <w:t xml:space="preserve">                                                </w:t>
            </w: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tc>
      </w:tr>
    </w:tbl>
    <w:p w14:paraId="673D9ED3">
      <w:pPr>
        <w:rPr>
          <w:sz w:val="28"/>
          <w:szCs w:val="28"/>
        </w:rPr>
      </w:pPr>
    </w:p>
    <w:p w14:paraId="6993C860">
      <w:pPr>
        <w:spacing w:line="420" w:lineRule="exact"/>
        <w:ind w:left="31680" w:hanging="480" w:hangingChars="150"/>
      </w:pPr>
      <w:r>
        <w:t xml:space="preserve">      </w:t>
      </w:r>
    </w:p>
    <w:p w14:paraId="4C9FF617">
      <w:pPr>
        <w:spacing w:line="420" w:lineRule="exact"/>
        <w:ind w:left="480" w:leftChars="150" w:firstLine="280" w:firstLineChars="100"/>
        <w:rPr>
          <w:rFonts w:ascii="仿宋_GB2312" w:eastAsia="仿宋_GB2312"/>
          <w:sz w:val="28"/>
          <w:szCs w:val="28"/>
        </w:rPr>
        <w:sectPr>
          <w:headerReference r:id="rId3" w:type="default"/>
          <w:footerReference r:id="rId4" w:type="default"/>
          <w:pgSz w:w="11906" w:h="16838"/>
          <w:pgMar w:top="1247" w:right="1247" w:bottom="1134" w:left="1247" w:header="851" w:footer="992" w:gutter="0"/>
          <w:pgNumType w:start="1"/>
          <w:cols w:space="720" w:num="1"/>
          <w:docGrid w:linePitch="312" w:charSpace="0"/>
        </w:sectPr>
      </w:pPr>
      <w:r>
        <w:rPr>
          <w:rFonts w:hint="eastAsia" w:ascii="仿宋_GB2312" w:eastAsia="仿宋_GB2312"/>
          <w:sz w:val="28"/>
          <w:szCs w:val="28"/>
        </w:rPr>
        <w:t>注：附议（联名）提案人必须了解提案内容，同意后在后面的“联名提案人签名页”工整签名。</w:t>
      </w:r>
    </w:p>
    <w:p w14:paraId="18E25FEC"/>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6E2A3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3" w:hRule="atLeast"/>
        </w:trPr>
        <w:tc>
          <w:tcPr>
            <w:tcW w:w="9356" w:type="dxa"/>
          </w:tcPr>
          <w:p w14:paraId="7828AD3B">
            <w:pPr>
              <w:spacing w:line="560" w:lineRule="exact"/>
              <w:ind w:firstLine="720" w:firstLineChars="200"/>
              <w:rPr>
                <w:rFonts w:ascii="黑体" w:hAnsi="仿宋_GB2312" w:eastAsia="黑体"/>
                <w:sz w:val="36"/>
                <w:szCs w:val="36"/>
              </w:rPr>
            </w:pPr>
          </w:p>
          <w:p w14:paraId="40AA976E">
            <w:pPr>
              <w:spacing w:line="560" w:lineRule="exact"/>
              <w:rPr>
                <w:rFonts w:ascii="仿宋_GB2312" w:hAnsi="仿宋_GB2312" w:eastAsia="仿宋_GB2312"/>
                <w:szCs w:val="32"/>
              </w:rPr>
            </w:pPr>
            <w:r>
              <w:rPr>
                <w:rFonts w:ascii="仿宋_GB2312" w:hAnsi="仿宋_GB2312" w:eastAsia="仿宋_GB2312"/>
                <w:szCs w:val="32"/>
              </w:rPr>
              <w:t xml:space="preserve">    </w:t>
            </w:r>
            <w:r>
              <w:rPr>
                <w:rFonts w:hint="eastAsia" w:ascii="黑体" w:hAnsi="仿宋_GB2312" w:eastAsia="黑体"/>
                <w:szCs w:val="32"/>
              </w:rPr>
              <w:t>基本情况：</w:t>
            </w:r>
          </w:p>
          <w:p w14:paraId="7EF8F537">
            <w:pPr>
              <w:spacing w:line="520" w:lineRule="exact"/>
              <w:ind w:firstLine="640" w:firstLineChars="200"/>
              <w:rPr>
                <w:rFonts w:eastAsia="仿宋_GB2312"/>
                <w:szCs w:val="32"/>
              </w:rPr>
            </w:pPr>
            <w:r>
              <w:rPr>
                <w:rFonts w:hint="eastAsia" w:eastAsia="仿宋_GB2312"/>
                <w:szCs w:val="32"/>
              </w:rPr>
              <w:t>柳城县知青城，国家</w:t>
            </w:r>
            <w:r>
              <w:rPr>
                <w:rFonts w:eastAsia="仿宋_GB2312"/>
                <w:szCs w:val="32"/>
              </w:rPr>
              <w:t>AAAA</w:t>
            </w:r>
            <w:r>
              <w:rPr>
                <w:rFonts w:hint="eastAsia" w:eastAsia="仿宋_GB2312"/>
                <w:szCs w:val="32"/>
              </w:rPr>
              <w:t>级旅游景区，是全国第一个开放式、互动性的“知青”文化创意产业公园，为中国“知青”第一城。</w:t>
            </w:r>
            <w:r>
              <w:rPr>
                <w:rFonts w:eastAsia="仿宋_GB2312"/>
                <w:szCs w:val="32"/>
              </w:rPr>
              <w:t>2011</w:t>
            </w:r>
            <w:r>
              <w:rPr>
                <w:rFonts w:hint="eastAsia" w:eastAsia="仿宋_GB2312"/>
                <w:szCs w:val="32"/>
              </w:rPr>
              <w:t>年成功创建广西农业旅游示范点，</w:t>
            </w:r>
            <w:r>
              <w:rPr>
                <w:rFonts w:eastAsia="仿宋_GB2312"/>
                <w:szCs w:val="32"/>
              </w:rPr>
              <w:t>2014</w:t>
            </w:r>
            <w:r>
              <w:rPr>
                <w:rFonts w:hint="eastAsia" w:eastAsia="仿宋_GB2312"/>
                <w:szCs w:val="32"/>
              </w:rPr>
              <w:t>年成功创建全国</w:t>
            </w:r>
            <w:r>
              <w:rPr>
                <w:rFonts w:eastAsia="仿宋_GB2312"/>
                <w:szCs w:val="32"/>
              </w:rPr>
              <w:t>AAAA</w:t>
            </w:r>
            <w:r>
              <w:rPr>
                <w:rFonts w:hint="eastAsia" w:eastAsia="仿宋_GB2312"/>
                <w:szCs w:val="32"/>
              </w:rPr>
              <w:t>级旅游景区。现柳城县知青城景区面临发展困难，质量逐渐下降，除了影响口碑外，还存在被降级或取消旅游景区等级风险，应当引起各级、各部门的高度重视。</w:t>
            </w:r>
          </w:p>
          <w:p w14:paraId="3F14ED7F">
            <w:pPr>
              <w:spacing w:line="520" w:lineRule="exact"/>
              <w:ind w:firstLine="640" w:firstLineChars="200"/>
              <w:rPr>
                <w:rFonts w:ascii="楷体_GB2312" w:hAnsi="楷体_GB2312" w:eastAsia="楷体_GB2312"/>
                <w:b/>
                <w:bCs/>
                <w:kern w:val="44"/>
                <w:szCs w:val="32"/>
              </w:rPr>
            </w:pPr>
            <w:r>
              <w:rPr>
                <w:rFonts w:hint="eastAsia" w:ascii="黑体" w:hAnsi="黑体" w:eastAsia="黑体" w:cs="黑体"/>
                <w:kern w:val="44"/>
                <w:szCs w:val="32"/>
              </w:rPr>
              <w:t>一、发展经营权不明确</w:t>
            </w:r>
            <w:r>
              <w:rPr>
                <w:rFonts w:hint="eastAsia" w:ascii="黑体" w:hAnsi="黑体" w:eastAsia="黑体" w:cs="黑体"/>
                <w:szCs w:val="32"/>
              </w:rPr>
              <w:t>。</w:t>
            </w:r>
            <w:r>
              <w:rPr>
                <w:rFonts w:hint="eastAsia" w:eastAsia="仿宋_GB2312"/>
                <w:szCs w:val="32"/>
              </w:rPr>
              <w:t>柳城县知青城景区经招商引资后交由广西知青文化旅游开发有限公司进行统一管理开发利用。</w:t>
            </w:r>
            <w:r>
              <w:rPr>
                <w:rFonts w:eastAsia="仿宋_GB2312"/>
                <w:szCs w:val="32"/>
              </w:rPr>
              <w:t>2021</w:t>
            </w:r>
            <w:r>
              <w:rPr>
                <w:rFonts w:hint="eastAsia" w:eastAsia="仿宋_GB2312"/>
                <w:szCs w:val="32"/>
              </w:rPr>
              <w:t>年为盘活景区经济，实现持续造血功能，县政府协调平台公司拟对知青城进行收储，多次对知青城进行评估并已签订征收补偿协议，但由于各方原因，收储工作处于停滞状态。其间广西知青文化旅游开发有限公司也多次以来信来访、热线等方式要求落实征收补偿及明确发展经营权等问题。</w:t>
            </w:r>
          </w:p>
          <w:p w14:paraId="1A44B1D3">
            <w:pPr>
              <w:spacing w:line="520" w:lineRule="exact"/>
              <w:ind w:firstLine="640" w:firstLineChars="200"/>
              <w:rPr>
                <w:rFonts w:ascii="楷体_GB2312" w:hAnsi="楷体_GB2312" w:eastAsia="楷体_GB2312"/>
                <w:b/>
                <w:bCs/>
                <w:szCs w:val="32"/>
              </w:rPr>
            </w:pPr>
            <w:r>
              <w:rPr>
                <w:rFonts w:hint="eastAsia" w:ascii="黑体" w:hAnsi="黑体" w:eastAsia="黑体" w:cs="黑体"/>
                <w:kern w:val="44"/>
                <w:szCs w:val="32"/>
              </w:rPr>
              <w:t>二、景区管护不到位。</w:t>
            </w:r>
            <w:r>
              <w:rPr>
                <w:rFonts w:hint="eastAsia" w:eastAsia="仿宋_GB2312"/>
                <w:szCs w:val="32"/>
              </w:rPr>
              <w:t>柳城县知青城景区是广西唯一以知青文化为主题打造的景区，是党性教育、爱国主义教育的基地，除了接待游客外，还承担接待党政机关各组织参观调研的职能，每年至少接待各级各地方政协、人大等群团组织参观调研</w:t>
            </w:r>
            <w:r>
              <w:rPr>
                <w:rFonts w:eastAsia="仿宋_GB2312"/>
                <w:szCs w:val="32"/>
              </w:rPr>
              <w:t>20</w:t>
            </w:r>
            <w:r>
              <w:rPr>
                <w:rFonts w:hint="eastAsia" w:eastAsia="仿宋_GB2312"/>
                <w:szCs w:val="32"/>
              </w:rPr>
              <w:t>次，各级党组织和各地老知青团体参观团体</w:t>
            </w:r>
            <w:r>
              <w:rPr>
                <w:rFonts w:eastAsia="仿宋_GB2312"/>
                <w:szCs w:val="32"/>
              </w:rPr>
              <w:t>80</w:t>
            </w:r>
            <w:r>
              <w:rPr>
                <w:rFonts w:hint="eastAsia" w:eastAsia="仿宋_GB2312"/>
                <w:szCs w:val="32"/>
              </w:rPr>
              <w:t>多个，参观人次年均</w:t>
            </w:r>
            <w:r>
              <w:rPr>
                <w:rFonts w:eastAsia="仿宋_GB2312"/>
                <w:szCs w:val="32"/>
              </w:rPr>
              <w:t>6</w:t>
            </w:r>
            <w:r>
              <w:rPr>
                <w:rFonts w:hint="eastAsia" w:eastAsia="仿宋_GB2312"/>
                <w:szCs w:val="32"/>
              </w:rPr>
              <w:t>万人次以上。现在由于经营效益、收储工作等原因，服务质量逐渐下降。</w:t>
            </w:r>
            <w:r>
              <w:rPr>
                <w:rFonts w:hint="eastAsia" w:eastAsia="仿宋_GB2312"/>
                <w:b/>
                <w:bCs/>
                <w:szCs w:val="32"/>
              </w:rPr>
              <w:t>一是设施陈旧，利用率不高。</w:t>
            </w:r>
            <w:r>
              <w:rPr>
                <w:rFonts w:hint="eastAsia" w:eastAsia="仿宋_GB2312"/>
                <w:szCs w:val="32"/>
              </w:rPr>
              <w:t>知青城景区内的博物馆，由于天气潮湿、缺少养护等原因，里面的相片已模糊褪色，陈列的农具也有发霉迹象。知青街的雕像元素已脱漆没有得到修复。因经费问题，目前除了知青农场、知青食堂和知青博物馆等基本得以正常运营和开放服务外，其他游客服务项目缺失，如知青景区公厕已属于停用状态，游客也多次投诉；旅游接待中心、知青旅社因客流量少，利用率低。</w:t>
            </w:r>
            <w:r>
              <w:rPr>
                <w:rFonts w:hint="eastAsia" w:eastAsia="仿宋_GB2312"/>
                <w:b/>
                <w:bCs/>
                <w:szCs w:val="32"/>
              </w:rPr>
              <w:t>二是外立面风格不统一。</w:t>
            </w:r>
            <w:r>
              <w:rPr>
                <w:rFonts w:hint="eastAsia" w:eastAsia="仿宋_GB2312"/>
                <w:szCs w:val="32"/>
              </w:rPr>
              <w:t>原来外立面改造时，沿路的外墙进行统一的喷绘，写有毛泽东语录，画有知青年代的插画，现在群众重建房子后，外立面没有得到修复，风格被破坏。</w:t>
            </w:r>
            <w:r>
              <w:rPr>
                <w:rFonts w:hint="eastAsia" w:eastAsia="仿宋_GB2312"/>
                <w:b/>
                <w:bCs/>
                <w:szCs w:val="32"/>
              </w:rPr>
              <w:t>三是安全管护缺失。</w:t>
            </w:r>
            <w:r>
              <w:rPr>
                <w:rFonts w:hint="eastAsia" w:eastAsia="仿宋_GB2312"/>
                <w:szCs w:val="32"/>
              </w:rPr>
              <w:t>县政府协调平台公司拟对知青城进行收储后，景区里的监控设施就交由平台公司负责，但是平台公司长期没有支付网络费用，造成监督失效，安全没有保障。</w:t>
            </w:r>
          </w:p>
          <w:p w14:paraId="38AE7A97">
            <w:pPr>
              <w:spacing w:line="520" w:lineRule="exact"/>
              <w:ind w:firstLine="640" w:firstLineChars="200"/>
              <w:rPr>
                <w:rFonts w:eastAsia="仿宋_GB2312"/>
                <w:b/>
                <w:bCs/>
                <w:szCs w:val="32"/>
              </w:rPr>
            </w:pPr>
            <w:r>
              <w:rPr>
                <w:rFonts w:hint="eastAsia" w:ascii="黑体" w:hAnsi="黑体" w:eastAsia="黑体" w:cs="黑体"/>
                <w:szCs w:val="32"/>
              </w:rPr>
              <w:t>三、红色文化资源保护机制缺位</w:t>
            </w:r>
            <w:r>
              <w:rPr>
                <w:rFonts w:hint="eastAsia" w:ascii="黑体" w:hAnsi="黑体" w:eastAsia="黑体" w:cs="黑体"/>
                <w:color w:val="000000"/>
                <w:szCs w:val="32"/>
              </w:rPr>
              <w:t>。</w:t>
            </w:r>
            <w:r>
              <w:rPr>
                <w:rFonts w:hint="eastAsia" w:eastAsia="仿宋_GB2312"/>
                <w:szCs w:val="32"/>
              </w:rPr>
              <w:t>由于政策、管理和资金等配套措施不到位，知青街（大埔镇洛崖社区老街）的历史建筑得不到有效保护，很多群众为了改善居住环境，拆旧重建，这使得一些红色遗址或是当时的历史风貌无法保留（原欧式建筑风格洛崖邮电所已被拆除），原来具有象征性元素的老照片墙也被拆除，历史文化载体逐渐消失，这些都极大削弱和影响知青城景区的历史文化和旅游价值。</w:t>
            </w:r>
          </w:p>
        </w:tc>
      </w:tr>
    </w:tbl>
    <w:p w14:paraId="77262978">
      <w:pPr>
        <w:spacing w:line="560" w:lineRule="exact"/>
        <w:rPr>
          <w:rFonts w:ascii="仿宋_GB2312" w:hAnsi="仿宋_GB2312" w:eastAsia="仿宋_GB2312"/>
        </w:rPr>
      </w:pPr>
    </w:p>
    <w:p w14:paraId="39937F0A">
      <w:pPr>
        <w:spacing w:line="560" w:lineRule="exact"/>
        <w:rPr>
          <w:rFonts w:ascii="仿宋_GB2312" w:hAnsi="仿宋_GB2312" w:eastAsia="仿宋_GB2312"/>
        </w:rPr>
      </w:pP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663D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6" w:hRule="atLeast"/>
        </w:trPr>
        <w:tc>
          <w:tcPr>
            <w:tcW w:w="9356" w:type="dxa"/>
          </w:tcPr>
          <w:p w14:paraId="32ADF6D2">
            <w:pPr>
              <w:spacing w:line="560" w:lineRule="exact"/>
              <w:ind w:firstLine="640" w:firstLineChars="200"/>
              <w:rPr>
                <w:rFonts w:ascii="黑体" w:hAnsi="仿宋_GB2312" w:eastAsia="黑体"/>
                <w:szCs w:val="32"/>
              </w:rPr>
            </w:pPr>
            <w:r>
              <w:rPr>
                <w:rFonts w:hint="eastAsia" w:ascii="黑体" w:hAnsi="仿宋_GB2312" w:eastAsia="黑体"/>
                <w:szCs w:val="32"/>
              </w:rPr>
              <w:t>对策建议：</w:t>
            </w:r>
          </w:p>
          <w:p w14:paraId="6A7056D1">
            <w:pPr>
              <w:spacing w:line="520" w:lineRule="exact"/>
              <w:ind w:firstLine="643" w:firstLineChars="200"/>
              <w:rPr>
                <w:rFonts w:eastAsia="仿宋_GB2312"/>
                <w:b/>
                <w:bCs/>
                <w:szCs w:val="32"/>
              </w:rPr>
            </w:pPr>
            <w:r>
              <w:rPr>
                <w:rFonts w:hint="eastAsia" w:eastAsia="仿宋_GB2312"/>
                <w:b/>
                <w:bCs/>
                <w:szCs w:val="32"/>
              </w:rPr>
              <w:t>一是</w:t>
            </w:r>
            <w:r>
              <w:rPr>
                <w:rFonts w:hint="eastAsia" w:eastAsia="仿宋_GB2312"/>
                <w:szCs w:val="32"/>
              </w:rPr>
              <w:t>加强景区运营管理。引入具有景区先进管理经验和实力的运营公司进行经营管理。同时，县委、县政府在政策上给予支持，引入具有知青文化特点的项目，引导和鼓励社会融资，创新历史建筑使用权转让和收益机制。</w:t>
            </w:r>
          </w:p>
          <w:p w14:paraId="0E84315D">
            <w:pPr>
              <w:spacing w:line="520" w:lineRule="exact"/>
              <w:ind w:firstLine="643" w:firstLineChars="200"/>
              <w:rPr>
                <w:rFonts w:eastAsia="仿宋_GB2312"/>
                <w:b/>
                <w:bCs/>
                <w:szCs w:val="32"/>
              </w:rPr>
            </w:pPr>
            <w:r>
              <w:rPr>
                <w:rFonts w:hint="eastAsia" w:eastAsia="仿宋_GB2312"/>
                <w:b/>
                <w:bCs/>
                <w:szCs w:val="32"/>
              </w:rPr>
              <w:t>二是</w:t>
            </w:r>
            <w:r>
              <w:rPr>
                <w:rFonts w:hint="eastAsia" w:eastAsia="仿宋_GB2312"/>
                <w:szCs w:val="32"/>
              </w:rPr>
              <w:t>加强景区历史建筑保护。由住建、自规部门牵头，由文旅部门参与，制定编制遵循文物保护原则的知青城景区私人建房审批标准，严格控制景区内拆旧建新，特别是不得拆除具有历史价值的历史建筑，而是加大资金投入，对知青街的各个历史时期的历史建筑进行修缮保护，确保历史建筑安全，恢复和保持历史建筑原有风貌。</w:t>
            </w:r>
          </w:p>
          <w:p w14:paraId="654235F8">
            <w:pPr>
              <w:spacing w:line="520" w:lineRule="exact"/>
              <w:ind w:firstLine="643" w:firstLineChars="200"/>
              <w:rPr>
                <w:rFonts w:eastAsia="仿宋_GB2312"/>
                <w:b/>
                <w:bCs/>
                <w:szCs w:val="32"/>
              </w:rPr>
            </w:pPr>
            <w:r>
              <w:rPr>
                <w:rFonts w:hint="eastAsia" w:eastAsia="仿宋_GB2312"/>
                <w:b/>
                <w:bCs/>
                <w:szCs w:val="32"/>
              </w:rPr>
              <w:t>三是</w:t>
            </w:r>
            <w:r>
              <w:rPr>
                <w:rFonts w:hint="eastAsia" w:eastAsia="仿宋_GB2312"/>
                <w:szCs w:val="32"/>
              </w:rPr>
              <w:t>创新宣传模式。通过各种媒体和网络，加大对外宣传和营销力度，营造柳城知青城浓厚知青文化氛围，提升知青城的影响力。利用目前新的知青广场、知青码头以及融江、崖山的绝佳自然环境资源，创建知青文化升降舞台，定期定时开展喷泉和灯光秀，发掘、打造或引进知青文化以及我县民间艺术、传统戏剧，定期定时进行舞台展演，让游客愿意来，来了不想走。</w:t>
            </w:r>
          </w:p>
          <w:p w14:paraId="03B77AA0">
            <w:pPr>
              <w:spacing w:line="560" w:lineRule="exact"/>
              <w:rPr>
                <w:rFonts w:ascii="仿宋_GB2312" w:hAnsi="仿宋_GB2312" w:eastAsia="仿宋_GB2312"/>
              </w:rPr>
            </w:pPr>
          </w:p>
          <w:p w14:paraId="580D17CC">
            <w:pPr>
              <w:spacing w:line="560" w:lineRule="exact"/>
              <w:rPr>
                <w:rFonts w:ascii="仿宋_GB2312" w:hAnsi="仿宋_GB2312" w:eastAsia="仿宋_GB2312"/>
              </w:rPr>
            </w:pPr>
          </w:p>
          <w:p w14:paraId="38498093">
            <w:pPr>
              <w:spacing w:line="560" w:lineRule="exact"/>
              <w:rPr>
                <w:rFonts w:ascii="仿宋_GB2312" w:hAnsi="仿宋_GB2312" w:eastAsia="仿宋_GB2312"/>
              </w:rPr>
            </w:pPr>
          </w:p>
          <w:p w14:paraId="6D07081C">
            <w:pPr>
              <w:spacing w:line="560" w:lineRule="exact"/>
              <w:rPr>
                <w:rFonts w:ascii="仿宋_GB2312" w:hAnsi="仿宋_GB2312" w:eastAsia="仿宋_GB2312"/>
              </w:rPr>
            </w:pPr>
          </w:p>
          <w:p w14:paraId="7861FC57">
            <w:pPr>
              <w:spacing w:line="560" w:lineRule="exact"/>
              <w:rPr>
                <w:rFonts w:ascii="仿宋_GB2312" w:hAnsi="仿宋_GB2312" w:eastAsia="仿宋_GB2312"/>
              </w:rPr>
            </w:pPr>
          </w:p>
          <w:p w14:paraId="58FA232E">
            <w:pPr>
              <w:spacing w:line="560" w:lineRule="exact"/>
              <w:rPr>
                <w:rFonts w:ascii="仿宋_GB2312" w:hAnsi="仿宋_GB2312" w:eastAsia="仿宋_GB2312"/>
              </w:rPr>
            </w:pPr>
          </w:p>
          <w:p w14:paraId="24C9343F">
            <w:pPr>
              <w:spacing w:line="560" w:lineRule="exact"/>
              <w:rPr>
                <w:rFonts w:ascii="仿宋_GB2312" w:hAnsi="仿宋_GB2312" w:eastAsia="仿宋_GB2312"/>
              </w:rPr>
            </w:pPr>
          </w:p>
        </w:tc>
      </w:tr>
    </w:tbl>
    <w:p w14:paraId="7D5096A3">
      <w:pPr>
        <w:rPr>
          <w:rFonts w:ascii="宋体-PUA" w:hAnsi="新宋体" w:eastAsia="新宋体"/>
          <w:sz w:val="21"/>
          <w:szCs w:val="44"/>
        </w:rPr>
      </w:pPr>
    </w:p>
    <w:p w14:paraId="497CEA57">
      <w:pPr>
        <w:jc w:val="center"/>
        <w:rPr>
          <w:b/>
          <w:sz w:val="36"/>
        </w:rPr>
      </w:pPr>
    </w:p>
    <w:p w14:paraId="48659D4E">
      <w:pPr>
        <w:jc w:val="center"/>
        <w:rPr>
          <w:b/>
          <w:sz w:val="36"/>
        </w:rPr>
      </w:pPr>
      <w:r>
        <w:rPr>
          <w:rFonts w:hint="eastAsia"/>
          <w:b/>
          <w:sz w:val="36"/>
        </w:rPr>
        <w:t>联</w:t>
      </w:r>
      <w:r>
        <w:rPr>
          <w:b/>
          <w:sz w:val="36"/>
        </w:rPr>
        <w:t xml:space="preserve"> </w:t>
      </w:r>
      <w:r>
        <w:rPr>
          <w:rFonts w:hint="eastAsia"/>
          <w:b/>
          <w:sz w:val="36"/>
        </w:rPr>
        <w:t>名</w:t>
      </w:r>
      <w:r>
        <w:rPr>
          <w:b/>
          <w:sz w:val="36"/>
        </w:rPr>
        <w:t xml:space="preserve"> </w:t>
      </w:r>
      <w:r>
        <w:rPr>
          <w:rFonts w:hint="eastAsia"/>
          <w:b/>
          <w:sz w:val="36"/>
        </w:rPr>
        <w:t>提</w:t>
      </w:r>
      <w:r>
        <w:rPr>
          <w:b/>
          <w:sz w:val="36"/>
        </w:rPr>
        <w:t xml:space="preserve"> </w:t>
      </w:r>
      <w:r>
        <w:rPr>
          <w:rFonts w:hint="eastAsia"/>
          <w:b/>
          <w:sz w:val="36"/>
        </w:rPr>
        <w:t>案</w:t>
      </w:r>
      <w:r>
        <w:rPr>
          <w:b/>
          <w:sz w:val="36"/>
        </w:rPr>
        <w:t xml:space="preserve"> </w:t>
      </w:r>
      <w:r>
        <w:rPr>
          <w:rFonts w:hint="eastAsia"/>
          <w:b/>
          <w:sz w:val="36"/>
        </w:rPr>
        <w:t>人</w:t>
      </w:r>
      <w:r>
        <w:rPr>
          <w:b/>
          <w:sz w:val="36"/>
        </w:rPr>
        <w:t xml:space="preserve"> </w:t>
      </w:r>
      <w:r>
        <w:rPr>
          <w:rFonts w:hint="eastAsia"/>
          <w:b/>
          <w:sz w:val="36"/>
        </w:rPr>
        <w:t>签</w:t>
      </w:r>
      <w:r>
        <w:rPr>
          <w:b/>
          <w:sz w:val="36"/>
        </w:rPr>
        <w:t xml:space="preserve"> </w:t>
      </w:r>
      <w:r>
        <w:rPr>
          <w:rFonts w:hint="eastAsia"/>
          <w:b/>
          <w:sz w:val="36"/>
        </w:rPr>
        <w:t>名</w:t>
      </w:r>
      <w:r>
        <w:rPr>
          <w:b/>
          <w:sz w:val="36"/>
        </w:rPr>
        <w:t xml:space="preserve"> </w:t>
      </w:r>
      <w:r>
        <w:rPr>
          <w:rFonts w:hint="eastAsia"/>
          <w:b/>
          <w:sz w:val="36"/>
        </w:rPr>
        <w:t>页</w:t>
      </w:r>
    </w:p>
    <w:p w14:paraId="477328C8">
      <w:pPr>
        <w:rPr>
          <w:b/>
          <w:sz w:val="36"/>
        </w:rPr>
      </w:pP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4"/>
        <w:gridCol w:w="4785"/>
        <w:gridCol w:w="2820"/>
      </w:tblGrid>
      <w:tr w14:paraId="4BCB5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4" w:type="dxa"/>
            <w:vAlign w:val="center"/>
          </w:tcPr>
          <w:p w14:paraId="6D092FFC">
            <w:pPr>
              <w:jc w:val="center"/>
              <w:rPr>
                <w:b/>
                <w:sz w:val="28"/>
                <w:szCs w:val="28"/>
              </w:rPr>
            </w:pPr>
            <w:r>
              <w:rPr>
                <w:rFonts w:hint="eastAsia"/>
                <w:b/>
                <w:sz w:val="28"/>
                <w:szCs w:val="28"/>
              </w:rPr>
              <w:t>联名提案人</w:t>
            </w:r>
          </w:p>
          <w:p w14:paraId="7B56A538">
            <w:pPr>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4785" w:type="dxa"/>
            <w:vAlign w:val="center"/>
          </w:tcPr>
          <w:p w14:paraId="00FD67C4">
            <w:pPr>
              <w:jc w:val="center"/>
              <w:rPr>
                <w:b/>
                <w:sz w:val="28"/>
                <w:szCs w:val="28"/>
              </w:rPr>
            </w:pPr>
            <w:r>
              <w:rPr>
                <w:b/>
                <w:sz w:val="28"/>
                <w:szCs w:val="28"/>
              </w:rPr>
              <w:t xml:space="preserve">  </w:t>
            </w:r>
            <w:r>
              <w:rPr>
                <w:rFonts w:hint="eastAsia"/>
                <w:b/>
                <w:sz w:val="28"/>
                <w:szCs w:val="28"/>
              </w:rPr>
              <w:t>通</w:t>
            </w:r>
            <w:r>
              <w:rPr>
                <w:b/>
                <w:sz w:val="28"/>
                <w:szCs w:val="28"/>
              </w:rPr>
              <w:t xml:space="preserve">  </w:t>
            </w:r>
            <w:r>
              <w:rPr>
                <w:rFonts w:hint="eastAsia"/>
                <w:b/>
                <w:sz w:val="28"/>
                <w:szCs w:val="28"/>
              </w:rPr>
              <w:t>讯</w:t>
            </w:r>
            <w:r>
              <w:rPr>
                <w:b/>
                <w:sz w:val="28"/>
                <w:szCs w:val="28"/>
              </w:rPr>
              <w:t xml:space="preserve">  </w:t>
            </w:r>
            <w:r>
              <w:rPr>
                <w:rFonts w:hint="eastAsia"/>
                <w:b/>
                <w:sz w:val="28"/>
                <w:szCs w:val="28"/>
              </w:rPr>
              <w:t>地</w:t>
            </w:r>
            <w:r>
              <w:rPr>
                <w:b/>
                <w:sz w:val="28"/>
                <w:szCs w:val="28"/>
              </w:rPr>
              <w:t xml:space="preserve">  </w:t>
            </w:r>
            <w:r>
              <w:rPr>
                <w:rFonts w:hint="eastAsia"/>
                <w:b/>
                <w:sz w:val="28"/>
                <w:szCs w:val="28"/>
              </w:rPr>
              <w:t>址</w:t>
            </w:r>
          </w:p>
        </w:tc>
        <w:tc>
          <w:tcPr>
            <w:tcW w:w="2820" w:type="dxa"/>
            <w:vAlign w:val="center"/>
          </w:tcPr>
          <w:p w14:paraId="2E57BE4D">
            <w:pPr>
              <w:jc w:val="center"/>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电</w:t>
            </w:r>
            <w:r>
              <w:rPr>
                <w:b/>
                <w:sz w:val="28"/>
                <w:szCs w:val="28"/>
              </w:rPr>
              <w:t xml:space="preserve"> </w:t>
            </w:r>
            <w:r>
              <w:rPr>
                <w:rFonts w:hint="eastAsia"/>
                <w:b/>
                <w:sz w:val="28"/>
                <w:szCs w:val="28"/>
              </w:rPr>
              <w:t>话</w:t>
            </w:r>
          </w:p>
        </w:tc>
      </w:tr>
      <w:tr w14:paraId="5C05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814" w:type="dxa"/>
            <w:vAlign w:val="center"/>
          </w:tcPr>
          <w:p w14:paraId="396A3F8F">
            <w:pPr>
              <w:rPr>
                <w:sz w:val="28"/>
                <w:szCs w:val="28"/>
              </w:rPr>
            </w:pPr>
            <w:r>
              <w:rPr>
                <w:rFonts w:hint="eastAsia"/>
                <w:sz w:val="28"/>
                <w:szCs w:val="28"/>
              </w:rPr>
              <w:t>吕美烨</w:t>
            </w:r>
          </w:p>
        </w:tc>
        <w:tc>
          <w:tcPr>
            <w:tcW w:w="4785" w:type="dxa"/>
            <w:vAlign w:val="center"/>
          </w:tcPr>
          <w:p w14:paraId="3A5A4482">
            <w:pPr>
              <w:rPr>
                <w:sz w:val="28"/>
                <w:szCs w:val="28"/>
              </w:rPr>
            </w:pPr>
            <w:r>
              <w:rPr>
                <w:rFonts w:hint="eastAsia"/>
                <w:sz w:val="28"/>
                <w:szCs w:val="28"/>
              </w:rPr>
              <w:t>大埔镇人民政府河西大道</w:t>
            </w:r>
            <w:r>
              <w:rPr>
                <w:sz w:val="28"/>
                <w:szCs w:val="28"/>
              </w:rPr>
              <w:t>138</w:t>
            </w:r>
            <w:r>
              <w:rPr>
                <w:rFonts w:hint="eastAsia"/>
                <w:sz w:val="28"/>
                <w:szCs w:val="28"/>
              </w:rPr>
              <w:t>号</w:t>
            </w:r>
          </w:p>
        </w:tc>
        <w:tc>
          <w:tcPr>
            <w:tcW w:w="2820" w:type="dxa"/>
            <w:vAlign w:val="center"/>
          </w:tcPr>
          <w:p w14:paraId="3A007EE1">
            <w:pP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17376126690</w:t>
            </w:r>
          </w:p>
        </w:tc>
      </w:tr>
      <w:tr w14:paraId="2050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814" w:type="dxa"/>
            <w:vAlign w:val="center"/>
          </w:tcPr>
          <w:p w14:paraId="470DF7CB">
            <w:pPr>
              <w:rPr>
                <w:sz w:val="28"/>
                <w:szCs w:val="28"/>
              </w:rPr>
            </w:pPr>
            <w:r>
              <w:rPr>
                <w:rFonts w:hint="eastAsia"/>
                <w:sz w:val="28"/>
                <w:szCs w:val="28"/>
              </w:rPr>
              <w:t>廖桂引</w:t>
            </w:r>
          </w:p>
        </w:tc>
        <w:tc>
          <w:tcPr>
            <w:tcW w:w="4785" w:type="dxa"/>
            <w:vAlign w:val="center"/>
          </w:tcPr>
          <w:p w14:paraId="2914BD78">
            <w:pPr>
              <w:rPr>
                <w:sz w:val="28"/>
                <w:szCs w:val="28"/>
              </w:rPr>
            </w:pPr>
            <w:r>
              <w:rPr>
                <w:rFonts w:hint="eastAsia"/>
                <w:sz w:val="28"/>
                <w:szCs w:val="28"/>
              </w:rPr>
              <w:t>柳城县大埔镇白阳南路</w:t>
            </w:r>
            <w:r>
              <w:rPr>
                <w:sz w:val="28"/>
                <w:szCs w:val="28"/>
              </w:rPr>
              <w:t>32</w:t>
            </w:r>
            <w:r>
              <w:rPr>
                <w:rFonts w:hint="eastAsia"/>
                <w:sz w:val="28"/>
                <w:szCs w:val="28"/>
              </w:rPr>
              <w:t>号</w:t>
            </w:r>
          </w:p>
        </w:tc>
        <w:tc>
          <w:tcPr>
            <w:tcW w:w="2820" w:type="dxa"/>
            <w:vAlign w:val="center"/>
          </w:tcPr>
          <w:p w14:paraId="58281EEC">
            <w:pP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13597210798</w:t>
            </w:r>
          </w:p>
        </w:tc>
      </w:tr>
      <w:tr w14:paraId="149A3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814" w:type="dxa"/>
            <w:vAlign w:val="center"/>
          </w:tcPr>
          <w:p w14:paraId="0BE83CFF">
            <w:pPr>
              <w:rPr>
                <w:rFonts w:hint="eastAsia" w:eastAsia="宋体"/>
                <w:sz w:val="24"/>
                <w:lang w:eastAsia="zh-CN"/>
              </w:rPr>
            </w:pPr>
            <w:bookmarkStart w:id="0" w:name="_GoBack" w:colFirst="0" w:colLast="2"/>
            <w:r>
              <w:rPr>
                <w:rFonts w:hint="eastAsia"/>
                <w:sz w:val="24"/>
                <w:lang w:eastAsia="zh-CN"/>
              </w:rPr>
              <w:t>陈启漩</w:t>
            </w:r>
          </w:p>
        </w:tc>
        <w:tc>
          <w:tcPr>
            <w:tcW w:w="4785" w:type="dxa"/>
            <w:vAlign w:val="center"/>
          </w:tcPr>
          <w:p w14:paraId="520FFDFC">
            <w:pPr>
              <w:rPr>
                <w:sz w:val="24"/>
              </w:rPr>
            </w:pPr>
            <w:r>
              <w:rPr>
                <w:rFonts w:hint="eastAsia"/>
                <w:sz w:val="28"/>
                <w:szCs w:val="28"/>
              </w:rPr>
              <w:t>大埔镇人民政府河西大道</w:t>
            </w:r>
            <w:r>
              <w:rPr>
                <w:sz w:val="28"/>
                <w:szCs w:val="28"/>
              </w:rPr>
              <w:t>138</w:t>
            </w:r>
            <w:r>
              <w:rPr>
                <w:rFonts w:hint="eastAsia"/>
                <w:sz w:val="28"/>
                <w:szCs w:val="28"/>
              </w:rPr>
              <w:t>号</w:t>
            </w:r>
          </w:p>
        </w:tc>
        <w:tc>
          <w:tcPr>
            <w:tcW w:w="2820" w:type="dxa"/>
            <w:vAlign w:val="center"/>
          </w:tcPr>
          <w:p w14:paraId="2F5A96E8">
            <w:pP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18579932286</w:t>
            </w:r>
          </w:p>
        </w:tc>
      </w:tr>
      <w:tr w14:paraId="1E2E7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814" w:type="dxa"/>
            <w:vAlign w:val="center"/>
          </w:tcPr>
          <w:p w14:paraId="6B4765CD">
            <w:pPr>
              <w:rPr>
                <w:rFonts w:hint="eastAsia" w:eastAsia="宋体"/>
                <w:sz w:val="24"/>
                <w:lang w:eastAsia="zh-CN"/>
              </w:rPr>
            </w:pPr>
            <w:r>
              <w:rPr>
                <w:rFonts w:hint="eastAsia"/>
                <w:sz w:val="24"/>
                <w:lang w:eastAsia="zh-CN"/>
              </w:rPr>
              <w:t>陈广红</w:t>
            </w:r>
          </w:p>
        </w:tc>
        <w:tc>
          <w:tcPr>
            <w:tcW w:w="4785" w:type="dxa"/>
            <w:vAlign w:val="center"/>
          </w:tcPr>
          <w:p w14:paraId="624B5CE2">
            <w:pPr>
              <w:rPr>
                <w:rFonts w:hint="eastAsia" w:eastAsia="宋体"/>
                <w:sz w:val="24"/>
                <w:lang w:eastAsia="zh-CN"/>
              </w:rPr>
            </w:pPr>
            <w:r>
              <w:rPr>
                <w:rFonts w:hint="eastAsia"/>
                <w:sz w:val="28"/>
                <w:szCs w:val="28"/>
                <w:lang w:eastAsia="zh-CN"/>
              </w:rPr>
              <w:t>宣传部</w:t>
            </w:r>
          </w:p>
        </w:tc>
        <w:tc>
          <w:tcPr>
            <w:tcW w:w="2820" w:type="dxa"/>
            <w:vAlign w:val="center"/>
          </w:tcPr>
          <w:p w14:paraId="5849698A">
            <w:pP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18078216828</w:t>
            </w:r>
          </w:p>
        </w:tc>
      </w:tr>
      <w:tr w14:paraId="7D500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814" w:type="dxa"/>
            <w:vAlign w:val="center"/>
          </w:tcPr>
          <w:p w14:paraId="385EA80D">
            <w:pPr>
              <w:rPr>
                <w:rFonts w:hint="eastAsia" w:eastAsia="宋体"/>
                <w:sz w:val="24"/>
                <w:lang w:eastAsia="zh-CN"/>
              </w:rPr>
            </w:pPr>
            <w:r>
              <w:rPr>
                <w:rFonts w:hint="eastAsia"/>
                <w:sz w:val="24"/>
                <w:lang w:eastAsia="zh-CN"/>
              </w:rPr>
              <w:t>凌新洪</w:t>
            </w:r>
          </w:p>
        </w:tc>
        <w:tc>
          <w:tcPr>
            <w:tcW w:w="4785" w:type="dxa"/>
            <w:vAlign w:val="center"/>
          </w:tcPr>
          <w:p w14:paraId="6B21223C">
            <w:pPr>
              <w:rPr>
                <w:rFonts w:hint="eastAsia" w:eastAsia="宋体"/>
                <w:sz w:val="24"/>
                <w:lang w:eastAsia="zh-CN"/>
              </w:rPr>
            </w:pPr>
            <w:r>
              <w:rPr>
                <w:rFonts w:hint="eastAsia"/>
                <w:sz w:val="24"/>
                <w:lang w:eastAsia="zh-CN"/>
              </w:rPr>
              <w:t>县工商联</w:t>
            </w:r>
          </w:p>
        </w:tc>
        <w:tc>
          <w:tcPr>
            <w:tcW w:w="2820" w:type="dxa"/>
            <w:vAlign w:val="center"/>
          </w:tcPr>
          <w:p w14:paraId="39DB532B">
            <w:pP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13907823685</w:t>
            </w:r>
          </w:p>
        </w:tc>
      </w:tr>
      <w:bookmarkEnd w:id="0"/>
      <w:tr w14:paraId="7249F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814" w:type="dxa"/>
            <w:vAlign w:val="center"/>
          </w:tcPr>
          <w:p w14:paraId="1CF69875">
            <w:pPr>
              <w:rPr>
                <w:sz w:val="24"/>
              </w:rPr>
            </w:pPr>
          </w:p>
        </w:tc>
        <w:tc>
          <w:tcPr>
            <w:tcW w:w="4785" w:type="dxa"/>
            <w:vAlign w:val="center"/>
          </w:tcPr>
          <w:p w14:paraId="427B80E7">
            <w:pPr>
              <w:rPr>
                <w:sz w:val="24"/>
              </w:rPr>
            </w:pPr>
          </w:p>
        </w:tc>
        <w:tc>
          <w:tcPr>
            <w:tcW w:w="2820" w:type="dxa"/>
            <w:vAlign w:val="center"/>
          </w:tcPr>
          <w:p w14:paraId="6D51C6F3">
            <w:pPr>
              <w:rPr>
                <w:sz w:val="24"/>
              </w:rPr>
            </w:pPr>
          </w:p>
        </w:tc>
      </w:tr>
      <w:tr w14:paraId="77C5C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814" w:type="dxa"/>
            <w:vAlign w:val="center"/>
          </w:tcPr>
          <w:p w14:paraId="28E2970C">
            <w:pPr>
              <w:rPr>
                <w:sz w:val="24"/>
              </w:rPr>
            </w:pPr>
          </w:p>
        </w:tc>
        <w:tc>
          <w:tcPr>
            <w:tcW w:w="4785" w:type="dxa"/>
            <w:vAlign w:val="center"/>
          </w:tcPr>
          <w:p w14:paraId="48F30459">
            <w:pPr>
              <w:rPr>
                <w:sz w:val="24"/>
              </w:rPr>
            </w:pPr>
          </w:p>
        </w:tc>
        <w:tc>
          <w:tcPr>
            <w:tcW w:w="2820" w:type="dxa"/>
            <w:vAlign w:val="center"/>
          </w:tcPr>
          <w:p w14:paraId="7B182157">
            <w:pPr>
              <w:rPr>
                <w:sz w:val="24"/>
              </w:rPr>
            </w:pPr>
          </w:p>
        </w:tc>
      </w:tr>
      <w:tr w14:paraId="7A883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814" w:type="dxa"/>
            <w:vAlign w:val="center"/>
          </w:tcPr>
          <w:p w14:paraId="63A711E3">
            <w:pPr>
              <w:rPr>
                <w:sz w:val="24"/>
              </w:rPr>
            </w:pPr>
          </w:p>
        </w:tc>
        <w:tc>
          <w:tcPr>
            <w:tcW w:w="4785" w:type="dxa"/>
            <w:vAlign w:val="center"/>
          </w:tcPr>
          <w:p w14:paraId="40C423B8">
            <w:pPr>
              <w:rPr>
                <w:sz w:val="24"/>
              </w:rPr>
            </w:pPr>
          </w:p>
        </w:tc>
        <w:tc>
          <w:tcPr>
            <w:tcW w:w="2820" w:type="dxa"/>
            <w:vAlign w:val="center"/>
          </w:tcPr>
          <w:p w14:paraId="5E97FF0A">
            <w:pPr>
              <w:rPr>
                <w:sz w:val="24"/>
              </w:rPr>
            </w:pPr>
          </w:p>
        </w:tc>
      </w:tr>
      <w:tr w14:paraId="63C63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814" w:type="dxa"/>
            <w:vAlign w:val="center"/>
          </w:tcPr>
          <w:p w14:paraId="42E89B8F">
            <w:pPr>
              <w:rPr>
                <w:sz w:val="24"/>
              </w:rPr>
            </w:pPr>
          </w:p>
        </w:tc>
        <w:tc>
          <w:tcPr>
            <w:tcW w:w="4785" w:type="dxa"/>
            <w:vAlign w:val="center"/>
          </w:tcPr>
          <w:p w14:paraId="70FEF039">
            <w:pPr>
              <w:rPr>
                <w:sz w:val="24"/>
              </w:rPr>
            </w:pPr>
          </w:p>
        </w:tc>
        <w:tc>
          <w:tcPr>
            <w:tcW w:w="2820" w:type="dxa"/>
            <w:vAlign w:val="center"/>
          </w:tcPr>
          <w:p w14:paraId="392C7037">
            <w:pPr>
              <w:rPr>
                <w:sz w:val="24"/>
              </w:rPr>
            </w:pPr>
          </w:p>
        </w:tc>
      </w:tr>
      <w:tr w14:paraId="18106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814" w:type="dxa"/>
            <w:vAlign w:val="center"/>
          </w:tcPr>
          <w:p w14:paraId="7041D112">
            <w:pPr>
              <w:rPr>
                <w:sz w:val="24"/>
              </w:rPr>
            </w:pPr>
          </w:p>
        </w:tc>
        <w:tc>
          <w:tcPr>
            <w:tcW w:w="4785" w:type="dxa"/>
            <w:vAlign w:val="center"/>
          </w:tcPr>
          <w:p w14:paraId="5A1D6B1C">
            <w:pPr>
              <w:rPr>
                <w:sz w:val="24"/>
              </w:rPr>
            </w:pPr>
          </w:p>
        </w:tc>
        <w:tc>
          <w:tcPr>
            <w:tcW w:w="2820" w:type="dxa"/>
            <w:vAlign w:val="center"/>
          </w:tcPr>
          <w:p w14:paraId="597DE8A3">
            <w:pPr>
              <w:rPr>
                <w:sz w:val="24"/>
              </w:rPr>
            </w:pPr>
          </w:p>
        </w:tc>
      </w:tr>
      <w:tr w14:paraId="02B6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814" w:type="dxa"/>
            <w:vAlign w:val="center"/>
          </w:tcPr>
          <w:p w14:paraId="0BF39489">
            <w:pPr>
              <w:rPr>
                <w:sz w:val="24"/>
              </w:rPr>
            </w:pPr>
          </w:p>
        </w:tc>
        <w:tc>
          <w:tcPr>
            <w:tcW w:w="4785" w:type="dxa"/>
            <w:vAlign w:val="center"/>
          </w:tcPr>
          <w:p w14:paraId="79443596">
            <w:pPr>
              <w:rPr>
                <w:sz w:val="24"/>
              </w:rPr>
            </w:pPr>
          </w:p>
        </w:tc>
        <w:tc>
          <w:tcPr>
            <w:tcW w:w="2820" w:type="dxa"/>
            <w:vAlign w:val="center"/>
          </w:tcPr>
          <w:p w14:paraId="75BC311C">
            <w:pPr>
              <w:rPr>
                <w:sz w:val="24"/>
              </w:rPr>
            </w:pPr>
          </w:p>
        </w:tc>
      </w:tr>
      <w:tr w14:paraId="36907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814" w:type="dxa"/>
            <w:vAlign w:val="center"/>
          </w:tcPr>
          <w:p w14:paraId="162A3265">
            <w:pPr>
              <w:rPr>
                <w:sz w:val="24"/>
              </w:rPr>
            </w:pPr>
          </w:p>
        </w:tc>
        <w:tc>
          <w:tcPr>
            <w:tcW w:w="4785" w:type="dxa"/>
            <w:vAlign w:val="center"/>
          </w:tcPr>
          <w:p w14:paraId="46E92496">
            <w:pPr>
              <w:rPr>
                <w:sz w:val="24"/>
              </w:rPr>
            </w:pPr>
          </w:p>
        </w:tc>
        <w:tc>
          <w:tcPr>
            <w:tcW w:w="2820" w:type="dxa"/>
            <w:vAlign w:val="center"/>
          </w:tcPr>
          <w:p w14:paraId="5F04A050">
            <w:pPr>
              <w:rPr>
                <w:sz w:val="24"/>
              </w:rPr>
            </w:pPr>
          </w:p>
        </w:tc>
      </w:tr>
      <w:tr w14:paraId="37282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814" w:type="dxa"/>
            <w:vAlign w:val="center"/>
          </w:tcPr>
          <w:p w14:paraId="422C9C09">
            <w:pPr>
              <w:rPr>
                <w:sz w:val="24"/>
              </w:rPr>
            </w:pPr>
          </w:p>
        </w:tc>
        <w:tc>
          <w:tcPr>
            <w:tcW w:w="4785" w:type="dxa"/>
            <w:vAlign w:val="center"/>
          </w:tcPr>
          <w:p w14:paraId="082F47CE">
            <w:pPr>
              <w:rPr>
                <w:sz w:val="24"/>
              </w:rPr>
            </w:pPr>
          </w:p>
        </w:tc>
        <w:tc>
          <w:tcPr>
            <w:tcW w:w="2820" w:type="dxa"/>
            <w:vAlign w:val="center"/>
          </w:tcPr>
          <w:p w14:paraId="03F1070F">
            <w:pPr>
              <w:rPr>
                <w:sz w:val="24"/>
              </w:rPr>
            </w:pPr>
          </w:p>
        </w:tc>
      </w:tr>
      <w:tr w14:paraId="38F6A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814" w:type="dxa"/>
            <w:vAlign w:val="center"/>
          </w:tcPr>
          <w:p w14:paraId="6D68922D">
            <w:pPr>
              <w:rPr>
                <w:sz w:val="24"/>
              </w:rPr>
            </w:pPr>
          </w:p>
        </w:tc>
        <w:tc>
          <w:tcPr>
            <w:tcW w:w="4785" w:type="dxa"/>
            <w:vAlign w:val="center"/>
          </w:tcPr>
          <w:p w14:paraId="37E4976A">
            <w:pPr>
              <w:rPr>
                <w:sz w:val="24"/>
              </w:rPr>
            </w:pPr>
          </w:p>
        </w:tc>
        <w:tc>
          <w:tcPr>
            <w:tcW w:w="2820" w:type="dxa"/>
            <w:vAlign w:val="center"/>
          </w:tcPr>
          <w:p w14:paraId="5174F458">
            <w:pPr>
              <w:rPr>
                <w:sz w:val="24"/>
              </w:rPr>
            </w:pPr>
          </w:p>
        </w:tc>
      </w:tr>
    </w:tbl>
    <w:p w14:paraId="0201E02C"/>
    <w:p w14:paraId="0D036E4D"/>
    <w:p w14:paraId="6F7311BF"/>
    <w:p w14:paraId="1A1598DE"/>
    <w:p w14:paraId="54254D32"/>
    <w:sectPr>
      <w:headerReference r:id="rId5" w:type="default"/>
      <w:footerReference r:id="rId6" w:type="default"/>
      <w:footerReference r:id="rId7" w:type="even"/>
      <w:pgSz w:w="11906" w:h="16838"/>
      <w:pgMar w:top="1418" w:right="1361" w:bottom="1134" w:left="136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宋体-PUA">
    <w:altName w:val="宋体"/>
    <w:panose1 w:val="02010600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71351">
    <w:pPr>
      <w:pStyle w:val="7"/>
      <w:tabs>
        <w:tab w:val="clear" w:pos="4153"/>
        <w:tab w:val="clear" w:pos="8306"/>
      </w:tabs>
      <w:ind w:right="360" w:firstLine="360"/>
    </w:pPr>
    <w:r>
      <w:pict>
        <v:rect id="_x0000_s2049" o:spid="_x0000_s2049" o:spt="1" style="position:absolute;left:0pt;margin-top:0pt;height:13.8pt;width:34.55pt;mso-position-horizontal:outside;mso-position-horizontal-relative:margin;z-index:251660288;mso-width-relative:page;mso-height-relative:page;" filled="f" stroked="f" coordsize="21600,21600">
          <v:path/>
          <v:fill on="f" focussize="0,0"/>
          <v:stroke on="f"/>
          <v:imagedata o:title=""/>
          <o:lock v:ext="edit"/>
          <v:textbox>
            <w:txbxContent>
              <w:p w14:paraId="1D4E67C7">
                <w:pPr>
                  <w:pStyle w:val="7"/>
                  <w:tabs>
                    <w:tab w:val="clear" w:pos="4153"/>
                    <w:tab w:val="clear" w:pos="8306"/>
                  </w:tabs>
                  <w:rPr>
                    <w:rStyle w:val="9"/>
                  </w:rPr>
                </w:pPr>
                <w:r>
                  <w:rPr>
                    <w:rStyle w:val="9"/>
                  </w:rPr>
                  <w:t xml:space="preserve">— </w:t>
                </w:r>
                <w:r>
                  <w:rPr>
                    <w:rStyle w:val="9"/>
                    <w:sz w:val="24"/>
                    <w:szCs w:val="24"/>
                  </w:rPr>
                  <w:fldChar w:fldCharType="begin"/>
                </w:r>
                <w:r>
                  <w:rPr>
                    <w:rStyle w:val="9"/>
                    <w:sz w:val="24"/>
                    <w:szCs w:val="24"/>
                  </w:rPr>
                  <w:instrText xml:space="preserve">PAGE  </w:instrText>
                </w:r>
                <w:r>
                  <w:rPr>
                    <w:rStyle w:val="9"/>
                    <w:sz w:val="24"/>
                    <w:szCs w:val="24"/>
                  </w:rPr>
                  <w:fldChar w:fldCharType="separate"/>
                </w:r>
                <w:r>
                  <w:rPr>
                    <w:rStyle w:val="9"/>
                    <w:sz w:val="24"/>
                    <w:szCs w:val="24"/>
                  </w:rPr>
                  <w:t>1</w:t>
                </w:r>
                <w:r>
                  <w:rPr>
                    <w:rStyle w:val="9"/>
                    <w:sz w:val="24"/>
                    <w:szCs w:val="24"/>
                  </w:rPr>
                  <w:fldChar w:fldCharType="end"/>
                </w:r>
                <w:r>
                  <w:rPr>
                    <w:sz w:val="24"/>
                    <w:szCs w:val="24"/>
                  </w:rPr>
                  <w:t xml:space="preserve"> </w:t>
                </w:r>
                <w:r>
                  <w:rPr>
                    <w:rStyle w:val="9"/>
                  </w:rPr>
                  <w:t>—</w:t>
                </w:r>
              </w:p>
              <w:p w14:paraId="680DA697"/>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D0574">
    <w:pPr>
      <w:pStyle w:val="7"/>
      <w:tabs>
        <w:tab w:val="clear" w:pos="4153"/>
        <w:tab w:val="clear" w:pos="8306"/>
      </w:tabs>
      <w:ind w:right="360" w:firstLine="360"/>
    </w:pPr>
    <w:r>
      <w:pict>
        <v:rect id="_x0000_s2050" o:spid="_x0000_s2050" o:spt="1" style="position:absolute;left:0pt;margin-top:0pt;height:15.55pt;width:48.05pt;mso-position-horizontal:outside;mso-position-horizontal-relative:margin;z-index:251659264;mso-width-relative:page;mso-height-relative:page;" filled="f" stroked="f" coordsize="21600,21600">
          <v:path/>
          <v:fill on="f" focussize="0,0"/>
          <v:stroke on="f"/>
          <v:imagedata o:title=""/>
          <o:lock v:ext="edit"/>
          <v:textbox>
            <w:txbxContent>
              <w:p w14:paraId="710C829E">
                <w:pPr>
                  <w:pStyle w:val="7"/>
                  <w:tabs>
                    <w:tab w:val="clear" w:pos="4153"/>
                    <w:tab w:val="clear" w:pos="8306"/>
                  </w:tabs>
                  <w:rPr>
                    <w:sz w:val="24"/>
                    <w:szCs w:val="24"/>
                  </w:rPr>
                </w:pPr>
                <w:r>
                  <w:rPr>
                    <w:sz w:val="24"/>
                    <w:szCs w:val="24"/>
                  </w:rPr>
                  <w:t xml:space="preserve"> — </w:t>
                </w:r>
                <w:r>
                  <w:rPr>
                    <w:rStyle w:val="9"/>
                    <w:sz w:val="24"/>
                    <w:szCs w:val="24"/>
                  </w:rPr>
                  <w:fldChar w:fldCharType="begin"/>
                </w:r>
                <w:r>
                  <w:rPr>
                    <w:rStyle w:val="9"/>
                    <w:sz w:val="24"/>
                    <w:szCs w:val="24"/>
                  </w:rPr>
                  <w:instrText xml:space="preserve">PAGE  </w:instrText>
                </w:r>
                <w:r>
                  <w:rPr>
                    <w:rStyle w:val="9"/>
                    <w:sz w:val="24"/>
                    <w:szCs w:val="24"/>
                  </w:rPr>
                  <w:fldChar w:fldCharType="separate"/>
                </w:r>
                <w:r>
                  <w:rPr>
                    <w:rStyle w:val="9"/>
                    <w:sz w:val="24"/>
                    <w:szCs w:val="24"/>
                  </w:rPr>
                  <w:t>5</w:t>
                </w:r>
                <w:r>
                  <w:rPr>
                    <w:rStyle w:val="9"/>
                    <w:sz w:val="24"/>
                    <w:szCs w:val="24"/>
                  </w:rPr>
                  <w:fldChar w:fldCharType="end"/>
                </w:r>
                <w:r>
                  <w:rPr>
                    <w:sz w:val="24"/>
                    <w:szCs w:val="24"/>
                  </w:rPr>
                  <w:t xml:space="preserve"> —</w:t>
                </w:r>
              </w:p>
              <w:p w14:paraId="764ED10B"/>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D19E5">
    <w:pPr>
      <w:pStyle w:val="7"/>
      <w:framePr w:wrap="around" w:vAnchor="text" w:hAnchor="margin" w:xAlign="outside" w:y="1"/>
      <w:tabs>
        <w:tab w:val="clear" w:pos="4153"/>
        <w:tab w:val="clear" w:pos="8306"/>
      </w:tabs>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14:paraId="4276477C">
    <w:pPr>
      <w:pStyle w:val="7"/>
      <w:tabs>
        <w:tab w:val="clear" w:pos="4153"/>
        <w:tab w:val="clear" w:pos="8306"/>
      </w:tabs>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170D1">
    <w:pPr>
      <w:pStyle w:val="8"/>
      <w:pBdr>
        <w:bottom w:val="none" w:color="auto" w:sz="0" w:space="0"/>
      </w:pBd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980D4">
    <w:pPr>
      <w:pStyle w:val="8"/>
      <w:pBdr>
        <w:bottom w:val="none" w:color="auto" w:sz="0" w:space="0"/>
      </w:pBdr>
      <w:tabs>
        <w:tab w:val="clear" w:pos="4153"/>
        <w:tab w:val="clear" w:pos="830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3A5"/>
    <w:rsid w:val="00C303A5"/>
    <w:rsid w:val="00C56D73"/>
    <w:rsid w:val="00F51317"/>
    <w:rsid w:val="00FA2158"/>
    <w:rsid w:val="00FF1321"/>
    <w:rsid w:val="3670620A"/>
    <w:rsid w:val="722C339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3">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默认段落字体1"/>
    <w:semiHidden/>
    <w:uiPriority w:val="99"/>
  </w:style>
  <w:style w:type="table" w:customStyle="1" w:styleId="5">
    <w:name w:val="普通表格1"/>
    <w:semiHidden/>
    <w:uiPriority w:val="99"/>
    <w:rPr>
      <w:kern w:val="0"/>
      <w:sz w:val="20"/>
      <w:szCs w:val="20"/>
    </w:rPr>
    <w:tblPr>
      <w:tblCellMar>
        <w:top w:w="0" w:type="dxa"/>
        <w:left w:w="0" w:type="dxa"/>
        <w:bottom w:w="0" w:type="dxa"/>
        <w:right w:w="0" w:type="dxa"/>
      </w:tblCellMar>
    </w:tblPr>
  </w:style>
  <w:style w:type="paragraph" w:customStyle="1" w:styleId="6">
    <w:name w:val="正文文本1"/>
    <w:basedOn w:val="1"/>
    <w:uiPriority w:val="99"/>
    <w:rPr>
      <w:rFonts w:eastAsia="仿宋_GB2312"/>
      <w:szCs w:val="21"/>
    </w:rPr>
  </w:style>
  <w:style w:type="paragraph" w:customStyle="1" w:styleId="7">
    <w:name w:val="页脚1"/>
    <w:basedOn w:val="1"/>
    <w:uiPriority w:val="99"/>
    <w:pPr>
      <w:tabs>
        <w:tab w:val="center" w:pos="4153"/>
        <w:tab w:val="right" w:pos="8306"/>
      </w:tabs>
      <w:snapToGrid w:val="0"/>
      <w:jc w:val="left"/>
    </w:pPr>
    <w:rPr>
      <w:sz w:val="18"/>
      <w:szCs w:val="18"/>
    </w:rPr>
  </w:style>
  <w:style w:type="paragraph" w:customStyle="1" w:styleId="8">
    <w:name w:val="页眉1"/>
    <w:basedOn w:val="1"/>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码1"/>
    <w:basedOn w:val="4"/>
    <w:uiPriority w:val="99"/>
    <w:rPr>
      <w:rFonts w:cs="Times New Roman"/>
    </w:rPr>
  </w:style>
  <w:style w:type="paragraph" w:customStyle="1" w:styleId="10">
    <w:name w:val="_Style 4"/>
    <w:basedOn w:val="1"/>
    <w:uiPriority w:val="99"/>
    <w:pPr>
      <w:wordWrap w:val="0"/>
      <w:spacing w:before="360" w:after="360"/>
      <w:ind w:left="950" w:right="950"/>
      <w:jc w:val="center"/>
    </w:pPr>
    <w:rPr>
      <w: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1680</Words>
  <Characters>1736</Characters>
  <Lines>0</Lines>
  <Paragraphs>0</Paragraphs>
  <TotalTime>4</TotalTime>
  <ScaleCrop>false</ScaleCrop>
  <LinksUpToDate>false</LinksUpToDate>
  <CharactersWithSpaces>2077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2025-01-18T08:46:00Z</dcterms:created>
  <dc:creator>Administrator</dc:creator>
  <cp:lastModifiedBy>向阳</cp:lastModifiedBy>
  <dcterms:modified xsi:type="dcterms:W3CDTF">2025-01-24T08:39:56Z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eyJoZGlkIjoiYjU1MDA5NzgxOTQ4ZGZkZWJjNjJmMjRlMjcxNjczMjAiLCJ1c2VySWQiOiIxMzc2NDU3MzQxIn0=</vt:lpwstr>
  </property>
  <property fmtid="{D5CDD505-2E9C-101B-9397-08002B2CF9AE}" pid="3" name="KSOProductBuildVer">
    <vt:lpwstr>2052-12.1.0.19302</vt:lpwstr>
  </property>
  <property fmtid="{D5CDD505-2E9C-101B-9397-08002B2CF9AE}" pid="4" name="ICV">
    <vt:lpwstr>A168D5A92D59421EBF4443986A4AC50C_12</vt:lpwstr>
  </property>
</Properties>
</file>