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val="0"/>
          <w:bCs w:val="0"/>
          <w:color w:val="auto"/>
          <w:spacing w:val="0"/>
          <w:kern w:val="21"/>
          <w:sz w:val="44"/>
          <w:szCs w:val="44"/>
          <w:u w:val="none"/>
        </w:rPr>
      </w:pPr>
      <w:bookmarkStart w:id="0" w:name="_GoBack"/>
      <w:bookmarkEnd w:id="0"/>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仿宋_GB2312" w:hAnsi="仿宋_GB2312" w:eastAsia="仿宋_GB2312" w:cs="仿宋_GB2312"/>
          <w:b w:val="0"/>
          <w:bCs w:val="0"/>
          <w:color w:val="auto"/>
          <w:spacing w:val="0"/>
          <w:kern w:val="21"/>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Times New Roman" w:hAnsi="Times New Roman" w:eastAsia="方正小标宋_GBK" w:cs="Times New Roman"/>
          <w:b w:val="0"/>
          <w:bCs w:val="0"/>
          <w:color w:val="auto"/>
          <w:spacing w:val="0"/>
          <w:kern w:val="21"/>
          <w:sz w:val="44"/>
          <w:szCs w:val="44"/>
          <w:u w:val="none"/>
          <w:lang w:eastAsia="zh-CN"/>
        </w:rPr>
      </w:pPr>
      <w:r>
        <w:rPr>
          <w:rFonts w:hint="eastAsia" w:ascii="方正小标宋简体" w:hAnsi="方正小标宋简体" w:eastAsia="方正小标宋简体" w:cs="方正小标宋简体"/>
          <w:b w:val="0"/>
          <w:bCs w:val="0"/>
          <w:color w:val="auto"/>
          <w:spacing w:val="0"/>
          <w:kern w:val="21"/>
          <w:sz w:val="44"/>
          <w:szCs w:val="44"/>
          <w:u w:val="none"/>
        </w:rPr>
        <w:t>2022年</w:t>
      </w:r>
      <w:r>
        <w:rPr>
          <w:rFonts w:hint="eastAsia" w:ascii="方正小标宋简体" w:hAnsi="方正小标宋简体" w:eastAsia="方正小标宋简体" w:cs="方正小标宋简体"/>
          <w:b w:val="0"/>
          <w:bCs w:val="0"/>
          <w:color w:val="auto"/>
          <w:spacing w:val="0"/>
          <w:kern w:val="21"/>
          <w:sz w:val="44"/>
          <w:szCs w:val="44"/>
          <w:u w:val="none"/>
          <w:lang w:eastAsia="zh-CN"/>
        </w:rPr>
        <w:t>柳城县</w:t>
      </w:r>
      <w:r>
        <w:rPr>
          <w:rFonts w:hint="eastAsia" w:ascii="方正小标宋简体" w:hAnsi="方正小标宋简体" w:eastAsia="方正小标宋简体" w:cs="方正小标宋简体"/>
          <w:b w:val="0"/>
          <w:bCs w:val="0"/>
          <w:color w:val="auto"/>
          <w:spacing w:val="0"/>
          <w:kern w:val="21"/>
          <w:sz w:val="44"/>
          <w:szCs w:val="44"/>
          <w:u w:val="none"/>
        </w:rPr>
        <w:t>优化营商环境</w:t>
      </w:r>
      <w:r>
        <w:rPr>
          <w:rFonts w:hint="eastAsia" w:ascii="方正小标宋简体" w:hAnsi="方正小标宋简体" w:eastAsia="方正小标宋简体" w:cs="方正小标宋简体"/>
          <w:b w:val="0"/>
          <w:bCs w:val="0"/>
          <w:color w:val="auto"/>
          <w:spacing w:val="0"/>
          <w:kern w:val="21"/>
          <w:sz w:val="44"/>
          <w:szCs w:val="44"/>
          <w:u w:val="none"/>
          <w:lang w:eastAsia="zh-CN"/>
        </w:rPr>
        <w:t>攻坚</w:t>
      </w:r>
      <w:r>
        <w:rPr>
          <w:rFonts w:hint="eastAsia" w:ascii="方正小标宋简体" w:hAnsi="方正小标宋简体" w:eastAsia="方正小标宋简体" w:cs="方正小标宋简体"/>
          <w:b w:val="0"/>
          <w:bCs w:val="0"/>
          <w:color w:val="auto"/>
          <w:spacing w:val="0"/>
          <w:kern w:val="21"/>
          <w:sz w:val="44"/>
          <w:szCs w:val="44"/>
          <w:u w:val="none"/>
        </w:rPr>
        <w:t>行动任务清单</w:t>
      </w:r>
    </w:p>
    <w:tbl>
      <w:tblPr>
        <w:tblStyle w:val="8"/>
        <w:tblpPr w:leftFromText="180" w:rightFromText="180" w:vertAnchor="text" w:horzAnchor="page" w:tblpX="1859" w:tblpY="1093"/>
        <w:tblOverlap w:val="never"/>
        <w:tblW w:w="13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5"/>
        <w:gridCol w:w="845"/>
        <w:gridCol w:w="1582"/>
        <w:gridCol w:w="4528"/>
        <w:gridCol w:w="1431"/>
        <w:gridCol w:w="200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trPr>
        <w:tc>
          <w:tcPr>
            <w:tcW w:w="58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bCs/>
                <w:snapToGrid w:val="0"/>
                <w:color w:val="auto"/>
                <w:kern w:val="21"/>
                <w:sz w:val="24"/>
                <w:szCs w:val="24"/>
                <w:u w:val="none"/>
              </w:rPr>
            </w:pPr>
            <w:r>
              <w:rPr>
                <w:rFonts w:hint="eastAsia" w:ascii="仿宋_GB2312" w:hAnsi="仿宋_GB2312" w:eastAsia="仿宋_GB2312" w:cs="仿宋_GB2312"/>
                <w:b/>
                <w:bCs/>
                <w:snapToGrid w:val="0"/>
                <w:color w:val="auto"/>
                <w:kern w:val="21"/>
                <w:sz w:val="24"/>
                <w:szCs w:val="24"/>
                <w:u w:val="none"/>
                <w:lang w:bidi="ar"/>
              </w:rPr>
              <w:t>序号</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bCs/>
                <w:snapToGrid w:val="0"/>
                <w:color w:val="auto"/>
                <w:kern w:val="21"/>
                <w:sz w:val="24"/>
                <w:szCs w:val="24"/>
                <w:u w:val="none"/>
                <w:lang w:bidi="ar"/>
              </w:rPr>
            </w:pPr>
            <w:r>
              <w:rPr>
                <w:rFonts w:hint="eastAsia" w:ascii="仿宋_GB2312" w:hAnsi="仿宋_GB2312" w:eastAsia="仿宋_GB2312" w:cs="仿宋_GB2312"/>
                <w:b/>
                <w:bCs/>
                <w:snapToGrid w:val="0"/>
                <w:color w:val="auto"/>
                <w:kern w:val="21"/>
                <w:sz w:val="24"/>
                <w:szCs w:val="24"/>
                <w:u w:val="none"/>
                <w:lang w:bidi="ar"/>
              </w:rPr>
              <w:t>指标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bCs/>
                <w:snapToGrid w:val="0"/>
                <w:color w:val="auto"/>
                <w:kern w:val="21"/>
                <w:sz w:val="24"/>
                <w:szCs w:val="24"/>
                <w:u w:val="none"/>
              </w:rPr>
            </w:pPr>
            <w:r>
              <w:rPr>
                <w:rFonts w:hint="eastAsia" w:ascii="仿宋_GB2312" w:hAnsi="仿宋_GB2312" w:eastAsia="仿宋_GB2312" w:cs="仿宋_GB2312"/>
                <w:b/>
                <w:bCs/>
                <w:snapToGrid w:val="0"/>
                <w:color w:val="auto"/>
                <w:kern w:val="21"/>
                <w:sz w:val="24"/>
                <w:szCs w:val="24"/>
                <w:u w:val="none"/>
                <w:lang w:bidi="ar"/>
              </w:rPr>
              <w:t>名称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bCs/>
                <w:snapToGrid w:val="0"/>
                <w:color w:val="auto"/>
                <w:kern w:val="21"/>
                <w:sz w:val="24"/>
                <w:szCs w:val="24"/>
                <w:u w:val="none"/>
              </w:rPr>
            </w:pPr>
            <w:r>
              <w:rPr>
                <w:rFonts w:hint="eastAsia" w:ascii="仿宋_GB2312" w:hAnsi="仿宋_GB2312" w:eastAsia="仿宋_GB2312" w:cs="仿宋_GB2312"/>
                <w:b/>
                <w:bCs/>
                <w:snapToGrid w:val="0"/>
                <w:color w:val="auto"/>
                <w:kern w:val="21"/>
                <w:sz w:val="24"/>
                <w:szCs w:val="24"/>
                <w:u w:val="none"/>
                <w:lang w:bidi="ar"/>
              </w:rPr>
              <w:t>目标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bCs/>
                <w:snapToGrid w:val="0"/>
                <w:color w:val="auto"/>
                <w:kern w:val="21"/>
                <w:sz w:val="24"/>
                <w:szCs w:val="24"/>
                <w:u w:val="none"/>
              </w:rPr>
            </w:pPr>
            <w:r>
              <w:rPr>
                <w:rFonts w:hint="eastAsia" w:ascii="仿宋_GB2312" w:hAnsi="仿宋_GB2312" w:eastAsia="仿宋_GB2312" w:cs="仿宋_GB2312"/>
                <w:b/>
                <w:bCs/>
                <w:snapToGrid w:val="0"/>
                <w:color w:val="auto"/>
                <w:kern w:val="21"/>
                <w:sz w:val="24"/>
                <w:szCs w:val="24"/>
                <w:u w:val="none"/>
                <w:lang w:bidi="ar"/>
              </w:rPr>
              <w:t>具体任务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bCs/>
                <w:snapToGrid w:val="0"/>
                <w:color w:val="auto"/>
                <w:kern w:val="21"/>
                <w:sz w:val="24"/>
                <w:szCs w:val="24"/>
                <w:u w:val="none"/>
              </w:rPr>
            </w:pPr>
            <w:r>
              <w:rPr>
                <w:rFonts w:hint="eastAsia" w:ascii="仿宋_GB2312" w:hAnsi="仿宋_GB2312" w:eastAsia="仿宋_GB2312" w:cs="仿宋_GB2312"/>
                <w:b/>
                <w:bCs/>
                <w:snapToGrid w:val="0"/>
                <w:color w:val="auto"/>
                <w:kern w:val="21"/>
                <w:sz w:val="24"/>
                <w:szCs w:val="24"/>
                <w:u w:val="none"/>
                <w:lang w:bidi="ar"/>
              </w:rPr>
              <w:t>完成时限</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bCs/>
                <w:snapToGrid w:val="0"/>
                <w:color w:val="auto"/>
                <w:kern w:val="21"/>
                <w:sz w:val="24"/>
                <w:szCs w:val="24"/>
                <w:u w:val="none"/>
              </w:rPr>
            </w:pPr>
            <w:r>
              <w:rPr>
                <w:rFonts w:hint="eastAsia" w:ascii="仿宋_GB2312" w:hAnsi="仿宋_GB2312" w:eastAsia="仿宋_GB2312" w:cs="仿宋_GB2312"/>
                <w:b/>
                <w:bCs/>
                <w:snapToGrid w:val="0"/>
                <w:color w:val="auto"/>
                <w:kern w:val="21"/>
                <w:sz w:val="24"/>
                <w:szCs w:val="24"/>
                <w:u w:val="none"/>
                <w:lang w:bidi="ar"/>
              </w:rPr>
              <w:t>牵头单位</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bCs/>
                <w:snapToGrid w:val="0"/>
                <w:color w:val="auto"/>
                <w:kern w:val="21"/>
                <w:sz w:val="24"/>
                <w:szCs w:val="24"/>
                <w:u w:val="none"/>
              </w:rPr>
            </w:pPr>
            <w:r>
              <w:rPr>
                <w:rFonts w:hint="eastAsia" w:ascii="仿宋_GB2312" w:hAnsi="仿宋_GB2312" w:eastAsia="仿宋_GB2312" w:cs="仿宋_GB2312"/>
                <w:b/>
                <w:bCs/>
                <w:snapToGrid w:val="0"/>
                <w:color w:val="auto"/>
                <w:kern w:val="21"/>
                <w:sz w:val="24"/>
                <w:szCs w:val="24"/>
                <w:u w:val="none"/>
                <w:lang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7个事项1个工作日办结</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企业开办营业执照办理、印章刻制、发票和税务U</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K</w:t>
            </w:r>
            <w:r>
              <w:rPr>
                <w:rFonts w:hint="eastAsia" w:ascii="仿宋_GB2312" w:hAnsi="仿宋_GB2312" w:eastAsia="仿宋_GB2312" w:cs="仿宋_GB2312"/>
                <w:b w:val="0"/>
                <w:bCs w:val="0"/>
                <w:snapToGrid w:val="0"/>
                <w:color w:val="auto"/>
                <w:kern w:val="21"/>
                <w:sz w:val="24"/>
                <w:szCs w:val="24"/>
                <w:highlight w:val="none"/>
                <w:u w:val="none"/>
                <w:lang w:bidi="ar"/>
              </w:rPr>
              <w:t>ey申领、就业及参保登记、医保登记、住房公积金单位开户、确需当天完成开户的企业平台内预约银行开户全流程办理时间压缩至1个工作日。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行政审批</w:t>
            </w:r>
            <w:r>
              <w:rPr>
                <w:rFonts w:hint="eastAsia" w:ascii="仿宋_GB2312" w:hAnsi="仿宋_GB2312" w:eastAsia="仿宋_GB2312" w:cs="仿宋_GB2312"/>
                <w:b w:val="0"/>
                <w:bCs w:val="0"/>
                <w:snapToGrid w:val="0"/>
                <w:color w:val="auto"/>
                <w:kern w:val="21"/>
                <w:sz w:val="24"/>
                <w:szCs w:val="24"/>
                <w:highlight w:val="none"/>
                <w:u w:val="none"/>
                <w:lang w:bidi="ar"/>
              </w:rPr>
              <w:t>局、医保局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税务</w:t>
            </w:r>
            <w:r>
              <w:rPr>
                <w:rFonts w:hint="eastAsia" w:ascii="仿宋_GB2312" w:hAnsi="仿宋_GB2312" w:eastAsia="仿宋_GB2312" w:cs="仿宋_GB2312"/>
                <w:b w:val="0"/>
                <w:bCs w:val="0"/>
                <w:snapToGrid w:val="0"/>
                <w:color w:val="auto"/>
                <w:kern w:val="21"/>
                <w:sz w:val="24"/>
                <w:szCs w:val="24"/>
                <w:highlight w:val="none"/>
                <w:u w:val="none"/>
                <w:lang w:eastAsia="zh-CN" w:bidi="ar"/>
              </w:rPr>
              <w:t>局，柳州市住房公积金管理中心柳城管理部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深化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一址多照</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依托专业服务机构和行业协会，探索建立市场主体托管服务新机制。允许律师事务所、会计师事务所、税务</w:t>
            </w:r>
            <w:r>
              <w:rPr>
                <w:rFonts w:hint="eastAsia" w:ascii="仿宋_GB2312" w:hAnsi="仿宋_GB2312" w:eastAsia="仿宋_GB2312" w:cs="仿宋_GB2312"/>
                <w:b w:val="0"/>
                <w:bCs w:val="0"/>
                <w:snapToGrid w:val="0"/>
                <w:color w:val="auto"/>
                <w:kern w:val="21"/>
                <w:sz w:val="24"/>
                <w:szCs w:val="24"/>
                <w:highlight w:val="none"/>
                <w:u w:val="none"/>
                <w:lang w:eastAsia="zh-CN" w:bidi="ar"/>
              </w:rPr>
              <w:t>师事务所</w:t>
            </w:r>
            <w:r>
              <w:rPr>
                <w:rFonts w:hint="eastAsia" w:ascii="仿宋_GB2312" w:hAnsi="仿宋_GB2312" w:eastAsia="仿宋_GB2312" w:cs="仿宋_GB2312"/>
                <w:b w:val="0"/>
                <w:bCs w:val="0"/>
                <w:snapToGrid w:val="0"/>
                <w:color w:val="auto"/>
                <w:kern w:val="21"/>
                <w:sz w:val="24"/>
                <w:szCs w:val="24"/>
                <w:highlight w:val="none"/>
                <w:u w:val="none"/>
                <w:lang w:bidi="ar"/>
              </w:rPr>
              <w:t>等专业机构办公场所作为新登记企业的住所（经营场所），拓宽</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一址多照</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类别，降低企业制度性开办成本。</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2022年10月31日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行政审批</w:t>
            </w:r>
            <w:r>
              <w:rPr>
                <w:rFonts w:hint="eastAsia" w:ascii="仿宋_GB2312" w:hAnsi="仿宋_GB2312" w:eastAsia="仿宋_GB2312" w:cs="仿宋_GB2312"/>
                <w:b w:val="0"/>
                <w:bCs w:val="0"/>
                <w:snapToGrid w:val="0"/>
                <w:color w:val="auto"/>
                <w:kern w:val="21"/>
                <w:sz w:val="24"/>
                <w:szCs w:val="24"/>
                <w:highlight w:val="none"/>
                <w:u w:val="none"/>
                <w:lang w:bidi="ar"/>
              </w:rPr>
              <w:t>局、医保局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7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提高网上办理率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新登记企业网上办理率超过90</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行政审批</w:t>
            </w:r>
            <w:r>
              <w:rPr>
                <w:rFonts w:hint="eastAsia" w:ascii="仿宋_GB2312" w:hAnsi="仿宋_GB2312" w:eastAsia="仿宋_GB2312" w:cs="仿宋_GB2312"/>
                <w:b w:val="0"/>
                <w:bCs w:val="0"/>
                <w:snapToGrid w:val="0"/>
                <w:color w:val="auto"/>
                <w:kern w:val="21"/>
                <w:sz w:val="24"/>
                <w:szCs w:val="24"/>
                <w:highlight w:val="none"/>
                <w:u w:val="none"/>
                <w:lang w:bidi="ar"/>
              </w:rPr>
              <w:t>局、医保局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开办</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 xml:space="preserve">                                                                                                                                                                                                                                                                                                                                                                                                                                                                                                                                                                                                                                                                                                                                                                                                                                                                                                                                                                                                                                                                                                                                                                                                                                                                                                                                                                                                                                                                                                                                                                       </w:t>
            </w: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建立全区统一标准地址信息库</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依托广西政务云平台，</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搭建全区统一标准地址信息库</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（柳州分库）</w:t>
            </w:r>
            <w:r>
              <w:rPr>
                <w:rFonts w:hint="eastAsia" w:ascii="仿宋_GB2312" w:hAnsi="仿宋_GB2312" w:eastAsia="仿宋_GB2312" w:cs="仿宋_GB2312"/>
                <w:b w:val="0"/>
                <w:bCs w:val="0"/>
                <w:snapToGrid w:val="0"/>
                <w:color w:val="auto"/>
                <w:kern w:val="21"/>
                <w:sz w:val="24"/>
                <w:szCs w:val="24"/>
                <w:highlight w:val="none"/>
                <w:u w:val="none"/>
                <w:lang w:bidi="ar"/>
              </w:rPr>
              <w:t>，为全区开办企业住所（经营场所）标准化登记提供信息化支撑。</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县公安局、民政局、自然资源和规划局、住房城乡建设局、市场监管局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仿宋_GB2312" w:hAnsi="仿宋_GB2312" w:eastAsia="仿宋_GB2312" w:cs="仿宋_GB2312"/>
                <w:b w:val="0"/>
                <w:bCs w:val="0"/>
                <w:snapToGrid w:val="0"/>
                <w:color w:val="auto"/>
                <w:kern w:val="21"/>
                <w:sz w:val="24"/>
                <w:szCs w:val="24"/>
                <w:highlight w:val="none"/>
                <w:u w:val="none"/>
                <w:lang w:bidi="ar"/>
              </w:rPr>
            </w:pPr>
            <w:r>
              <w:rPr>
                <w:rFonts w:hint="default"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推行企业住所（经营场所）标准化登记</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配合柳州市</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持续深化市场主体住所和经营场所标准化登记改革，推行企业住所（经营场所）标准化登记。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default" w:ascii="仿宋_GB2312" w:hAnsi="仿宋_GB2312" w:eastAsia="仿宋_GB2312" w:cs="仿宋_GB2312"/>
                <w:b w:val="0"/>
                <w:bCs w:val="0"/>
                <w:snapToGrid w:val="0"/>
                <w:color w:val="auto"/>
                <w:kern w:val="21"/>
                <w:sz w:val="24"/>
                <w:szCs w:val="24"/>
                <w:highlight w:val="none"/>
                <w:u w:val="none"/>
                <w:lang w:bidi="ar"/>
              </w:rPr>
              <w:t>市场监管局、行政审批局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推行企业住所（经营场所）标准化登记</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将全区统一标准地址信息库</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（柳州分库）</w:t>
            </w:r>
            <w:r>
              <w:rPr>
                <w:rFonts w:hint="eastAsia" w:ascii="仿宋_GB2312" w:hAnsi="仿宋_GB2312" w:eastAsia="仿宋_GB2312" w:cs="仿宋_GB2312"/>
                <w:b w:val="0"/>
                <w:bCs w:val="0"/>
                <w:snapToGrid w:val="0"/>
                <w:color w:val="auto"/>
                <w:kern w:val="21"/>
                <w:sz w:val="24"/>
                <w:szCs w:val="24"/>
                <w:highlight w:val="none"/>
                <w:u w:val="none"/>
                <w:lang w:bidi="ar"/>
              </w:rPr>
              <w:t>应用于企业登记注册业务实践，实现住所房屋产权证明信息与标准地址数据智能筛查比对，进一步提升登记机关对企业申报地址真实性的识别效能。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便利企业分支机构、连锁门店信息变更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企业</w:t>
            </w:r>
            <w:r>
              <w:rPr>
                <w:rFonts w:hint="eastAsia" w:ascii="仿宋_GB2312" w:hAnsi="仿宋_GB2312" w:eastAsia="仿宋_GB2312" w:cs="仿宋_GB2312"/>
                <w:b w:val="0"/>
                <w:bCs w:val="0"/>
                <w:snapToGrid w:val="0"/>
                <w:color w:val="auto"/>
                <w:kern w:val="21"/>
                <w:sz w:val="24"/>
                <w:szCs w:val="24"/>
                <w:highlight w:val="none"/>
                <w:u w:val="none"/>
                <w:lang w:bidi="ar"/>
              </w:rPr>
              <w:t>分支机构统一信息（公司名称、经营范围）集中统一办理。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2022年9月30日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降低企业开办成本</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继续向新设立企业免费发放印章和税</w:t>
            </w:r>
            <w:r>
              <w:rPr>
                <w:rFonts w:hint="eastAsia" w:ascii="仿宋_GB2312" w:hAnsi="仿宋_GB2312" w:eastAsia="仿宋_GB2312" w:cs="仿宋_GB2312"/>
                <w:b w:val="0"/>
                <w:bCs w:val="0"/>
                <w:snapToGrid w:val="0"/>
                <w:color w:val="auto"/>
                <w:kern w:val="21"/>
                <w:sz w:val="24"/>
                <w:szCs w:val="24"/>
                <w:highlight w:val="none"/>
                <w:u w:val="none"/>
                <w:lang w:eastAsia="zh-CN" w:bidi="ar"/>
              </w:rPr>
              <w:t>务</w:t>
            </w:r>
            <w:r>
              <w:rPr>
                <w:rFonts w:hint="eastAsia" w:ascii="仿宋_GB2312" w:hAnsi="仿宋_GB2312" w:eastAsia="仿宋_GB2312" w:cs="仿宋_GB2312"/>
                <w:b w:val="0"/>
                <w:bCs w:val="0"/>
                <w:snapToGrid w:val="0"/>
                <w:color w:val="auto"/>
                <w:kern w:val="21"/>
                <w:sz w:val="24"/>
                <w:szCs w:val="24"/>
                <w:highlight w:val="none"/>
                <w:u w:val="none"/>
                <w:lang w:bidi="ar"/>
              </w:rPr>
              <w:t>U</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K</w:t>
            </w:r>
            <w:r>
              <w:rPr>
                <w:rFonts w:hint="eastAsia" w:ascii="仿宋_GB2312" w:hAnsi="仿宋_GB2312" w:eastAsia="仿宋_GB2312" w:cs="仿宋_GB2312"/>
                <w:b w:val="0"/>
                <w:bCs w:val="0"/>
                <w:snapToGrid w:val="0"/>
                <w:color w:val="auto"/>
                <w:kern w:val="21"/>
                <w:sz w:val="24"/>
                <w:szCs w:val="24"/>
                <w:highlight w:val="none"/>
                <w:u w:val="none"/>
                <w:lang w:bidi="ar"/>
              </w:rPr>
              <w:t>ey，推动商业银行减免银行基本账户开户费和首年服务费。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行政审批</w:t>
            </w:r>
            <w:r>
              <w:rPr>
                <w:rFonts w:hint="eastAsia" w:ascii="仿宋_GB2312" w:hAnsi="仿宋_GB2312" w:eastAsia="仿宋_GB2312" w:cs="仿宋_GB2312"/>
                <w:b w:val="0"/>
                <w:bCs w:val="0"/>
                <w:snapToGrid w:val="0"/>
                <w:color w:val="auto"/>
                <w:kern w:val="21"/>
                <w:sz w:val="24"/>
                <w:szCs w:val="24"/>
                <w:highlight w:val="none"/>
                <w:u w:val="none"/>
                <w:lang w:bidi="ar"/>
              </w:rPr>
              <w:t>局</w:t>
            </w:r>
            <w:r>
              <w:rPr>
                <w:rFonts w:hint="eastAsia" w:ascii="仿宋_GB2312" w:hAnsi="仿宋_GB2312" w:eastAsia="仿宋_GB2312" w:cs="仿宋_GB2312"/>
                <w:b w:val="0"/>
                <w:bCs w:val="0"/>
                <w:snapToGrid w:val="0"/>
                <w:color w:val="auto"/>
                <w:kern w:val="21"/>
                <w:sz w:val="24"/>
                <w:szCs w:val="24"/>
                <w:highlight w:val="none"/>
                <w:u w:val="none"/>
                <w:lang w:eastAsia="zh-CN" w:bidi="ar"/>
              </w:rPr>
              <w:t>、税务局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进一步提升企业开办信息化保障能力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完善广西企业开办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一窗通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平台，优化操作流程，提升部门间信息推送效率和数据质量。</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将部门间推送数据时间压缩到10分钟以内，各业务主管部门相应</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提高本系统内推送数据质量，及时反馈办结情况。力争数据实时推送成功率达</w:t>
            </w:r>
            <w:r>
              <w:rPr>
                <w:rFonts w:hint="eastAsia" w:ascii="仿宋_GB2312" w:hAnsi="仿宋_GB2312" w:eastAsia="仿宋_GB2312" w:cs="仿宋_GB2312"/>
                <w:b w:val="0"/>
                <w:bCs w:val="0"/>
                <w:snapToGrid w:val="0"/>
                <w:color w:val="auto"/>
                <w:kern w:val="21"/>
                <w:sz w:val="24"/>
                <w:szCs w:val="24"/>
                <w:highlight w:val="none"/>
                <w:u w:val="none"/>
                <w:lang w:eastAsia="zh-CN" w:bidi="ar"/>
              </w:rPr>
              <w:t>到</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 xml:space="preserve"> </w:t>
            </w:r>
            <w:r>
              <w:rPr>
                <w:rFonts w:hint="eastAsia" w:ascii="仿宋_GB2312" w:hAnsi="仿宋_GB2312" w:eastAsia="仿宋_GB2312" w:cs="仿宋_GB2312"/>
                <w:b w:val="0"/>
                <w:bCs w:val="0"/>
                <w:snapToGrid w:val="0"/>
                <w:color w:val="auto"/>
                <w:kern w:val="21"/>
                <w:sz w:val="24"/>
                <w:szCs w:val="24"/>
                <w:highlight w:val="none"/>
                <w:u w:val="none"/>
                <w:lang w:bidi="ar"/>
              </w:rPr>
              <w:t>90%以上，期限内办结反馈</w:t>
            </w:r>
            <w:r>
              <w:rPr>
                <w:rFonts w:hint="eastAsia" w:ascii="仿宋_GB2312" w:hAnsi="仿宋_GB2312" w:eastAsia="仿宋_GB2312" w:cs="仿宋_GB2312"/>
                <w:b w:val="0"/>
                <w:bCs w:val="0"/>
                <w:snapToGrid w:val="0"/>
                <w:color w:val="auto"/>
                <w:kern w:val="21"/>
                <w:sz w:val="24"/>
                <w:szCs w:val="24"/>
                <w:highlight w:val="none"/>
                <w:u w:val="none"/>
                <w:lang w:eastAsia="zh-CN" w:bidi="ar"/>
              </w:rPr>
              <w:t>成功率</w:t>
            </w:r>
            <w:r>
              <w:rPr>
                <w:rFonts w:hint="eastAsia" w:ascii="仿宋_GB2312" w:hAnsi="仿宋_GB2312" w:eastAsia="仿宋_GB2312" w:cs="仿宋_GB2312"/>
                <w:b w:val="0"/>
                <w:bCs w:val="0"/>
                <w:snapToGrid w:val="0"/>
                <w:color w:val="auto"/>
                <w:kern w:val="21"/>
                <w:sz w:val="24"/>
                <w:szCs w:val="24"/>
                <w:highlight w:val="none"/>
                <w:u w:val="none"/>
                <w:lang w:bidi="ar"/>
              </w:rPr>
              <w:t>达</w:t>
            </w:r>
            <w:r>
              <w:rPr>
                <w:rFonts w:hint="eastAsia" w:ascii="仿宋_GB2312" w:hAnsi="仿宋_GB2312" w:eastAsia="仿宋_GB2312" w:cs="仿宋_GB2312"/>
                <w:b w:val="0"/>
                <w:bCs w:val="0"/>
                <w:snapToGrid w:val="0"/>
                <w:color w:val="auto"/>
                <w:kern w:val="21"/>
                <w:sz w:val="24"/>
                <w:szCs w:val="24"/>
                <w:highlight w:val="none"/>
                <w:u w:val="none"/>
                <w:lang w:eastAsia="zh-CN" w:bidi="ar"/>
              </w:rPr>
              <w:t>到</w:t>
            </w:r>
            <w:r>
              <w:rPr>
                <w:rFonts w:hint="eastAsia" w:ascii="仿宋_GB2312" w:hAnsi="仿宋_GB2312" w:eastAsia="仿宋_GB2312" w:cs="仿宋_GB2312"/>
                <w:b w:val="0"/>
                <w:bCs w:val="0"/>
                <w:snapToGrid w:val="0"/>
                <w:color w:val="auto"/>
                <w:kern w:val="21"/>
                <w:sz w:val="24"/>
                <w:szCs w:val="24"/>
                <w:highlight w:val="none"/>
                <w:u w:val="none"/>
                <w:lang w:bidi="ar"/>
              </w:rPr>
              <w:t>80%以上。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11</w:t>
            </w:r>
            <w:r>
              <w:rPr>
                <w:rFonts w:hint="eastAsia" w:ascii="仿宋_GB2312" w:hAnsi="仿宋_GB2312" w:eastAsia="仿宋_GB2312" w:cs="仿宋_GB2312"/>
                <w:b w:val="0"/>
                <w:bCs w:val="0"/>
                <w:snapToGrid w:val="0"/>
                <w:color w:val="auto"/>
                <w:kern w:val="21"/>
                <w:sz w:val="24"/>
                <w:szCs w:val="24"/>
                <w:highlight w:val="none"/>
                <w:u w:val="none"/>
                <w:lang w:bidi="ar"/>
              </w:rPr>
              <w:t>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、人力资源社会保障局、住房城乡建设局、</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发展改革局</w:t>
            </w:r>
            <w:r>
              <w:rPr>
                <w:rFonts w:hint="eastAsia" w:ascii="仿宋_GB2312" w:hAnsi="仿宋_GB2312" w:eastAsia="仿宋_GB2312" w:cs="仿宋_GB2312"/>
                <w:b w:val="0"/>
                <w:bCs w:val="0"/>
                <w:snapToGrid w:val="0"/>
                <w:color w:val="auto"/>
                <w:kern w:val="21"/>
                <w:sz w:val="24"/>
                <w:szCs w:val="24"/>
                <w:highlight w:val="none"/>
                <w:u w:val="none"/>
                <w:lang w:bidi="ar"/>
              </w:rPr>
              <w:t>、医保局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4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落实</w:t>
            </w:r>
            <w:r>
              <w:rPr>
                <w:rFonts w:hint="eastAsia" w:ascii="仿宋_GB2312" w:hAnsi="仿宋_GB2312" w:eastAsia="仿宋_GB2312" w:cs="仿宋_GB2312"/>
                <w:b w:val="0"/>
                <w:bCs w:val="0"/>
                <w:snapToGrid w:val="0"/>
                <w:color w:val="auto"/>
                <w:kern w:val="21"/>
                <w:sz w:val="24"/>
                <w:szCs w:val="24"/>
                <w:highlight w:val="none"/>
                <w:u w:val="none"/>
                <w:lang w:bidi="ar"/>
              </w:rPr>
              <w:t>市场主体歇业制度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trike/>
                <w:snapToGrid w:val="0"/>
                <w:color w:val="auto"/>
                <w:kern w:val="21"/>
                <w:sz w:val="24"/>
                <w:szCs w:val="24"/>
                <w:highlight w:val="none"/>
                <w:u w:val="none"/>
              </w:rPr>
            </w:pPr>
            <w:r>
              <w:rPr>
                <w:rStyle w:val="13"/>
                <w:rFonts w:hint="eastAsia" w:ascii="仿宋_GB2312" w:hAnsi="仿宋_GB2312" w:eastAsia="仿宋_GB2312" w:cs="仿宋_GB2312"/>
                <w:b w:val="0"/>
                <w:bCs w:val="0"/>
                <w:snapToGrid w:val="0"/>
                <w:color w:val="auto"/>
                <w:kern w:val="21"/>
                <w:sz w:val="24"/>
                <w:szCs w:val="24"/>
                <w:highlight w:val="none"/>
                <w:u w:val="none"/>
                <w:lang w:bidi="ar"/>
              </w:rPr>
              <w:t>允许符合条件的市场主体自主决定在一定时期</w:t>
            </w:r>
            <w:r>
              <w:rPr>
                <w:rStyle w:val="13"/>
                <w:rFonts w:hint="eastAsia" w:ascii="仿宋_GB2312" w:hAnsi="仿宋_GB2312" w:eastAsia="仿宋_GB2312" w:cs="仿宋_GB2312"/>
                <w:b w:val="0"/>
                <w:bCs w:val="0"/>
                <w:snapToGrid w:val="0"/>
                <w:color w:val="auto"/>
                <w:kern w:val="21"/>
                <w:sz w:val="24"/>
                <w:szCs w:val="24"/>
                <w:highlight w:val="none"/>
                <w:u w:val="none"/>
                <w:lang w:eastAsia="zh-CN" w:bidi="ar"/>
              </w:rPr>
              <w:t>内</w:t>
            </w:r>
            <w:r>
              <w:rPr>
                <w:rStyle w:val="13"/>
                <w:rFonts w:hint="eastAsia" w:ascii="仿宋_GB2312" w:hAnsi="仿宋_GB2312" w:eastAsia="仿宋_GB2312" w:cs="仿宋_GB2312"/>
                <w:b w:val="0"/>
                <w:bCs w:val="0"/>
                <w:snapToGrid w:val="0"/>
                <w:color w:val="auto"/>
                <w:kern w:val="21"/>
                <w:sz w:val="24"/>
                <w:szCs w:val="24"/>
                <w:highlight w:val="none"/>
                <w:u w:val="none"/>
                <w:lang w:bidi="ar"/>
              </w:rPr>
              <w:t>歇业。做好歇业登记，并依法将歇业市场主体</w:t>
            </w:r>
            <w:r>
              <w:rPr>
                <w:rStyle w:val="13"/>
                <w:rFonts w:hint="eastAsia" w:ascii="仿宋_GB2312" w:hAnsi="仿宋_GB2312" w:eastAsia="仿宋_GB2312" w:cs="仿宋_GB2312"/>
                <w:b w:val="0"/>
                <w:bCs w:val="0"/>
                <w:snapToGrid w:val="0"/>
                <w:color w:val="auto"/>
                <w:kern w:val="21"/>
                <w:sz w:val="24"/>
                <w:szCs w:val="24"/>
                <w:highlight w:val="none"/>
                <w:u w:val="none"/>
                <w:lang w:eastAsia="zh-CN" w:bidi="ar"/>
              </w:rPr>
              <w:t>信息</w:t>
            </w:r>
            <w:r>
              <w:rPr>
                <w:rStyle w:val="13"/>
                <w:rFonts w:hint="eastAsia" w:ascii="仿宋_GB2312" w:hAnsi="仿宋_GB2312" w:eastAsia="仿宋_GB2312" w:cs="仿宋_GB2312"/>
                <w:b w:val="0"/>
                <w:bCs w:val="0"/>
                <w:snapToGrid w:val="0"/>
                <w:color w:val="auto"/>
                <w:kern w:val="21"/>
                <w:sz w:val="24"/>
                <w:szCs w:val="24"/>
                <w:highlight w:val="none"/>
                <w:u w:val="none"/>
                <w:lang w:bidi="ar"/>
              </w:rPr>
              <w:t>通过国家企业信用信息公示系统向社会公示。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11</w:t>
            </w:r>
            <w:r>
              <w:rPr>
                <w:rFonts w:hint="eastAsia" w:ascii="仿宋_GB2312" w:hAnsi="仿宋_GB2312" w:eastAsia="仿宋_GB2312" w:cs="仿宋_GB2312"/>
                <w:b w:val="0"/>
                <w:bCs w:val="0"/>
                <w:snapToGrid w:val="0"/>
                <w:color w:val="auto"/>
                <w:kern w:val="21"/>
                <w:sz w:val="24"/>
                <w:szCs w:val="24"/>
                <w:highlight w:val="none"/>
                <w:u w:val="none"/>
                <w:lang w:bidi="ar"/>
              </w:rPr>
              <w:t>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、人力资源社会保障局、住房城乡建设局、</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发展改革局</w:t>
            </w:r>
            <w:r>
              <w:rPr>
                <w:rFonts w:hint="eastAsia" w:ascii="仿宋_GB2312" w:hAnsi="仿宋_GB2312" w:eastAsia="仿宋_GB2312" w:cs="仿宋_GB2312"/>
                <w:b w:val="0"/>
                <w:bCs w:val="0"/>
                <w:snapToGrid w:val="0"/>
                <w:color w:val="auto"/>
                <w:kern w:val="21"/>
                <w:sz w:val="24"/>
                <w:szCs w:val="24"/>
                <w:highlight w:val="none"/>
                <w:u w:val="none"/>
                <w:lang w:bidi="ar"/>
              </w:rPr>
              <w:t>、医保局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进一步便利企业开立银行账户</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企业基本存款账户开立后，经企业授权同意，</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一窗通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平台及时将相关信息推送给税务、</w:t>
            </w:r>
            <w:r>
              <w:rPr>
                <w:rFonts w:hint="eastAsia" w:ascii="仿宋_GB2312" w:hAnsi="仿宋_GB2312" w:eastAsia="仿宋_GB2312" w:cs="仿宋_GB2312"/>
                <w:b w:val="0"/>
                <w:bCs w:val="0"/>
                <w:snapToGrid w:val="0"/>
                <w:color w:val="auto"/>
                <w:kern w:val="21"/>
                <w:sz w:val="24"/>
                <w:szCs w:val="24"/>
                <w:highlight w:val="none"/>
                <w:u w:val="none"/>
                <w:lang w:val="en" w:eastAsia="zh-CN"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bidi="ar"/>
              </w:rPr>
              <w:t>、医保、住房公积金</w:t>
            </w:r>
            <w:r>
              <w:rPr>
                <w:rFonts w:hint="eastAsia" w:ascii="仿宋_GB2312" w:hAnsi="仿宋_GB2312" w:eastAsia="仿宋_GB2312" w:cs="仿宋_GB2312"/>
                <w:b w:val="0"/>
                <w:bCs w:val="0"/>
                <w:snapToGrid w:val="0"/>
                <w:color w:val="auto"/>
                <w:kern w:val="21"/>
                <w:sz w:val="24"/>
                <w:szCs w:val="24"/>
                <w:highlight w:val="none"/>
                <w:u w:val="none"/>
                <w:lang w:eastAsia="zh-CN" w:bidi="ar"/>
              </w:rPr>
              <w:t>等</w:t>
            </w:r>
            <w:r>
              <w:rPr>
                <w:rFonts w:hint="eastAsia" w:ascii="仿宋_GB2312" w:hAnsi="仿宋_GB2312" w:eastAsia="仿宋_GB2312" w:cs="仿宋_GB2312"/>
                <w:b w:val="0"/>
                <w:bCs w:val="0"/>
                <w:snapToGrid w:val="0"/>
                <w:color w:val="auto"/>
                <w:kern w:val="21"/>
                <w:sz w:val="24"/>
                <w:szCs w:val="24"/>
                <w:highlight w:val="none"/>
                <w:u w:val="none"/>
                <w:lang w:bidi="ar"/>
              </w:rPr>
              <w:t>部门。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、人力资源社会保障局、住房城乡建设局、医保局、</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发展改革局、</w:t>
            </w:r>
            <w:r>
              <w:rPr>
                <w:rFonts w:hint="eastAsia" w:ascii="仿宋_GB2312" w:hAnsi="仿宋_GB2312" w:eastAsia="仿宋_GB2312" w:cs="仿宋_GB2312"/>
                <w:b w:val="0"/>
                <w:bCs w:val="0"/>
                <w:snapToGrid w:val="0"/>
                <w:color w:val="auto"/>
                <w:kern w:val="21"/>
                <w:sz w:val="24"/>
                <w:szCs w:val="24"/>
                <w:highlight w:val="none"/>
                <w:u w:val="none"/>
                <w:lang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试行企业登记信息变更网上办理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通过企业开办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一网通办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平台完成登记注册的企业，可通过平台实现全程网上办理变更手续。将核准后企业变更信息同步推送至公安、税务、</w:t>
            </w:r>
            <w:r>
              <w:rPr>
                <w:rFonts w:hint="eastAsia" w:ascii="仿宋_GB2312" w:hAnsi="仿宋_GB2312" w:eastAsia="仿宋_GB2312" w:cs="仿宋_GB2312"/>
                <w:b w:val="0"/>
                <w:bCs w:val="0"/>
                <w:snapToGrid w:val="0"/>
                <w:color w:val="auto"/>
                <w:kern w:val="21"/>
                <w:sz w:val="24"/>
                <w:szCs w:val="24"/>
                <w:highlight w:val="none"/>
                <w:u w:val="none"/>
                <w:lang w:val="en"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bidi="ar"/>
              </w:rPr>
              <w:t>、住房公积金等部门，相关部门收到信息后即可完成变更备案，企业不再单独向相关部门办理变更登记。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、医保局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推行企业办事</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一照通办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通过政府部门内部数据共享等方式归集或核验企业基本信息，探索实行企业仅凭</w:t>
            </w:r>
            <w:r>
              <w:rPr>
                <w:rFonts w:hint="eastAsia" w:ascii="仿宋_GB2312" w:hAnsi="仿宋_GB2312" w:eastAsia="仿宋_GB2312" w:cs="仿宋_GB2312"/>
                <w:b w:val="0"/>
                <w:bCs w:val="0"/>
                <w:snapToGrid w:val="0"/>
                <w:color w:val="auto"/>
                <w:kern w:val="21"/>
                <w:sz w:val="24"/>
                <w:szCs w:val="24"/>
                <w:highlight w:val="none"/>
                <w:u w:val="none"/>
                <w:lang w:eastAsia="zh-CN" w:bidi="ar"/>
              </w:rPr>
              <w:t>电子</w:t>
            </w:r>
            <w:r>
              <w:rPr>
                <w:rFonts w:hint="eastAsia" w:ascii="仿宋_GB2312" w:hAnsi="仿宋_GB2312" w:eastAsia="仿宋_GB2312" w:cs="仿宋_GB2312"/>
                <w:b w:val="0"/>
                <w:bCs w:val="0"/>
                <w:snapToGrid w:val="0"/>
                <w:color w:val="auto"/>
                <w:kern w:val="21"/>
                <w:sz w:val="24"/>
                <w:szCs w:val="24"/>
                <w:highlight w:val="none"/>
                <w:u w:val="none"/>
                <w:lang w:bidi="ar"/>
              </w:rPr>
              <w:t>营业执照即可办理部分高频审批服务事项，无需提交其他材料。</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提高登记市场主体数量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全力配合柳州市实现2022年底新登记市场主体5万户以上。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5"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提升企业退出便利化水平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修改完善企业注销登记文书及有关规范；将简易注销范围扩大到符合条件的各类企业分支机构。</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9</w:t>
            </w:r>
            <w:r>
              <w:rPr>
                <w:rFonts w:hint="eastAsia" w:ascii="仿宋_GB2312" w:hAnsi="仿宋_GB2312" w:eastAsia="仿宋_GB2312" w:cs="仿宋_GB2312"/>
                <w:b w:val="0"/>
                <w:bCs w:val="0"/>
                <w:snapToGrid w:val="0"/>
                <w:color w:val="auto"/>
                <w:kern w:val="21"/>
                <w:sz w:val="24"/>
                <w:szCs w:val="24"/>
                <w:highlight w:val="none"/>
                <w:u w:val="none"/>
                <w:lang w:bidi="ar"/>
              </w:rPr>
              <w:t>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企业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提升企业退出便利化水平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优化企业注销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一网通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平台功能，将企业注销信息实时与公安、银行、住房公积金等</w:t>
            </w:r>
            <w:r>
              <w:rPr>
                <w:rFonts w:hint="eastAsia" w:ascii="仿宋_GB2312" w:hAnsi="仿宋_GB2312" w:eastAsia="仿宋_GB2312" w:cs="仿宋_GB2312"/>
                <w:b w:val="0"/>
                <w:bCs w:val="0"/>
                <w:snapToGrid w:val="0"/>
                <w:color w:val="auto"/>
                <w:kern w:val="21"/>
                <w:sz w:val="24"/>
                <w:szCs w:val="24"/>
                <w:highlight w:val="none"/>
                <w:u w:val="none"/>
                <w:lang w:eastAsia="zh-CN" w:bidi="ar"/>
              </w:rPr>
              <w:t>部门</w:t>
            </w:r>
            <w:r>
              <w:rPr>
                <w:rFonts w:hint="eastAsia" w:ascii="仿宋_GB2312" w:hAnsi="仿宋_GB2312" w:eastAsia="仿宋_GB2312" w:cs="仿宋_GB2312"/>
                <w:b w:val="0"/>
                <w:bCs w:val="0"/>
                <w:snapToGrid w:val="0"/>
                <w:color w:val="auto"/>
                <w:kern w:val="21"/>
                <w:sz w:val="24"/>
                <w:szCs w:val="24"/>
                <w:highlight w:val="none"/>
                <w:u w:val="none"/>
                <w:lang w:bidi="ar"/>
              </w:rPr>
              <w:t>共享，便于企业快捷办理公章注销、银行账户注销、</w:t>
            </w:r>
            <w:r>
              <w:rPr>
                <w:rFonts w:hint="eastAsia" w:ascii="仿宋_GB2312" w:hAnsi="仿宋_GB2312" w:eastAsia="仿宋_GB2312" w:cs="仿宋_GB2312"/>
                <w:b w:val="0"/>
                <w:bCs w:val="0"/>
                <w:snapToGrid w:val="0"/>
                <w:color w:val="auto"/>
                <w:kern w:val="21"/>
                <w:sz w:val="24"/>
                <w:szCs w:val="24"/>
                <w:highlight w:val="none"/>
                <w:u w:val="none"/>
                <w:lang w:eastAsia="zh-CN" w:bidi="ar"/>
              </w:rPr>
              <w:t>住房</w:t>
            </w:r>
            <w:r>
              <w:rPr>
                <w:rFonts w:hint="eastAsia" w:ascii="仿宋_GB2312" w:hAnsi="仿宋_GB2312" w:eastAsia="仿宋_GB2312" w:cs="仿宋_GB2312"/>
                <w:b w:val="0"/>
                <w:bCs w:val="0"/>
                <w:snapToGrid w:val="0"/>
                <w:color w:val="auto"/>
                <w:kern w:val="21"/>
                <w:sz w:val="24"/>
                <w:szCs w:val="24"/>
                <w:highlight w:val="none"/>
                <w:u w:val="none"/>
                <w:lang w:bidi="ar"/>
              </w:rPr>
              <w:t>公积金账户注销等事项，探索推进企业注销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照章联办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发展改革局</w:t>
            </w:r>
            <w:r>
              <w:rPr>
                <w:rFonts w:hint="eastAsia" w:ascii="仿宋_GB2312" w:hAnsi="仿宋_GB2312" w:eastAsia="仿宋_GB2312" w:cs="仿宋_GB2312"/>
                <w:b w:val="0"/>
                <w:bCs w:val="0"/>
                <w:snapToGrid w:val="0"/>
                <w:color w:val="auto"/>
                <w:kern w:val="21"/>
                <w:sz w:val="24"/>
                <w:szCs w:val="24"/>
                <w:highlight w:val="none"/>
                <w:u w:val="none"/>
                <w:lang w:bidi="ar"/>
              </w:rPr>
              <w:t>、医保局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优化就业创业服务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组织并协调相关部门联合开展就业援助月、春风行动、民营企业招聘月、金秋招聘月等公共就业服务专项活动。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0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优化就业创业服务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加强企业用工保障，建立完善重点企业用工监测机制，为全</w:t>
            </w: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重点企业设置公共就业服务专员，建立公共就业服务专员结对清单，建立开展公共就业服务活动台账，公共就业服务机构在收到辖区内有用工需求的重点企业招聘登记后</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3个工作日内通过</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柳城县</w:t>
            </w:r>
            <w:r>
              <w:rPr>
                <w:rFonts w:hint="eastAsia" w:ascii="仿宋_GB2312" w:hAnsi="仿宋_GB2312" w:eastAsia="仿宋_GB2312" w:cs="仿宋_GB2312"/>
                <w:b w:val="0"/>
                <w:bCs w:val="0"/>
                <w:snapToGrid w:val="0"/>
                <w:color w:val="auto"/>
                <w:kern w:val="21"/>
                <w:sz w:val="24"/>
                <w:szCs w:val="24"/>
                <w:highlight w:val="none"/>
                <w:u w:val="none"/>
                <w:lang w:bidi="ar"/>
              </w:rPr>
              <w:t>公共就业服务平台发布企业用工信息。重点企业范围以纳入</w:t>
            </w:r>
            <w:r>
              <w:rPr>
                <w:rFonts w:hint="eastAsia" w:ascii="仿宋_GB2312" w:hAnsi="仿宋_GB2312" w:eastAsia="仿宋_GB2312" w:cs="仿宋_GB2312"/>
                <w:b w:val="0"/>
                <w:bCs w:val="0"/>
                <w:snapToGrid w:val="0"/>
                <w:color w:val="auto"/>
                <w:kern w:val="21"/>
                <w:sz w:val="24"/>
                <w:szCs w:val="24"/>
                <w:highlight w:val="none"/>
                <w:u w:val="none"/>
                <w:lang w:eastAsia="zh-CN" w:bidi="ar"/>
              </w:rPr>
              <w:t>全县</w:t>
            </w:r>
            <w:r>
              <w:rPr>
                <w:rFonts w:hint="eastAsia" w:ascii="仿宋_GB2312" w:hAnsi="仿宋_GB2312" w:eastAsia="仿宋_GB2312" w:cs="仿宋_GB2312"/>
                <w:b w:val="0"/>
                <w:bCs w:val="0"/>
                <w:snapToGrid w:val="0"/>
                <w:color w:val="auto"/>
                <w:kern w:val="21"/>
                <w:sz w:val="24"/>
                <w:szCs w:val="24"/>
                <w:highlight w:val="none"/>
                <w:u w:val="none"/>
                <w:lang w:bidi="ar"/>
              </w:rPr>
              <w:t>用工监测</w:t>
            </w:r>
            <w:r>
              <w:rPr>
                <w:rFonts w:hint="eastAsia" w:ascii="仿宋_GB2312" w:hAnsi="仿宋_GB2312" w:eastAsia="仿宋_GB2312" w:cs="仿宋_GB2312"/>
                <w:b w:val="0"/>
                <w:bCs w:val="0"/>
                <w:snapToGrid w:val="0"/>
                <w:color w:val="auto"/>
                <w:kern w:val="21"/>
                <w:sz w:val="24"/>
                <w:szCs w:val="24"/>
                <w:highlight w:val="none"/>
                <w:u w:val="none"/>
                <w:lang w:val="en" w:bidi="ar"/>
              </w:rPr>
              <w:t>范围的</w:t>
            </w:r>
            <w:r>
              <w:rPr>
                <w:rFonts w:hint="eastAsia" w:ascii="仿宋_GB2312" w:hAnsi="仿宋_GB2312" w:eastAsia="仿宋_GB2312" w:cs="仿宋_GB2312"/>
                <w:b w:val="0"/>
                <w:bCs w:val="0"/>
                <w:snapToGrid w:val="0"/>
                <w:color w:val="auto"/>
                <w:kern w:val="21"/>
                <w:sz w:val="24"/>
                <w:szCs w:val="24"/>
                <w:highlight w:val="none"/>
                <w:u w:val="none"/>
                <w:lang w:bidi="ar"/>
              </w:rPr>
              <w:t>企业为基础，鼓励扩大服务范围。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将灵活就业岗位信息纳入公共就业服务范围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探索</w:t>
            </w:r>
            <w:r>
              <w:rPr>
                <w:rFonts w:hint="eastAsia" w:ascii="仿宋_GB2312" w:hAnsi="仿宋_GB2312" w:eastAsia="仿宋_GB2312" w:cs="仿宋_GB2312"/>
                <w:b w:val="0"/>
                <w:bCs w:val="0"/>
                <w:snapToGrid w:val="0"/>
                <w:color w:val="auto"/>
                <w:kern w:val="21"/>
                <w:sz w:val="24"/>
                <w:szCs w:val="24"/>
                <w:highlight w:val="none"/>
                <w:u w:val="none"/>
                <w:lang w:bidi="ar"/>
              </w:rPr>
              <w:t>开展零工市场灵活就业岗位信息发布工作，设置信息发布专区。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20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加强职业技能培训，保障技能人才供给</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全年开展各类补贴性职业技能培训</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350</w:t>
            </w:r>
            <w:r>
              <w:rPr>
                <w:rFonts w:hint="eastAsia" w:ascii="仿宋_GB2312" w:hAnsi="仿宋_GB2312" w:eastAsia="仿宋_GB2312" w:cs="仿宋_GB2312"/>
                <w:b w:val="0"/>
                <w:bCs w:val="0"/>
                <w:snapToGrid w:val="0"/>
                <w:color w:val="auto"/>
                <w:kern w:val="21"/>
                <w:sz w:val="24"/>
                <w:szCs w:val="24"/>
                <w:highlight w:val="none"/>
                <w:u w:val="none"/>
                <w:lang w:bidi="ar"/>
              </w:rPr>
              <w:t>人次。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21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加强技能人才队伍建设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全年</w:t>
            </w:r>
            <w:r>
              <w:rPr>
                <w:rFonts w:hint="eastAsia" w:ascii="仿宋_GB2312" w:hAnsi="仿宋_GB2312" w:eastAsia="仿宋_GB2312" w:cs="仿宋_GB2312"/>
                <w:b w:val="0"/>
                <w:bCs w:val="0"/>
                <w:snapToGrid w:val="0"/>
                <w:color w:val="auto"/>
                <w:kern w:val="21"/>
                <w:sz w:val="24"/>
                <w:szCs w:val="24"/>
                <w:highlight w:val="none"/>
                <w:u w:val="none"/>
                <w:lang w:val="en" w:bidi="ar"/>
              </w:rPr>
              <w:t>高</w:t>
            </w:r>
            <w:r>
              <w:rPr>
                <w:rFonts w:hint="eastAsia" w:ascii="仿宋_GB2312" w:hAnsi="仿宋_GB2312" w:eastAsia="仿宋_GB2312" w:cs="仿宋_GB2312"/>
                <w:b w:val="0"/>
                <w:bCs w:val="0"/>
                <w:snapToGrid w:val="0"/>
                <w:color w:val="auto"/>
                <w:kern w:val="21"/>
                <w:sz w:val="24"/>
                <w:szCs w:val="24"/>
                <w:highlight w:val="none"/>
                <w:u w:val="none"/>
                <w:lang w:bidi="ar"/>
              </w:rPr>
              <w:t>技能人才新增</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1670</w:t>
            </w:r>
            <w:r>
              <w:rPr>
                <w:rFonts w:hint="eastAsia" w:ascii="仿宋_GB2312" w:hAnsi="仿宋_GB2312" w:eastAsia="仿宋_GB2312" w:cs="仿宋_GB2312"/>
                <w:b w:val="0"/>
                <w:bCs w:val="0"/>
                <w:snapToGrid w:val="0"/>
                <w:color w:val="auto"/>
                <w:kern w:val="21"/>
                <w:sz w:val="24"/>
                <w:szCs w:val="24"/>
                <w:highlight w:val="none"/>
                <w:u w:val="none"/>
                <w:lang w:bidi="ar"/>
              </w:rPr>
              <w:t>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22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加强高层次人才队伍建设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做好</w:t>
            </w:r>
            <w:r>
              <w:rPr>
                <w:rFonts w:hint="eastAsia" w:ascii="仿宋_GB2312" w:hAnsi="仿宋_GB2312" w:eastAsia="仿宋_GB2312" w:cs="仿宋_GB2312"/>
                <w:b w:val="0"/>
                <w:bCs w:val="0"/>
                <w:snapToGrid w:val="0"/>
                <w:color w:val="auto"/>
                <w:kern w:val="21"/>
                <w:sz w:val="24"/>
                <w:szCs w:val="24"/>
                <w:highlight w:val="none"/>
                <w:u w:val="none"/>
                <w:lang w:eastAsia="zh-CN" w:bidi="ar"/>
              </w:rPr>
              <w:t>全县</w:t>
            </w:r>
            <w:r>
              <w:rPr>
                <w:rFonts w:hint="eastAsia" w:ascii="仿宋_GB2312" w:hAnsi="仿宋_GB2312" w:eastAsia="仿宋_GB2312" w:cs="仿宋_GB2312"/>
                <w:b w:val="0"/>
                <w:bCs w:val="0"/>
                <w:snapToGrid w:val="0"/>
                <w:color w:val="auto"/>
                <w:kern w:val="21"/>
                <w:sz w:val="24"/>
                <w:szCs w:val="24"/>
                <w:highlight w:val="none"/>
                <w:u w:val="none"/>
                <w:lang w:bidi="ar"/>
              </w:rPr>
              <w:t>重点领域急需紧缺高层次人才招聘活动，编制重点产业急需紧缺人才目录。</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县教育局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科技工贸信息化局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23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加强高层次人才队伍建设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简化急需紧缺人才招聘程序</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24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
              </w:rPr>
            </w:pPr>
            <w:r>
              <w:rPr>
                <w:rFonts w:hint="eastAsia" w:ascii="仿宋_GB2312" w:hAnsi="仿宋_GB2312" w:eastAsia="仿宋_GB2312" w:cs="仿宋_GB2312"/>
                <w:b w:val="0"/>
                <w:bCs w:val="0"/>
                <w:snapToGrid w:val="0"/>
                <w:color w:val="auto"/>
                <w:kern w:val="21"/>
                <w:sz w:val="24"/>
                <w:szCs w:val="24"/>
                <w:highlight w:val="none"/>
                <w:u w:val="none"/>
                <w:lang w:bidi="ar"/>
              </w:rPr>
              <w:t>优化人才引进办理</w:t>
            </w:r>
            <w:r>
              <w:rPr>
                <w:rFonts w:hint="eastAsia" w:ascii="仿宋_GB2312" w:hAnsi="仿宋_GB2312" w:eastAsia="仿宋_GB2312" w:cs="仿宋_GB2312"/>
                <w:b w:val="0"/>
                <w:bCs w:val="0"/>
                <w:snapToGrid w:val="0"/>
                <w:color w:val="auto"/>
                <w:kern w:val="21"/>
                <w:sz w:val="24"/>
                <w:szCs w:val="24"/>
                <w:highlight w:val="none"/>
                <w:u w:val="none"/>
                <w:lang w:val="en" w:bidi="ar"/>
              </w:rPr>
              <w:t>流程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引进人才入户全流程网</w:t>
            </w:r>
            <w:r>
              <w:rPr>
                <w:rFonts w:hint="eastAsia" w:ascii="仿宋_GB2312" w:hAnsi="仿宋_GB2312" w:eastAsia="仿宋_GB2312" w:cs="仿宋_GB2312"/>
                <w:b w:val="0"/>
                <w:bCs w:val="0"/>
                <w:snapToGrid w:val="0"/>
                <w:color w:val="auto"/>
                <w:kern w:val="21"/>
                <w:sz w:val="24"/>
                <w:szCs w:val="24"/>
                <w:highlight w:val="none"/>
                <w:u w:val="none"/>
                <w:lang w:eastAsia="zh-CN" w:bidi="ar"/>
              </w:rPr>
              <w:t>上</w:t>
            </w:r>
            <w:r>
              <w:rPr>
                <w:rFonts w:hint="eastAsia" w:ascii="仿宋_GB2312" w:hAnsi="仿宋_GB2312" w:eastAsia="仿宋_GB2312" w:cs="仿宋_GB2312"/>
                <w:b w:val="0"/>
                <w:bCs w:val="0"/>
                <w:snapToGrid w:val="0"/>
                <w:color w:val="auto"/>
                <w:kern w:val="21"/>
                <w:sz w:val="24"/>
                <w:szCs w:val="24"/>
                <w:highlight w:val="none"/>
                <w:u w:val="none"/>
                <w:lang w:bidi="ar"/>
              </w:rPr>
              <w:t>办，申报人可通过电脑或手机进行申报、查看审核进度和审核结果。</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r>
              <w:rPr>
                <w:rFonts w:hint="eastAsia" w:ascii="仿宋_GB2312" w:hAnsi="仿宋_GB2312" w:eastAsia="仿宋_GB2312" w:cs="仿宋_GB2312"/>
                <w:b w:val="0"/>
                <w:bCs w:val="0"/>
                <w:snapToGrid w:val="0"/>
                <w:color w:val="auto"/>
                <w:kern w:val="21"/>
                <w:sz w:val="24"/>
                <w:szCs w:val="24"/>
                <w:highlight w:val="none"/>
                <w:u w:val="none"/>
                <w:lang w:bidi="ar"/>
              </w:rPr>
              <w:t>、教育</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25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探索建立跨区域人才资质互认机制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畅通技能人才评价渠道。</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加强专业技术人才队伍建设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color w:val="auto"/>
                <w:kern w:val="21"/>
                <w:sz w:val="24"/>
                <w:szCs w:val="24"/>
                <w:highlight w:val="none"/>
                <w:u w:val="none"/>
                <w:lang w:val="en-US" w:eastAsia="zh-CN" w:bidi="ar"/>
              </w:rPr>
              <w:t>人才数量占全县常住人口比例较2021年提升。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县教育局、科技工贸信息化局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推动网上服务大厅24小时</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不打烊</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继续推动网上服务大厅社保业务办理24小时</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不打烊</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，使企业在网上办理减员等业务无时间限制。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保障科研院所人才与高校同等待遇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鼓励支持事业单位科研人员创新创业，通过提高科研人员科技成果转化收益等增加科研人员收入。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县人力资源社会保障局、教育局、科技工贸信息化局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支持提升职业技能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面向应届毕业生、城乡未继续升学应届初高中毕业生、农村转移就业劳动者、贫困家庭子女、城镇登记失业人员</w:t>
            </w:r>
            <w:r>
              <w:rPr>
                <w:rFonts w:hint="eastAsia" w:ascii="仿宋_GB2312" w:hAnsi="仿宋_GB2312" w:eastAsia="仿宋_GB2312" w:cs="仿宋_GB2312"/>
                <w:b w:val="0"/>
                <w:bCs w:val="0"/>
                <w:snapToGrid w:val="0"/>
                <w:color w:val="auto"/>
                <w:kern w:val="21"/>
                <w:sz w:val="24"/>
                <w:szCs w:val="24"/>
                <w:highlight w:val="none"/>
                <w:u w:val="none"/>
                <w:lang w:eastAsia="zh-CN" w:bidi="ar"/>
              </w:rPr>
              <w:t>等</w:t>
            </w:r>
            <w:r>
              <w:rPr>
                <w:rFonts w:hint="eastAsia" w:ascii="仿宋_GB2312" w:hAnsi="仿宋_GB2312" w:eastAsia="仿宋_GB2312" w:cs="仿宋_GB2312"/>
                <w:b w:val="0"/>
                <w:bCs w:val="0"/>
                <w:snapToGrid w:val="0"/>
                <w:color w:val="auto"/>
                <w:kern w:val="21"/>
                <w:sz w:val="24"/>
                <w:szCs w:val="24"/>
                <w:highlight w:val="none"/>
                <w:u w:val="none"/>
                <w:lang w:bidi="ar"/>
              </w:rPr>
              <w:t>五类人员开展就业创业培训。</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人力资源服务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深化构建和谐劳动关系综合配套改革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建立健全劳动保障监察“网络化、网格化”管理，</w:t>
            </w:r>
            <w:r>
              <w:rPr>
                <w:rFonts w:hint="eastAsia" w:ascii="仿宋_GB2312" w:hAnsi="仿宋_GB2312" w:eastAsia="仿宋_GB2312" w:cs="仿宋_GB2312"/>
                <w:b w:val="0"/>
                <w:bCs w:val="0"/>
                <w:snapToGrid w:val="0"/>
                <w:color w:val="auto"/>
                <w:kern w:val="21"/>
                <w:sz w:val="24"/>
                <w:szCs w:val="24"/>
                <w:highlight w:val="none"/>
                <w:u w:val="none"/>
                <w:lang w:bidi="ar"/>
              </w:rPr>
              <w:t>劳动争议仲裁结案率达到90</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以上，调解成功率达到60</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以上</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劳动保障监察举报投诉案件结案率达到96%以上。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压缩全流程审批时限</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工程建设项目从立项到竣工验收全流程平均审批时限</w:t>
            </w:r>
            <w:r>
              <w:rPr>
                <w:rFonts w:hint="eastAsia" w:ascii="仿宋_GB2312" w:hAnsi="仿宋_GB2312" w:eastAsia="仿宋_GB2312" w:cs="仿宋_GB2312"/>
                <w:b w:val="0"/>
                <w:bCs w:val="0"/>
                <w:snapToGrid w:val="0"/>
                <w:color w:val="auto"/>
                <w:kern w:val="21"/>
                <w:sz w:val="24"/>
                <w:szCs w:val="24"/>
                <w:highlight w:val="none"/>
                <w:u w:val="none"/>
                <w:lang w:eastAsia="zh-CN" w:bidi="ar"/>
              </w:rPr>
              <w:t>压缩至</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35个工作日内</w:t>
            </w:r>
            <w:r>
              <w:rPr>
                <w:rFonts w:hint="eastAsia" w:ascii="仿宋_GB2312" w:hAnsi="仿宋_GB2312" w:eastAsia="仿宋_GB2312" w:cs="仿宋_GB2312"/>
                <w:b w:val="0"/>
                <w:bCs w:val="0"/>
                <w:snapToGrid w:val="0"/>
                <w:color w:val="auto"/>
                <w:kern w:val="21"/>
                <w:sz w:val="24"/>
                <w:szCs w:val="24"/>
                <w:highlight w:val="none"/>
                <w:u w:val="none"/>
                <w:lang w:bidi="ar"/>
              </w:rPr>
              <w:t>并持续优化，社会投资类简易低风险项目全流程审批时限压缩至10个工作日内。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深化投资项目审批制度改革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推动企业投资项目承诺制规定立法。</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加快推进区域评估成果共享</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推进“用地清单制”改革，</w:t>
            </w:r>
            <w:r>
              <w:rPr>
                <w:rFonts w:hint="eastAsia" w:ascii="仿宋_GB2312" w:hAnsi="仿宋_GB2312" w:eastAsia="仿宋_GB2312" w:cs="仿宋_GB2312"/>
                <w:b w:val="0"/>
                <w:bCs w:val="0"/>
                <w:snapToGrid w:val="0"/>
                <w:color w:val="auto"/>
                <w:kern w:val="21"/>
                <w:sz w:val="24"/>
                <w:szCs w:val="24"/>
                <w:highlight w:val="none"/>
                <w:u w:val="none"/>
                <w:lang w:bidi="ar"/>
              </w:rPr>
              <w:t>将地质灾害危险性、地震安全性、压覆重要矿产资源等各类评价评估信息统一纳入建设项目用地清单</w:t>
            </w:r>
            <w:r>
              <w:rPr>
                <w:rFonts w:hint="eastAsia" w:ascii="仿宋_GB2312" w:hAnsi="仿宋_GB2312" w:eastAsia="仿宋_GB2312" w:cs="仿宋_GB2312"/>
                <w:b w:val="0"/>
                <w:bCs w:val="0"/>
                <w:snapToGrid w:val="0"/>
                <w:color w:val="auto"/>
                <w:kern w:val="21"/>
                <w:sz w:val="24"/>
                <w:szCs w:val="24"/>
                <w:highlight w:val="none"/>
                <w:u w:val="none"/>
                <w:lang w:val="en" w:bidi="ar"/>
              </w:rPr>
              <w:t>范围</w:t>
            </w:r>
            <w:r>
              <w:rPr>
                <w:rFonts w:hint="eastAsia" w:ascii="仿宋_GB2312" w:hAnsi="仿宋_GB2312" w:eastAsia="仿宋_GB2312" w:cs="仿宋_GB2312"/>
                <w:b w:val="0"/>
                <w:bCs w:val="0"/>
                <w:snapToGrid w:val="0"/>
                <w:color w:val="auto"/>
                <w:kern w:val="21"/>
                <w:sz w:val="24"/>
                <w:szCs w:val="24"/>
                <w:highlight w:val="none"/>
                <w:u w:val="none"/>
                <w:lang w:bidi="ar"/>
              </w:rPr>
              <w:t>，在</w:t>
            </w:r>
            <w:r>
              <w:rPr>
                <w:rFonts w:hint="eastAsia" w:ascii="仿宋_GB2312" w:hAnsi="仿宋_GB2312" w:eastAsia="仿宋_GB2312" w:cs="仿宋_GB2312"/>
                <w:b w:val="0"/>
                <w:bCs w:val="0"/>
                <w:snapToGrid w:val="0"/>
                <w:color w:val="auto"/>
                <w:kern w:val="21"/>
                <w:sz w:val="24"/>
                <w:szCs w:val="24"/>
                <w:highlight w:val="none"/>
                <w:u w:val="none"/>
                <w:lang w:eastAsia="zh-CN" w:bidi="ar"/>
              </w:rPr>
              <w:t>园区工业项目</w:t>
            </w:r>
            <w:r>
              <w:rPr>
                <w:rFonts w:hint="eastAsia" w:ascii="仿宋_GB2312" w:hAnsi="仿宋_GB2312" w:eastAsia="仿宋_GB2312" w:cs="仿宋_GB2312"/>
                <w:b w:val="0"/>
                <w:bCs w:val="0"/>
                <w:snapToGrid w:val="0"/>
                <w:color w:val="auto"/>
                <w:kern w:val="21"/>
                <w:sz w:val="24"/>
                <w:szCs w:val="24"/>
                <w:highlight w:val="none"/>
                <w:u w:val="none"/>
                <w:lang w:bidi="ar"/>
              </w:rPr>
              <w:t>土地</w:t>
            </w:r>
            <w:r>
              <w:rPr>
                <w:rFonts w:hint="eastAsia" w:ascii="仿宋_GB2312" w:hAnsi="仿宋_GB2312" w:eastAsia="仿宋_GB2312" w:cs="仿宋_GB2312"/>
                <w:b w:val="0"/>
                <w:bCs w:val="0"/>
                <w:snapToGrid w:val="0"/>
                <w:color w:val="auto"/>
                <w:kern w:val="21"/>
                <w:sz w:val="24"/>
                <w:szCs w:val="24"/>
                <w:highlight w:val="none"/>
                <w:u w:val="none"/>
                <w:lang w:eastAsia="zh-CN" w:bidi="ar"/>
              </w:rPr>
              <w:t>供应时</w:t>
            </w:r>
            <w:r>
              <w:rPr>
                <w:rFonts w:hint="eastAsia" w:ascii="仿宋_GB2312" w:hAnsi="仿宋_GB2312" w:eastAsia="仿宋_GB2312" w:cs="仿宋_GB2312"/>
                <w:b w:val="0"/>
                <w:bCs w:val="0"/>
                <w:snapToGrid w:val="0"/>
                <w:color w:val="auto"/>
                <w:kern w:val="21"/>
                <w:sz w:val="24"/>
                <w:szCs w:val="24"/>
                <w:highlight w:val="none"/>
                <w:u w:val="none"/>
                <w:lang w:bidi="ar"/>
              </w:rPr>
              <w:t>一并交付受让单位，各有关部门和公共服务企业在后续报建或验收环节不得擅自增加清单以外的要求。</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34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深化土地管理制度改革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完善年度建设用地总量调控制度，坚持“计划指标跟着项目走”，在用地审批时直接配置计划。</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35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持续深化工业项目“标准地”改革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做好土地“盘活存量”“扩大增量”，创新产业用地采取长期租赁、先租赁后出让、租赁与出让结合、弹性年期出让等供应配置方式。确保2022年全县供应工业用地500亩、县本级供应商住用地150亩以上。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rPr>
            </w:pPr>
            <w:r>
              <w:rPr>
                <w:rFonts w:hint="eastAsia" w:ascii="仿宋_GB2312" w:hAnsi="仿宋_GB2312" w:eastAsia="仿宋_GB2312" w:cs="仿宋_GB2312"/>
                <w:b w:val="0"/>
                <w:bCs w:val="0"/>
                <w:snapToGrid w:val="0"/>
                <w:color w:val="auto"/>
                <w:kern w:val="21"/>
                <w:sz w:val="24"/>
                <w:szCs w:val="24"/>
                <w:highlight w:val="none"/>
                <w:u w:val="none"/>
                <w:lang w:val="en-US" w:eastAsia="zh-CN"/>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推进产业园区规划环评与项目环评联动</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在环境质量符合国家相关考核要求、环境管理体系较健全的产业园区，</w:t>
            </w:r>
            <w:r>
              <w:rPr>
                <w:rFonts w:hint="eastAsia" w:ascii="仿宋_GB2312" w:hAnsi="仿宋_GB2312" w:eastAsia="仿宋_GB2312" w:cs="仿宋_GB2312"/>
                <w:b w:val="0"/>
                <w:bCs w:val="0"/>
                <w:snapToGrid w:val="0"/>
                <w:color w:val="auto"/>
                <w:kern w:val="21"/>
                <w:sz w:val="24"/>
                <w:szCs w:val="24"/>
                <w:highlight w:val="none"/>
                <w:u w:val="none"/>
                <w:lang w:eastAsia="zh-CN" w:bidi="ar"/>
              </w:rPr>
              <w:t>对环境影响较轻的项目简化环评审批流程，探索入园建设项目环评改革，</w:t>
            </w:r>
            <w:r>
              <w:rPr>
                <w:rFonts w:hint="eastAsia" w:ascii="仿宋_GB2312" w:hAnsi="仿宋_GB2312" w:eastAsia="仿宋_GB2312" w:cs="仿宋_GB2312"/>
                <w:b w:val="0"/>
                <w:bCs w:val="0"/>
                <w:snapToGrid w:val="0"/>
                <w:color w:val="auto"/>
                <w:kern w:val="21"/>
                <w:sz w:val="24"/>
                <w:szCs w:val="24"/>
                <w:highlight w:val="none"/>
                <w:u w:val="none"/>
                <w:lang w:bidi="ar"/>
              </w:rPr>
              <w:t>推进规划环评与项目环评联动，</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对园区内建设项目按环境风险进行分类管理，</w:t>
            </w:r>
            <w:r>
              <w:rPr>
                <w:rFonts w:hint="eastAsia" w:ascii="仿宋_GB2312" w:hAnsi="仿宋_GB2312" w:eastAsia="仿宋_GB2312" w:cs="仿宋_GB2312"/>
                <w:b w:val="0"/>
                <w:bCs w:val="0"/>
                <w:snapToGrid w:val="0"/>
                <w:color w:val="auto"/>
                <w:kern w:val="21"/>
                <w:sz w:val="24"/>
                <w:szCs w:val="24"/>
                <w:highlight w:val="none"/>
                <w:u w:val="none"/>
                <w:lang w:bidi="ar"/>
              </w:rPr>
              <w:t>避免重复评价。</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县行政审批局、柳城生态环境局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县工业区管委会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审批流程全覆盖</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审批管理覆盖工程建设项目审批全过程，包括从立项到竣工验收和公共设施接入服务；事项覆盖行政许可等审批事项和技术审查、中介服务、市政公用服务以及备案等其他事项，制定全覆盖的标准化审批流程。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审批清单规范化</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取消无法律依据以及与工程建设项目审批制度改革要求不符的审批事项和申请材料，杜绝以报送信息、提供证明等方式变相增加审批前置条件或将备案等非行政许可事项变相实施为行政许可事项的情况发生，做到审批事项清单之外无审批。对审批清单要及时更新，并在政务服务大厅的显要位置明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解决信息重复录入问题</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实现工程建设项目审批</w:t>
            </w:r>
            <w:r>
              <w:rPr>
                <w:rFonts w:hint="eastAsia" w:ascii="仿宋_GB2312" w:hAnsi="仿宋_GB2312" w:eastAsia="仿宋_GB2312" w:cs="仿宋_GB2312"/>
                <w:b w:val="0"/>
                <w:bCs w:val="0"/>
                <w:snapToGrid w:val="0"/>
                <w:color w:val="auto"/>
                <w:kern w:val="21"/>
                <w:sz w:val="24"/>
                <w:szCs w:val="24"/>
                <w:highlight w:val="none"/>
                <w:u w:val="none"/>
                <w:lang w:eastAsia="zh-CN" w:bidi="ar"/>
              </w:rPr>
              <w:t>系统</w:t>
            </w:r>
            <w:r>
              <w:rPr>
                <w:rFonts w:hint="eastAsia" w:ascii="仿宋_GB2312" w:hAnsi="仿宋_GB2312" w:eastAsia="仿宋_GB2312" w:cs="仿宋_GB2312"/>
                <w:b w:val="0"/>
                <w:bCs w:val="0"/>
                <w:snapToGrid w:val="0"/>
                <w:color w:val="auto"/>
                <w:kern w:val="21"/>
                <w:sz w:val="24"/>
                <w:szCs w:val="24"/>
                <w:highlight w:val="none"/>
                <w:u w:val="none"/>
                <w:lang w:bidi="ar"/>
              </w:rPr>
              <w:t>与自然资源部门的规划审批系统</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、发展改革部门的投资项目在线审批监管平台</w:t>
            </w:r>
            <w:r>
              <w:rPr>
                <w:rFonts w:hint="eastAsia" w:ascii="仿宋_GB2312" w:hAnsi="仿宋_GB2312" w:eastAsia="仿宋_GB2312" w:cs="仿宋_GB2312"/>
                <w:b w:val="0"/>
                <w:bCs w:val="0"/>
                <w:snapToGrid w:val="0"/>
                <w:color w:val="auto"/>
                <w:kern w:val="21"/>
                <w:sz w:val="24"/>
                <w:szCs w:val="24"/>
                <w:highlight w:val="none"/>
                <w:u w:val="none"/>
                <w:lang w:bidi="ar"/>
              </w:rPr>
              <w:t>以及生态环境、林业等国垂、区管系统的对接，进一步规范工程建设项目单一窗口申请、信息一次填报、材料一次上传、过程信息和审批结果信息实时共享，解决信息重复录入问题。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行政审批局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40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实现全流程审批服务事项在线办理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rPr>
              <w:t>强化审批数据</w:t>
            </w:r>
            <w:r>
              <w:rPr>
                <w:rFonts w:hint="eastAsia" w:ascii="仿宋_GB2312" w:hAnsi="仿宋_GB2312" w:eastAsia="仿宋_GB2312" w:cs="仿宋_GB2312"/>
                <w:b w:val="0"/>
                <w:bCs w:val="0"/>
                <w:snapToGrid w:val="0"/>
                <w:color w:val="auto"/>
                <w:kern w:val="21"/>
                <w:sz w:val="24"/>
                <w:szCs w:val="24"/>
                <w:highlight w:val="none"/>
                <w:u w:val="none"/>
                <w:lang w:eastAsia="zh-CN"/>
              </w:rPr>
              <w:t>“</w:t>
            </w:r>
            <w:r>
              <w:rPr>
                <w:rFonts w:hint="eastAsia" w:ascii="仿宋_GB2312" w:hAnsi="仿宋_GB2312" w:eastAsia="仿宋_GB2312" w:cs="仿宋_GB2312"/>
                <w:b w:val="0"/>
                <w:bCs w:val="0"/>
                <w:snapToGrid w:val="0"/>
                <w:color w:val="auto"/>
                <w:kern w:val="21"/>
                <w:sz w:val="24"/>
                <w:szCs w:val="24"/>
                <w:highlight w:val="none"/>
                <w:u w:val="none"/>
              </w:rPr>
              <w:t>一体共享</w:t>
            </w:r>
            <w:r>
              <w:rPr>
                <w:rFonts w:hint="eastAsia" w:ascii="仿宋_GB2312" w:hAnsi="仿宋_GB2312" w:eastAsia="仿宋_GB2312" w:cs="仿宋_GB2312"/>
                <w:b w:val="0"/>
                <w:bCs w:val="0"/>
                <w:snapToGrid w:val="0"/>
                <w:color w:val="auto"/>
                <w:kern w:val="21"/>
                <w:sz w:val="24"/>
                <w:szCs w:val="24"/>
                <w:highlight w:val="none"/>
                <w:u w:val="none"/>
                <w:lang w:eastAsia="zh-CN"/>
              </w:rPr>
              <w:t>”</w:t>
            </w:r>
            <w:r>
              <w:rPr>
                <w:rFonts w:hint="eastAsia" w:ascii="仿宋_GB2312" w:hAnsi="仿宋_GB2312" w:eastAsia="仿宋_GB2312" w:cs="仿宋_GB2312"/>
                <w:b w:val="0"/>
                <w:bCs w:val="0"/>
                <w:snapToGrid w:val="0"/>
                <w:color w:val="auto"/>
                <w:kern w:val="21"/>
                <w:sz w:val="24"/>
                <w:szCs w:val="24"/>
                <w:highlight w:val="none"/>
                <w:u w:val="none"/>
              </w:rPr>
              <w:t>和深度应用，实现行政许可、备案、技术审查、专家审查、现场踏勘、中介服务、市政公用服务等全流程审批服务事项在线办理，清理审批中存在的</w:t>
            </w:r>
            <w:r>
              <w:rPr>
                <w:rFonts w:hint="eastAsia" w:ascii="仿宋_GB2312" w:hAnsi="仿宋_GB2312" w:eastAsia="仿宋_GB2312" w:cs="仿宋_GB2312"/>
                <w:b w:val="0"/>
                <w:bCs w:val="0"/>
                <w:snapToGrid w:val="0"/>
                <w:color w:val="auto"/>
                <w:kern w:val="21"/>
                <w:sz w:val="24"/>
                <w:szCs w:val="24"/>
                <w:highlight w:val="none"/>
                <w:u w:val="none"/>
                <w:lang w:eastAsia="zh-CN"/>
              </w:rPr>
              <w:t>“</w:t>
            </w:r>
            <w:r>
              <w:rPr>
                <w:rFonts w:hint="eastAsia" w:ascii="仿宋_GB2312" w:hAnsi="仿宋_GB2312" w:eastAsia="仿宋_GB2312" w:cs="仿宋_GB2312"/>
                <w:b w:val="0"/>
                <w:bCs w:val="0"/>
                <w:snapToGrid w:val="0"/>
                <w:color w:val="auto"/>
                <w:kern w:val="21"/>
                <w:sz w:val="24"/>
                <w:szCs w:val="24"/>
                <w:highlight w:val="none"/>
                <w:u w:val="none"/>
              </w:rPr>
              <w:t>体外循环</w:t>
            </w:r>
            <w:r>
              <w:rPr>
                <w:rFonts w:hint="eastAsia" w:ascii="仿宋_GB2312" w:hAnsi="仿宋_GB2312" w:eastAsia="仿宋_GB2312" w:cs="仿宋_GB2312"/>
                <w:b w:val="0"/>
                <w:bCs w:val="0"/>
                <w:snapToGrid w:val="0"/>
                <w:color w:val="auto"/>
                <w:kern w:val="21"/>
                <w:sz w:val="24"/>
                <w:szCs w:val="24"/>
                <w:highlight w:val="none"/>
                <w:u w:val="none"/>
                <w:lang w:eastAsia="zh-CN"/>
              </w:rPr>
              <w:t>”“</w:t>
            </w:r>
            <w:r>
              <w:rPr>
                <w:rFonts w:hint="eastAsia" w:ascii="仿宋_GB2312" w:hAnsi="仿宋_GB2312" w:eastAsia="仿宋_GB2312" w:cs="仿宋_GB2312"/>
                <w:b w:val="0"/>
                <w:bCs w:val="0"/>
                <w:snapToGrid w:val="0"/>
                <w:color w:val="auto"/>
                <w:kern w:val="21"/>
                <w:sz w:val="24"/>
                <w:szCs w:val="24"/>
                <w:highlight w:val="none"/>
                <w:u w:val="none"/>
              </w:rPr>
              <w:t>隐性审批</w:t>
            </w:r>
            <w:r>
              <w:rPr>
                <w:rFonts w:hint="eastAsia" w:ascii="仿宋_GB2312" w:hAnsi="仿宋_GB2312" w:eastAsia="仿宋_GB2312" w:cs="仿宋_GB2312"/>
                <w:b w:val="0"/>
                <w:bCs w:val="0"/>
                <w:snapToGrid w:val="0"/>
                <w:color w:val="auto"/>
                <w:kern w:val="21"/>
                <w:sz w:val="24"/>
                <w:szCs w:val="24"/>
                <w:highlight w:val="none"/>
                <w:u w:val="none"/>
                <w:lang w:eastAsia="zh-CN"/>
              </w:rPr>
              <w:t>”</w:t>
            </w:r>
            <w:r>
              <w:rPr>
                <w:rFonts w:hint="eastAsia" w:ascii="仿宋_GB2312" w:hAnsi="仿宋_GB2312" w:eastAsia="仿宋_GB2312" w:cs="仿宋_GB2312"/>
                <w:b w:val="0"/>
                <w:bCs w:val="0"/>
                <w:snapToGrid w:val="0"/>
                <w:color w:val="auto"/>
                <w:kern w:val="21"/>
                <w:sz w:val="24"/>
                <w:szCs w:val="24"/>
                <w:highlight w:val="none"/>
                <w:u w:val="none"/>
              </w:rPr>
              <w:t>等行为。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4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试行分阶段整合相关测绘测量事项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rPr>
              <w:t>探索将勘测定界测绘、宗地测绘</w:t>
            </w:r>
            <w:r>
              <w:rPr>
                <w:rFonts w:hint="eastAsia" w:ascii="仿宋_GB2312" w:hAnsi="仿宋_GB2312" w:eastAsia="仿宋_GB2312" w:cs="仿宋_GB2312"/>
                <w:b w:val="0"/>
                <w:bCs w:val="0"/>
                <w:snapToGrid w:val="0"/>
                <w:color w:val="auto"/>
                <w:kern w:val="21"/>
                <w:sz w:val="24"/>
                <w:szCs w:val="24"/>
                <w:highlight w:val="none"/>
                <w:u w:val="none"/>
                <w:lang w:eastAsia="zh-CN"/>
              </w:rPr>
              <w:t>整合</w:t>
            </w:r>
            <w:r>
              <w:rPr>
                <w:rFonts w:hint="eastAsia" w:ascii="仿宋_GB2312" w:hAnsi="仿宋_GB2312" w:eastAsia="仿宋_GB2312" w:cs="仿宋_GB2312"/>
                <w:b w:val="0"/>
                <w:bCs w:val="0"/>
                <w:snapToGrid w:val="0"/>
                <w:color w:val="auto"/>
                <w:kern w:val="21"/>
                <w:sz w:val="24"/>
                <w:szCs w:val="24"/>
                <w:highlight w:val="none"/>
                <w:u w:val="none"/>
              </w:rPr>
              <w:t>为一个测绘事项；将房产预测绘、人防面积预测绘、定位测量、建设工程规划验线、正负零检测等事项</w:t>
            </w:r>
            <w:r>
              <w:rPr>
                <w:rFonts w:hint="eastAsia" w:ascii="仿宋_GB2312" w:hAnsi="仿宋_GB2312" w:eastAsia="仿宋_GB2312" w:cs="仿宋_GB2312"/>
                <w:b w:val="0"/>
                <w:bCs w:val="0"/>
                <w:snapToGrid w:val="0"/>
                <w:color w:val="auto"/>
                <w:kern w:val="21"/>
                <w:sz w:val="24"/>
                <w:szCs w:val="24"/>
                <w:highlight w:val="none"/>
                <w:u w:val="none"/>
                <w:lang w:eastAsia="zh-CN"/>
              </w:rPr>
              <w:t>，在具备条件的情况下进行整合；</w:t>
            </w:r>
            <w:r>
              <w:rPr>
                <w:rFonts w:hint="eastAsia" w:ascii="仿宋_GB2312" w:hAnsi="仿宋_GB2312" w:eastAsia="仿宋_GB2312" w:cs="仿宋_GB2312"/>
                <w:b w:val="0"/>
                <w:bCs w:val="0"/>
                <w:snapToGrid w:val="0"/>
                <w:color w:val="auto"/>
                <w:kern w:val="21"/>
                <w:sz w:val="24"/>
                <w:szCs w:val="24"/>
                <w:highlight w:val="none"/>
                <w:u w:val="none"/>
              </w:rPr>
              <w:t>将竣工规划测量、用地复核测量、房产测量、机动车停车场（库）测量、绿地测量、人防测量、地下管线测量等事项</w:t>
            </w:r>
            <w:r>
              <w:rPr>
                <w:rFonts w:hint="eastAsia" w:ascii="仿宋_GB2312" w:hAnsi="仿宋_GB2312" w:eastAsia="仿宋_GB2312" w:cs="仿宋_GB2312"/>
                <w:b w:val="0"/>
                <w:bCs w:val="0"/>
                <w:snapToGrid w:val="0"/>
                <w:color w:val="auto"/>
                <w:kern w:val="21"/>
                <w:sz w:val="24"/>
                <w:szCs w:val="24"/>
                <w:highlight w:val="none"/>
                <w:u w:val="none"/>
                <w:lang w:eastAsia="zh-CN"/>
              </w:rPr>
              <w:t>，在具备条件的情况下进行整合</w:t>
            </w:r>
            <w:r>
              <w:rPr>
                <w:rFonts w:hint="eastAsia" w:ascii="仿宋_GB2312" w:hAnsi="仿宋_GB2312" w:eastAsia="仿宋_GB2312" w:cs="仿宋_GB2312"/>
                <w:b w:val="0"/>
                <w:bCs w:val="0"/>
                <w:snapToGrid w:val="0"/>
                <w:color w:val="auto"/>
                <w:kern w:val="21"/>
                <w:sz w:val="24"/>
                <w:szCs w:val="24"/>
                <w:highlight w:val="none"/>
                <w:u w:val="none"/>
              </w:rPr>
              <w:t>。</w:t>
            </w:r>
            <w:r>
              <w:rPr>
                <w:rFonts w:hint="eastAsia" w:ascii="仿宋_GB2312" w:hAnsi="仿宋_GB2312" w:eastAsia="仿宋_GB2312" w:cs="仿宋_GB2312"/>
                <w:b w:val="0"/>
                <w:bCs w:val="0"/>
                <w:snapToGrid w:val="0"/>
                <w:color w:val="auto"/>
                <w:kern w:val="21"/>
                <w:sz w:val="24"/>
                <w:szCs w:val="24"/>
                <w:highlight w:val="none"/>
                <w:u w:val="none"/>
                <w:lang w:eastAsia="zh-CN"/>
              </w:rPr>
              <w:t>推动</w:t>
            </w:r>
            <w:r>
              <w:rPr>
                <w:rFonts w:hint="eastAsia" w:ascii="仿宋_GB2312" w:hAnsi="仿宋_GB2312" w:eastAsia="仿宋_GB2312" w:cs="仿宋_GB2312"/>
                <w:b w:val="0"/>
                <w:bCs w:val="0"/>
                <w:snapToGrid w:val="0"/>
                <w:color w:val="auto"/>
                <w:kern w:val="21"/>
                <w:sz w:val="24"/>
                <w:szCs w:val="24"/>
                <w:highlight w:val="none"/>
                <w:u w:val="none"/>
              </w:rPr>
              <w:t>实现同一阶段</w:t>
            </w:r>
            <w:r>
              <w:rPr>
                <w:rFonts w:hint="eastAsia" w:ascii="仿宋_GB2312" w:hAnsi="仿宋_GB2312" w:eastAsia="仿宋_GB2312" w:cs="仿宋_GB2312"/>
                <w:b w:val="0"/>
                <w:bCs w:val="0"/>
                <w:snapToGrid w:val="0"/>
                <w:color w:val="auto"/>
                <w:kern w:val="21"/>
                <w:sz w:val="24"/>
                <w:szCs w:val="24"/>
                <w:highlight w:val="none"/>
                <w:u w:val="none"/>
                <w:lang w:eastAsia="zh-CN"/>
              </w:rPr>
              <w:t>“</w:t>
            </w:r>
            <w:r>
              <w:rPr>
                <w:rFonts w:hint="eastAsia" w:ascii="仿宋_GB2312" w:hAnsi="仿宋_GB2312" w:eastAsia="仿宋_GB2312" w:cs="仿宋_GB2312"/>
                <w:b w:val="0"/>
                <w:bCs w:val="0"/>
                <w:snapToGrid w:val="0"/>
                <w:color w:val="auto"/>
                <w:kern w:val="21"/>
                <w:sz w:val="24"/>
                <w:szCs w:val="24"/>
                <w:highlight w:val="none"/>
                <w:u w:val="none"/>
              </w:rPr>
              <w:t>一次委托、成果共享</w:t>
            </w:r>
            <w:r>
              <w:rPr>
                <w:rFonts w:hint="eastAsia" w:ascii="仿宋_GB2312" w:hAnsi="仿宋_GB2312" w:eastAsia="仿宋_GB2312" w:cs="仿宋_GB2312"/>
                <w:b w:val="0"/>
                <w:bCs w:val="0"/>
                <w:snapToGrid w:val="0"/>
                <w:color w:val="auto"/>
                <w:kern w:val="21"/>
                <w:sz w:val="24"/>
                <w:szCs w:val="24"/>
                <w:highlight w:val="none"/>
                <w:u w:val="none"/>
                <w:lang w:eastAsia="zh-CN"/>
              </w:rPr>
              <w:t>”</w:t>
            </w:r>
            <w:r>
              <w:rPr>
                <w:rFonts w:hint="eastAsia" w:ascii="仿宋_GB2312" w:hAnsi="仿宋_GB2312" w:eastAsia="仿宋_GB2312" w:cs="仿宋_GB2312"/>
                <w:b w:val="0"/>
                <w:bCs w:val="0"/>
                <w:snapToGrid w:val="0"/>
                <w:color w:val="auto"/>
                <w:kern w:val="21"/>
                <w:sz w:val="24"/>
                <w:szCs w:val="24"/>
                <w:highlight w:val="none"/>
                <w:u w:val="none"/>
              </w:rPr>
              <w:t>，避免对同一标的物重复测绘测量。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42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完善市政接入工程信息共享机制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加快政企系统协同共享，实现水电气企业在线获取开办企业、规划许可和施工许可等报装信息</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县自然资源和规划局、住房城乡建设局、行政审批局、市场监管局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推行水电气等市政接入工程涉及的行政审批在线并联办理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105" w:rightChars="-5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对供电、供水、供气等市政接入工程涉及的建设工程规划许可、绿化许可、涉路施工许可等实行全程在线并联办理，对符合条件的市政接入工程审批实行告知承诺管理。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县住房城乡建设局、行政审批局、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r>
              <w:rPr>
                <w:rFonts w:hint="eastAsia" w:ascii="仿宋_GB2312" w:hAnsi="仿宋_GB2312" w:eastAsia="仿宋_GB2312" w:cs="仿宋_GB2312"/>
                <w:b w:val="0"/>
                <w:bCs w:val="0"/>
                <w:snapToGrid w:val="0"/>
                <w:color w:val="auto"/>
                <w:kern w:val="21"/>
                <w:sz w:val="24"/>
                <w:szCs w:val="24"/>
                <w:highlight w:val="none"/>
                <w:u w:val="none"/>
                <w:lang w:bidi="ar"/>
              </w:rPr>
              <w:t>、公安</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局、城管执法局，柳州柳城供电局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0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进一步优化工程建设项目联合验收方式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5"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简化实行联合验收的工程建设项目竣工验收备案手续</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对实行联合验收的工程建设项目，可在通过联合验收后出具竣工联合验收意见书，政府部门直接备案，不动产登记等相关部门通过数据共享获得需要的验收结果，无需企业再办理竣工验收备案。</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5"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试行对已满足使用功能的单位工程开展单独竣工验收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在符合项目整体质量安全要求、达到安全使用条件的前提下，对</w:t>
            </w:r>
            <w:r>
              <w:rPr>
                <w:rFonts w:hint="eastAsia" w:ascii="仿宋_GB2312" w:hAnsi="仿宋_GB2312" w:eastAsia="仿宋_GB2312" w:cs="仿宋_GB2312"/>
                <w:b w:val="0"/>
                <w:bCs w:val="0"/>
                <w:snapToGrid w:val="0"/>
                <w:color w:val="auto"/>
                <w:kern w:val="21"/>
                <w:sz w:val="24"/>
                <w:szCs w:val="24"/>
                <w:highlight w:val="none"/>
                <w:u w:val="none"/>
                <w:lang w:eastAsia="zh-CN" w:bidi="ar"/>
              </w:rPr>
              <w:t>已</w:t>
            </w:r>
            <w:r>
              <w:rPr>
                <w:rFonts w:hint="eastAsia" w:ascii="仿宋_GB2312" w:hAnsi="仿宋_GB2312" w:eastAsia="仿宋_GB2312" w:cs="仿宋_GB2312"/>
                <w:b w:val="0"/>
                <w:bCs w:val="0"/>
                <w:snapToGrid w:val="0"/>
                <w:color w:val="auto"/>
                <w:kern w:val="21"/>
                <w:sz w:val="24"/>
                <w:szCs w:val="24"/>
                <w:highlight w:val="none"/>
                <w:u w:val="none"/>
                <w:lang w:bidi="ar"/>
              </w:rPr>
              <w:t>办理建设工程规划许可证</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已满足使用功能的单位工程可采用单独竣工验收方式</w:t>
            </w:r>
            <w:r>
              <w:rPr>
                <w:rFonts w:hint="eastAsia" w:ascii="仿宋_GB2312" w:hAnsi="仿宋_GB2312" w:eastAsia="仿宋_GB2312" w:cs="仿宋_GB2312"/>
                <w:b w:val="0"/>
                <w:bCs w:val="0"/>
                <w:snapToGrid w:val="0"/>
                <w:color w:val="auto"/>
                <w:kern w:val="21"/>
                <w:sz w:val="24"/>
                <w:szCs w:val="24"/>
                <w:highlight w:val="none"/>
                <w:u w:val="none"/>
                <w:lang w:eastAsia="zh-CN" w:bidi="ar"/>
              </w:rPr>
              <w:t>开展竣工验收</w:t>
            </w:r>
            <w:r>
              <w:rPr>
                <w:rFonts w:hint="eastAsia" w:ascii="仿宋_GB2312" w:hAnsi="仿宋_GB2312" w:eastAsia="仿宋_GB2312" w:cs="仿宋_GB2312"/>
                <w:b w:val="0"/>
                <w:bCs w:val="0"/>
                <w:snapToGrid w:val="0"/>
                <w:color w:val="auto"/>
                <w:kern w:val="21"/>
                <w:sz w:val="24"/>
                <w:szCs w:val="24"/>
                <w:highlight w:val="none"/>
                <w:u w:val="none"/>
                <w:lang w:bidi="ar"/>
              </w:rPr>
              <w:t>，单位工程验收合格后，可单独投入使用。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完善工程建设项目审批</w:t>
            </w:r>
            <w:r>
              <w:rPr>
                <w:rFonts w:hint="eastAsia" w:ascii="仿宋_GB2312" w:hAnsi="仿宋_GB2312" w:eastAsia="仿宋_GB2312" w:cs="仿宋_GB2312"/>
                <w:b w:val="0"/>
                <w:bCs w:val="0"/>
                <w:snapToGrid w:val="0"/>
                <w:color w:val="auto"/>
                <w:kern w:val="21"/>
                <w:sz w:val="24"/>
                <w:szCs w:val="24"/>
                <w:highlight w:val="none"/>
                <w:u w:val="none"/>
                <w:lang w:eastAsia="zh-CN" w:bidi="ar"/>
              </w:rPr>
              <w:t>“一窗受理”</w:t>
            </w:r>
            <w:r>
              <w:rPr>
                <w:rFonts w:hint="eastAsia" w:ascii="仿宋_GB2312" w:hAnsi="仿宋_GB2312" w:eastAsia="仿宋_GB2312" w:cs="仿宋_GB2312"/>
                <w:b w:val="0"/>
                <w:bCs w:val="0"/>
                <w:snapToGrid w:val="0"/>
                <w:color w:val="auto"/>
                <w:kern w:val="21"/>
                <w:sz w:val="24"/>
                <w:szCs w:val="24"/>
                <w:highlight w:val="none"/>
                <w:u w:val="none"/>
                <w:lang w:bidi="ar"/>
              </w:rPr>
              <w:t>工作体系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进一步优化工程建设项目联合验收方式</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由住房城乡建设部门</w:t>
            </w:r>
            <w:r>
              <w:rPr>
                <w:rFonts w:hint="eastAsia" w:ascii="仿宋_GB2312" w:hAnsi="仿宋_GB2312" w:eastAsia="仿宋_GB2312" w:cs="仿宋_GB2312"/>
                <w:b w:val="0"/>
                <w:bCs w:val="0"/>
                <w:snapToGrid w:val="0"/>
                <w:color w:val="auto"/>
                <w:kern w:val="21"/>
                <w:sz w:val="24"/>
                <w:szCs w:val="24"/>
                <w:highlight w:val="none"/>
                <w:u w:val="none"/>
                <w:lang w:eastAsia="zh-CN" w:bidi="ar"/>
              </w:rPr>
              <w:t>“一窗受理”</w:t>
            </w:r>
            <w:r>
              <w:rPr>
                <w:rFonts w:hint="eastAsia" w:ascii="仿宋_GB2312" w:hAnsi="仿宋_GB2312" w:eastAsia="仿宋_GB2312" w:cs="仿宋_GB2312"/>
                <w:b w:val="0"/>
                <w:bCs w:val="0"/>
                <w:snapToGrid w:val="0"/>
                <w:color w:val="auto"/>
                <w:kern w:val="21"/>
                <w:sz w:val="24"/>
                <w:szCs w:val="24"/>
                <w:highlight w:val="none"/>
                <w:u w:val="none"/>
                <w:lang w:bidi="ar"/>
              </w:rPr>
              <w:t>验收申请，及时组织联合验收，不得要求企业提供告知单之外的材料。</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完善工程建设项目审批</w:t>
            </w:r>
            <w:r>
              <w:rPr>
                <w:rFonts w:hint="eastAsia" w:ascii="仿宋_GB2312" w:hAnsi="仿宋_GB2312" w:eastAsia="仿宋_GB2312" w:cs="仿宋_GB2312"/>
                <w:b w:val="0"/>
                <w:bCs w:val="0"/>
                <w:snapToGrid w:val="0"/>
                <w:color w:val="auto"/>
                <w:kern w:val="21"/>
                <w:sz w:val="24"/>
                <w:szCs w:val="24"/>
                <w:highlight w:val="none"/>
                <w:u w:val="none"/>
                <w:lang w:eastAsia="zh-CN" w:bidi="ar"/>
              </w:rPr>
              <w:t>“一窗受理”</w:t>
            </w:r>
            <w:r>
              <w:rPr>
                <w:rFonts w:hint="eastAsia" w:ascii="仿宋_GB2312" w:hAnsi="仿宋_GB2312" w:eastAsia="仿宋_GB2312" w:cs="仿宋_GB2312"/>
                <w:b w:val="0"/>
                <w:bCs w:val="0"/>
                <w:snapToGrid w:val="0"/>
                <w:color w:val="auto"/>
                <w:kern w:val="21"/>
                <w:sz w:val="24"/>
                <w:szCs w:val="24"/>
                <w:highlight w:val="none"/>
                <w:u w:val="none"/>
                <w:lang w:bidi="ar"/>
              </w:rPr>
              <w:t>工作体系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完善自治区工程建设项目审批管理系统，实现工程建设项目从立项到竣工验收和公共设施接入服务全流程审批服务事项全部线上办理，统一入口、统一申报、流程分类、统一出件，实现房屋建筑和市政基础设施工程项目全覆盖、审批全流程、数据全归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49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完善工程建设项目审批</w:t>
            </w:r>
            <w:r>
              <w:rPr>
                <w:rFonts w:hint="eastAsia" w:ascii="仿宋_GB2312" w:hAnsi="仿宋_GB2312" w:eastAsia="仿宋_GB2312" w:cs="仿宋_GB2312"/>
                <w:b w:val="0"/>
                <w:bCs w:val="0"/>
                <w:snapToGrid w:val="0"/>
                <w:color w:val="auto"/>
                <w:kern w:val="21"/>
                <w:sz w:val="24"/>
                <w:szCs w:val="24"/>
                <w:highlight w:val="none"/>
                <w:u w:val="none"/>
                <w:lang w:eastAsia="zh-CN" w:bidi="ar"/>
              </w:rPr>
              <w:t>“一窗受理”</w:t>
            </w:r>
            <w:r>
              <w:rPr>
                <w:rFonts w:hint="eastAsia" w:ascii="仿宋_GB2312" w:hAnsi="仿宋_GB2312" w:eastAsia="仿宋_GB2312" w:cs="仿宋_GB2312"/>
                <w:b w:val="0"/>
                <w:bCs w:val="0"/>
                <w:snapToGrid w:val="0"/>
                <w:color w:val="auto"/>
                <w:kern w:val="21"/>
                <w:sz w:val="24"/>
                <w:szCs w:val="24"/>
                <w:highlight w:val="none"/>
                <w:u w:val="none"/>
                <w:lang w:bidi="ar"/>
              </w:rPr>
              <w:t>工作体系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推进社会投资低风险产业类项目竣工联合验收和不动产登记合并办理、同步发证。</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50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推行“一证开工”审批服务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推行不动产登记、规划许可、招标投标、施工图审查和施工许可告知承诺制改革。</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县行政审批局、自然资源和规划局、</w:t>
            </w:r>
            <w:r>
              <w:rPr>
                <w:rFonts w:hint="eastAsia" w:ascii="仿宋_GB2312" w:hAnsi="仿宋_GB2312" w:eastAsia="仿宋_GB2312" w:cs="仿宋_GB2312"/>
                <w:b w:val="0"/>
                <w:bCs w:val="0"/>
                <w:snapToGrid w:val="0"/>
                <w:color w:val="auto"/>
                <w:kern w:val="21"/>
                <w:sz w:val="24"/>
                <w:szCs w:val="24"/>
                <w:highlight w:val="none"/>
                <w:u w:val="none"/>
                <w:lang w:eastAsia="zh-CN" w:bidi="ar"/>
              </w:rPr>
              <w:t>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51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推进并联审批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将“总平图审定”“建筑设计方案审批”“建设工程规划许可证”三个审批环节合并为一个审批环节。</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解决数据的时效性</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完整性问题</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不断提升数据共享质量，解决数据的时效性和完整性问题，确保并联审批率、10分钟数据共享率和数据准确率、信息完整率等重要指标处于</w:t>
            </w:r>
            <w:r>
              <w:rPr>
                <w:rFonts w:hint="eastAsia" w:ascii="仿宋_GB2312" w:hAnsi="仿宋_GB2312" w:eastAsia="仿宋_GB2312" w:cs="仿宋_GB2312"/>
                <w:b w:val="0"/>
                <w:bCs w:val="0"/>
                <w:snapToGrid w:val="0"/>
                <w:color w:val="auto"/>
                <w:kern w:val="21"/>
                <w:sz w:val="24"/>
                <w:szCs w:val="24"/>
                <w:highlight w:val="none"/>
                <w:u w:val="none"/>
                <w:lang w:eastAsia="zh-CN" w:bidi="ar"/>
              </w:rPr>
              <w:t>全市前列</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推进工程建设项目策划生成</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抓紧完成国土空间规划，加快</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多规合一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业务协同平台应用，通过</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一张蓝图</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策划生成项目数占工程建设项目数</w:t>
            </w:r>
            <w:r>
              <w:rPr>
                <w:rFonts w:hint="eastAsia" w:ascii="仿宋_GB2312" w:hAnsi="仿宋_GB2312" w:eastAsia="仿宋_GB2312" w:cs="仿宋_GB2312"/>
                <w:b w:val="0"/>
                <w:bCs w:val="0"/>
                <w:snapToGrid w:val="0"/>
                <w:color w:val="auto"/>
                <w:kern w:val="21"/>
                <w:sz w:val="24"/>
                <w:szCs w:val="24"/>
                <w:highlight w:val="none"/>
                <w:u w:val="none"/>
                <w:lang w:eastAsia="zh-CN" w:bidi="ar"/>
              </w:rPr>
              <w:t>的比重</w:t>
            </w:r>
            <w:r>
              <w:rPr>
                <w:rFonts w:hint="eastAsia" w:ascii="仿宋_GB2312" w:hAnsi="仿宋_GB2312" w:eastAsia="仿宋_GB2312" w:cs="仿宋_GB2312"/>
                <w:b w:val="0"/>
                <w:bCs w:val="0"/>
                <w:snapToGrid w:val="0"/>
                <w:color w:val="auto"/>
                <w:kern w:val="21"/>
                <w:sz w:val="24"/>
                <w:szCs w:val="24"/>
                <w:highlight w:val="none"/>
                <w:u w:val="none"/>
                <w:lang w:bidi="ar"/>
              </w:rPr>
              <w:t>超过5</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54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不断提升便利度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继续深化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多测合一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改革，推动分阶段整合规划、土地、房产、交通、绿化、人防等测绘测量事项，继续实施竣工验收和不动产登记阶段竣工测量、不动产测量合并测绘，进一步将勘测定界测绘、地籍测量合并为一个测绘事项</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县工程建设项目审批制度改革领导小组其他成员单位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加快建筑领域网上中介超市平台建设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落实</w:t>
            </w:r>
            <w:r>
              <w:rPr>
                <w:rFonts w:hint="eastAsia" w:ascii="仿宋_GB2312" w:hAnsi="仿宋_GB2312" w:eastAsia="仿宋_GB2312" w:cs="仿宋_GB2312"/>
                <w:b w:val="0"/>
                <w:bCs w:val="0"/>
                <w:snapToGrid w:val="0"/>
                <w:color w:val="auto"/>
                <w:kern w:val="21"/>
                <w:sz w:val="24"/>
                <w:szCs w:val="24"/>
                <w:highlight w:val="none"/>
                <w:u w:val="none"/>
                <w:lang w:bidi="ar"/>
              </w:rPr>
              <w:t>广西建筑领域网上中介服务超市管理办法，规范服务企业的入市、服务、评价、退出等运行管理，加大中介超市在项目审批中的推广运用</w:t>
            </w:r>
            <w:r>
              <w:rPr>
                <w:rFonts w:hint="eastAsia" w:ascii="仿宋_GB2312" w:hAnsi="仿宋_GB2312" w:eastAsia="仿宋_GB2312" w:cs="仿宋_GB2312"/>
                <w:b w:val="0"/>
                <w:bCs w:val="0"/>
                <w:snapToGrid w:val="0"/>
                <w:color w:val="auto"/>
                <w:kern w:val="21"/>
                <w:sz w:val="24"/>
                <w:szCs w:val="24"/>
                <w:highlight w:val="none"/>
                <w:u w:val="none"/>
                <w:lang w:eastAsia="zh-CN" w:bidi="ar"/>
              </w:rPr>
              <w:t>力度</w:t>
            </w:r>
            <w:r>
              <w:rPr>
                <w:rFonts w:hint="eastAsia" w:ascii="仿宋_GB2312" w:hAnsi="仿宋_GB2312" w:eastAsia="仿宋_GB2312" w:cs="仿宋_GB2312"/>
                <w:b w:val="0"/>
                <w:bCs w:val="0"/>
                <w:snapToGrid w:val="0"/>
                <w:color w:val="auto"/>
                <w:kern w:val="21"/>
                <w:sz w:val="24"/>
                <w:szCs w:val="24"/>
                <w:highlight w:val="none"/>
                <w:u w:val="none"/>
                <w:lang w:bidi="ar"/>
              </w:rPr>
              <w:t>，推动中介服务</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减时、降费、提质</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办理建筑许可</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推行投资项目</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用地清单制</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工业项目用地平均供地时间力争压缩至35天内。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县住房城乡建设局、行政审批局、文化体育广电旅游局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采购</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完善政府采购工作机制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高中小企业在政府采购中的份额，政府采购限额标准以上，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专门面向中小企业采购。</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、水利</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采购</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资金支付再提速</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满足合同约定支付条件的，采购人应当自收到发票后30日内将资金支付到合同约定的供应商账户。</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采购</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规范保证金收退管理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规范采购文件发售，政采云平台免费提供电子采购文件。推行预付款制度，合同履行期超过30日的，预付款原则上不得低于合同金额的30%，并与供应商信用挂钩。</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采购</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全面完善电子采购平台功能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建成集信息公示、电子招</w:t>
            </w:r>
            <w:r>
              <w:rPr>
                <w:rFonts w:hint="eastAsia" w:ascii="仿宋_GB2312" w:hAnsi="仿宋_GB2312" w:eastAsia="仿宋_GB2312" w:cs="仿宋_GB2312"/>
                <w:b w:val="0"/>
                <w:bCs w:val="0"/>
                <w:snapToGrid w:val="0"/>
                <w:color w:val="auto"/>
                <w:kern w:val="21"/>
                <w:sz w:val="24"/>
                <w:szCs w:val="24"/>
                <w:highlight w:val="none"/>
                <w:u w:val="none"/>
                <w:lang w:eastAsia="zh-CN" w:bidi="ar"/>
              </w:rPr>
              <w:t>标</w:t>
            </w:r>
            <w:r>
              <w:rPr>
                <w:rFonts w:hint="eastAsia" w:ascii="仿宋_GB2312" w:hAnsi="仿宋_GB2312" w:eastAsia="仿宋_GB2312" w:cs="仿宋_GB2312"/>
                <w:b w:val="0"/>
                <w:bCs w:val="0"/>
                <w:snapToGrid w:val="0"/>
                <w:color w:val="auto"/>
                <w:kern w:val="21"/>
                <w:sz w:val="24"/>
                <w:szCs w:val="24"/>
                <w:highlight w:val="none"/>
                <w:u w:val="none"/>
                <w:lang w:bidi="ar"/>
              </w:rPr>
              <w:t>投标、合同签订与履约验收、信用评价与质疑投诉等各项功能于一体的统一平台。</w:t>
            </w:r>
            <w:r>
              <w:rPr>
                <w:rFonts w:hint="eastAsia" w:ascii="仿宋_GB2312" w:hAnsi="仿宋_GB2312" w:eastAsia="仿宋_GB2312" w:cs="仿宋_GB2312"/>
                <w:b w:val="0"/>
                <w:bCs w:val="0"/>
                <w:snapToGrid w:val="0"/>
                <w:color w:val="auto"/>
                <w:kern w:val="21"/>
                <w:sz w:val="24"/>
                <w:szCs w:val="24"/>
                <w:highlight w:val="none"/>
                <w:u w:val="none"/>
                <w:lang w:eastAsia="zh-CN" w:bidi="ar"/>
              </w:rPr>
              <w:t>推动</w:t>
            </w:r>
            <w:r>
              <w:rPr>
                <w:rFonts w:hint="eastAsia" w:ascii="仿宋_GB2312" w:hAnsi="仿宋_GB2312" w:eastAsia="仿宋_GB2312" w:cs="仿宋_GB2312"/>
                <w:b w:val="0"/>
                <w:bCs w:val="0"/>
                <w:snapToGrid w:val="0"/>
                <w:color w:val="auto"/>
                <w:kern w:val="21"/>
                <w:sz w:val="24"/>
                <w:szCs w:val="24"/>
                <w:highlight w:val="none"/>
                <w:u w:val="none"/>
                <w:lang w:bidi="ar"/>
              </w:rPr>
              <w:t>电子化政府采购平台与财政预算管理一体化信息系统的衔接，实现采购资金线上支付。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招标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投标</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清理设置非必要条件排斥潜在竞争者行为</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rPr>
              <w:t>清理企业在招标投标、政府采购、权益保护等方面差别化待遇，整治通过增设证明事项、设立项目库、注册、认证、认定等非必要条件排斥和限制竞争的行为。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r>
              <w:rPr>
                <w:rFonts w:hint="eastAsia" w:ascii="仿宋_GB2312" w:hAnsi="仿宋_GB2312" w:eastAsia="仿宋_GB2312" w:cs="仿宋_GB2312"/>
                <w:b w:val="0"/>
                <w:bCs w:val="0"/>
                <w:snapToGrid w:val="0"/>
                <w:color w:val="auto"/>
                <w:kern w:val="21"/>
                <w:sz w:val="24"/>
                <w:szCs w:val="24"/>
                <w:highlight w:val="none"/>
                <w:u w:val="none"/>
                <w:lang w:bidi="ar"/>
              </w:rPr>
              <w:t>、财政</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105" w:rightChars="-5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、水利</w:t>
            </w:r>
            <w:r>
              <w:rPr>
                <w:rFonts w:hint="eastAsia" w:ascii="仿宋_GB2312" w:hAnsi="仿宋_GB2312" w:eastAsia="仿宋_GB2312" w:cs="仿宋_GB2312"/>
                <w:b w:val="0"/>
                <w:bCs w:val="0"/>
                <w:snapToGrid w:val="0"/>
                <w:color w:val="auto"/>
                <w:kern w:val="21"/>
                <w:sz w:val="24"/>
                <w:szCs w:val="24"/>
                <w:highlight w:val="none"/>
                <w:u w:val="none"/>
                <w:lang w:eastAsia="zh-CN" w:bidi="ar"/>
              </w:rPr>
              <w:t>局、自然资源和规划局、城管执法局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招标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投标</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推进招</w:t>
            </w:r>
            <w:r>
              <w:rPr>
                <w:rFonts w:hint="eastAsia" w:ascii="仿宋_GB2312" w:hAnsi="仿宋_GB2312" w:eastAsia="仿宋_GB2312" w:cs="仿宋_GB2312"/>
                <w:b w:val="0"/>
                <w:bCs w:val="0"/>
                <w:snapToGrid w:val="0"/>
                <w:color w:val="auto"/>
                <w:kern w:val="21"/>
                <w:sz w:val="24"/>
                <w:szCs w:val="24"/>
                <w:highlight w:val="none"/>
                <w:u w:val="none"/>
                <w:lang w:eastAsia="zh-CN" w:bidi="ar"/>
              </w:rPr>
              <w:t>标</w:t>
            </w:r>
            <w:r>
              <w:rPr>
                <w:rFonts w:hint="eastAsia" w:ascii="仿宋_GB2312" w:hAnsi="仿宋_GB2312" w:eastAsia="仿宋_GB2312" w:cs="仿宋_GB2312"/>
                <w:b w:val="0"/>
                <w:bCs w:val="0"/>
                <w:snapToGrid w:val="0"/>
                <w:color w:val="auto"/>
                <w:kern w:val="21"/>
                <w:sz w:val="24"/>
                <w:szCs w:val="24"/>
                <w:highlight w:val="none"/>
                <w:u w:val="none"/>
                <w:lang w:bidi="ar"/>
              </w:rPr>
              <w:t>投标全流程电子化改革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推进招</w:t>
            </w:r>
            <w:r>
              <w:rPr>
                <w:rFonts w:hint="eastAsia" w:ascii="仿宋_GB2312" w:hAnsi="仿宋_GB2312" w:eastAsia="仿宋_GB2312" w:cs="仿宋_GB2312"/>
                <w:b w:val="0"/>
                <w:bCs w:val="0"/>
                <w:snapToGrid w:val="0"/>
                <w:color w:val="auto"/>
                <w:kern w:val="21"/>
                <w:sz w:val="24"/>
                <w:szCs w:val="24"/>
                <w:highlight w:val="none"/>
                <w:u w:val="none"/>
                <w:lang w:eastAsia="zh-CN" w:bidi="ar"/>
              </w:rPr>
              <w:t>标</w:t>
            </w:r>
            <w:r>
              <w:rPr>
                <w:rFonts w:hint="eastAsia" w:ascii="仿宋_GB2312" w:hAnsi="仿宋_GB2312" w:eastAsia="仿宋_GB2312" w:cs="仿宋_GB2312"/>
                <w:b w:val="0"/>
                <w:bCs w:val="0"/>
                <w:snapToGrid w:val="0"/>
                <w:color w:val="auto"/>
                <w:kern w:val="21"/>
                <w:sz w:val="24"/>
                <w:szCs w:val="24"/>
                <w:highlight w:val="none"/>
                <w:u w:val="none"/>
                <w:lang w:bidi="ar"/>
              </w:rPr>
              <w:t>投标全流程电子化，依法必须招标项目全程电子化交易率提升到70%以上，加快实施合同签订和变更网上办理。推行网上开标和远程异地评标。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r>
              <w:rPr>
                <w:rFonts w:hint="eastAsia" w:ascii="仿宋_GB2312" w:hAnsi="仿宋_GB2312" w:eastAsia="仿宋_GB2312" w:cs="仿宋_GB2312"/>
                <w:b w:val="0"/>
                <w:bCs w:val="0"/>
                <w:snapToGrid w:val="0"/>
                <w:color w:val="auto"/>
                <w:kern w:val="21"/>
                <w:sz w:val="24"/>
                <w:szCs w:val="24"/>
                <w:highlight w:val="none"/>
                <w:u w:val="none"/>
                <w:lang w:bidi="ar"/>
              </w:rPr>
              <w:t>、财政</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105" w:rightChars="-5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、水利</w:t>
            </w:r>
            <w:r>
              <w:rPr>
                <w:rFonts w:hint="eastAsia" w:ascii="仿宋_GB2312" w:hAnsi="仿宋_GB2312" w:eastAsia="仿宋_GB2312" w:cs="仿宋_GB2312"/>
                <w:b w:val="0"/>
                <w:bCs w:val="0"/>
                <w:snapToGrid w:val="0"/>
                <w:color w:val="auto"/>
                <w:kern w:val="21"/>
                <w:sz w:val="24"/>
                <w:szCs w:val="24"/>
                <w:highlight w:val="none"/>
                <w:u w:val="none"/>
                <w:lang w:eastAsia="zh-CN" w:bidi="ar"/>
              </w:rPr>
              <w:t>局、自然资源和规划局、城管执法局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63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招标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投标</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完善招标投标管理制度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进一步精简办事流程，降低制度性交易成本，规范招标备案程序。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105" w:rightChars="-5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、水利</w:t>
            </w:r>
            <w:r>
              <w:rPr>
                <w:rFonts w:hint="eastAsia" w:ascii="仿宋_GB2312" w:hAnsi="仿宋_GB2312" w:eastAsia="仿宋_GB2312" w:cs="仿宋_GB2312"/>
                <w:b w:val="0"/>
                <w:bCs w:val="0"/>
                <w:snapToGrid w:val="0"/>
                <w:color w:val="auto"/>
                <w:kern w:val="21"/>
                <w:sz w:val="24"/>
                <w:szCs w:val="24"/>
                <w:highlight w:val="none"/>
                <w:u w:val="none"/>
                <w:lang w:eastAsia="zh-CN" w:bidi="ar"/>
              </w:rPr>
              <w:t>局、自然资源和规划局、城管执法局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招标</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投标</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清除招标投标领域对外地企业设置的隐性门槛和壁垒</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对依法必须公开招标的工程建设项目开展抽查研判，及时通报并公开结果，并对存在问题进行整改及处置。</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105" w:rightChars="-5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、水利</w:t>
            </w:r>
            <w:r>
              <w:rPr>
                <w:rFonts w:hint="eastAsia" w:ascii="仿宋_GB2312" w:hAnsi="仿宋_GB2312" w:eastAsia="仿宋_GB2312" w:cs="仿宋_GB2312"/>
                <w:b w:val="0"/>
                <w:bCs w:val="0"/>
                <w:snapToGrid w:val="0"/>
                <w:color w:val="auto"/>
                <w:kern w:val="21"/>
                <w:sz w:val="24"/>
                <w:szCs w:val="24"/>
                <w:highlight w:val="none"/>
                <w:u w:val="none"/>
                <w:lang w:eastAsia="zh-CN" w:bidi="ar"/>
              </w:rPr>
              <w:t>局、自然资源和规划局、城管执法局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招标</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投标</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优化投标保证金收退流程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严格落实保证金本息按时退付，缩短投标企业资金占用周期，在公共资源交易领域推广应用电子保函，切实减轻企业负担。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105" w:rightChars="-5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、水利</w:t>
            </w:r>
            <w:r>
              <w:rPr>
                <w:rFonts w:hint="eastAsia" w:ascii="仿宋_GB2312" w:hAnsi="仿宋_GB2312" w:eastAsia="仿宋_GB2312" w:cs="仿宋_GB2312"/>
                <w:b w:val="0"/>
                <w:bCs w:val="0"/>
                <w:snapToGrid w:val="0"/>
                <w:color w:val="auto"/>
                <w:kern w:val="21"/>
                <w:sz w:val="24"/>
                <w:szCs w:val="24"/>
                <w:highlight w:val="none"/>
                <w:u w:val="none"/>
                <w:lang w:eastAsia="zh-CN" w:bidi="ar"/>
              </w:rPr>
              <w:t>局、自然资源和规划局、城管执法局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招标</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投标</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强化招标投标监管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推行常态化在线监管，提升监管平台自动预警功能，辅助投诉处理和围标串标行为查处。探索建立招标投标领域信用信息管理、公开、共享机制，构建信用评价和应用体系。</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105" w:rightChars="-5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、交通运输</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、水利</w:t>
            </w:r>
            <w:r>
              <w:rPr>
                <w:rFonts w:hint="eastAsia" w:ascii="仿宋_GB2312" w:hAnsi="仿宋_GB2312" w:eastAsia="仿宋_GB2312" w:cs="仿宋_GB2312"/>
                <w:b w:val="0"/>
                <w:bCs w:val="0"/>
                <w:snapToGrid w:val="0"/>
                <w:color w:val="auto"/>
                <w:kern w:val="21"/>
                <w:sz w:val="24"/>
                <w:szCs w:val="24"/>
                <w:highlight w:val="none"/>
                <w:u w:val="none"/>
                <w:lang w:eastAsia="zh-CN" w:bidi="ar"/>
              </w:rPr>
              <w:t>局、自然资源和规划局、城管执法局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67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进一步压缩高压用户办电时长</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10千伏高压单电源用电报装业务办理全流程平均用时压缩至30个工作日</w:t>
            </w:r>
            <w:r>
              <w:rPr>
                <w:rFonts w:hint="eastAsia" w:ascii="仿宋_GB2312" w:hAnsi="仿宋_GB2312" w:eastAsia="仿宋_GB2312" w:cs="仿宋_GB2312"/>
                <w:b w:val="0"/>
                <w:bCs w:val="0"/>
                <w:snapToGrid w:val="0"/>
                <w:color w:val="auto"/>
                <w:kern w:val="21"/>
                <w:sz w:val="24"/>
                <w:szCs w:val="24"/>
                <w:highlight w:val="none"/>
                <w:u w:val="none"/>
                <w:lang w:eastAsia="zh-CN" w:bidi="ar"/>
              </w:rPr>
              <w:t>内</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优化压缩高压单电源用户办电报装时间和流程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供电企业不得增设或变相设置用电报装业务办理环节、前置条件，要如实记录用电报装时间信息，禁止</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体外循环、后补流程或重走流程</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，高压单电源用户报装时间压缩至12个工作日以内。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69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规范报装供电环节费用</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取消</w:t>
            </w:r>
            <w:r>
              <w:rPr>
                <w:rFonts w:hint="eastAsia" w:ascii="仿宋_GB2312" w:hAnsi="仿宋_GB2312" w:eastAsia="仿宋_GB2312" w:cs="仿宋_GB2312"/>
                <w:b w:val="0"/>
                <w:bCs w:val="0"/>
                <w:snapToGrid w:val="0"/>
                <w:color w:val="auto"/>
                <w:kern w:val="21"/>
                <w:sz w:val="24"/>
                <w:szCs w:val="24"/>
                <w:highlight w:val="none"/>
                <w:u w:val="none"/>
                <w:lang w:eastAsia="zh-CN" w:bidi="ar"/>
              </w:rPr>
              <w:t>供电</w:t>
            </w:r>
            <w:r>
              <w:rPr>
                <w:rFonts w:hint="eastAsia" w:ascii="仿宋_GB2312" w:hAnsi="仿宋_GB2312" w:eastAsia="仿宋_GB2312" w:cs="仿宋_GB2312"/>
                <w:b w:val="0"/>
                <w:bCs w:val="0"/>
                <w:snapToGrid w:val="0"/>
                <w:color w:val="auto"/>
                <w:kern w:val="21"/>
                <w:sz w:val="24"/>
                <w:szCs w:val="24"/>
                <w:highlight w:val="none"/>
                <w:u w:val="none"/>
                <w:lang w:bidi="ar"/>
              </w:rPr>
              <w:t>企业向电力用户收取变电站间隔占用费、计量装置校验费、电力负荷控制终端设备费等收费项目，计费电能表及附件的购置、安装、移动、更换、校验、拆除、加封、启封及表计接线等，均由供电企业负责办理，严禁向用户收取计量装置费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畅通供电信息共享</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将</w:t>
            </w:r>
            <w:r>
              <w:rPr>
                <w:rFonts w:hint="eastAsia" w:ascii="仿宋_GB2312" w:hAnsi="仿宋_GB2312" w:eastAsia="仿宋_GB2312" w:cs="仿宋_GB2312"/>
                <w:b w:val="0"/>
                <w:bCs w:val="0"/>
                <w:snapToGrid w:val="0"/>
                <w:color w:val="auto"/>
                <w:kern w:val="21"/>
                <w:sz w:val="24"/>
                <w:szCs w:val="24"/>
                <w:highlight w:val="none"/>
                <w:u w:val="none"/>
                <w:lang w:eastAsia="zh-CN" w:bidi="ar"/>
              </w:rPr>
              <w:t>供电</w:t>
            </w:r>
            <w:r>
              <w:rPr>
                <w:rFonts w:hint="eastAsia" w:ascii="仿宋_GB2312" w:hAnsi="仿宋_GB2312" w:eastAsia="仿宋_GB2312" w:cs="仿宋_GB2312"/>
                <w:b w:val="0"/>
                <w:bCs w:val="0"/>
                <w:snapToGrid w:val="0"/>
                <w:color w:val="auto"/>
                <w:kern w:val="21"/>
                <w:sz w:val="24"/>
                <w:szCs w:val="24"/>
                <w:highlight w:val="none"/>
                <w:u w:val="none"/>
                <w:lang w:bidi="ar"/>
              </w:rPr>
              <w:t>企业用电报装系统与政务服务、工程建设项目审批管理等系统融汇贯通，供电企业可提前获取重点项目建设信息，开展配套电网建设。</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畅通供电信息共享</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供电企业或用户可通过线上渠道提交审批申请，各级政府相关部门并联办理，审批结果于申请后5个工作日内自动反馈供电企业，</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实现各</w:t>
            </w:r>
            <w:r>
              <w:rPr>
                <w:rFonts w:hint="eastAsia" w:ascii="仿宋_GB2312" w:hAnsi="仿宋_GB2312" w:eastAsia="仿宋_GB2312" w:cs="仿宋_GB2312"/>
                <w:b w:val="0"/>
                <w:bCs w:val="0"/>
                <w:snapToGrid w:val="0"/>
                <w:color w:val="auto"/>
                <w:kern w:val="21"/>
                <w:sz w:val="24"/>
                <w:szCs w:val="24"/>
                <w:highlight w:val="none"/>
                <w:u w:val="none"/>
                <w:lang w:eastAsia="zh-CN" w:bidi="ar"/>
              </w:rPr>
              <w:t>市</w:t>
            </w:r>
            <w:r>
              <w:rPr>
                <w:rFonts w:hint="eastAsia" w:ascii="仿宋_GB2312" w:hAnsi="仿宋_GB2312" w:eastAsia="仿宋_GB2312" w:cs="仿宋_GB2312"/>
                <w:b w:val="0"/>
                <w:bCs w:val="0"/>
                <w:snapToGrid w:val="0"/>
                <w:color w:val="auto"/>
                <w:kern w:val="21"/>
                <w:sz w:val="24"/>
                <w:szCs w:val="24"/>
                <w:highlight w:val="none"/>
                <w:u w:val="none"/>
                <w:lang w:bidi="ar"/>
              </w:rPr>
              <w:t>相关部门政务信息跨层级纵向联通，审批流程公开透明，用户可在线查询。</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优化供电监管数据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完善电压检测数据平台，提升电压检测仪的监测准确率，及时准确</w:t>
            </w:r>
            <w:r>
              <w:rPr>
                <w:rFonts w:hint="eastAsia" w:ascii="仿宋_GB2312" w:hAnsi="仿宋_GB2312" w:eastAsia="仿宋_GB2312" w:cs="仿宋_GB2312"/>
                <w:b w:val="0"/>
                <w:bCs w:val="0"/>
                <w:snapToGrid w:val="0"/>
                <w:color w:val="auto"/>
                <w:kern w:val="21"/>
                <w:sz w:val="24"/>
                <w:szCs w:val="24"/>
                <w:highlight w:val="none"/>
                <w:u w:val="none"/>
                <w:lang w:eastAsia="zh-CN" w:bidi="ar"/>
              </w:rPr>
              <w:t>地</w:t>
            </w:r>
            <w:r>
              <w:rPr>
                <w:rFonts w:hint="eastAsia" w:ascii="仿宋_GB2312" w:hAnsi="仿宋_GB2312" w:eastAsia="仿宋_GB2312" w:cs="仿宋_GB2312"/>
                <w:b w:val="0"/>
                <w:bCs w:val="0"/>
                <w:snapToGrid w:val="0"/>
                <w:color w:val="auto"/>
                <w:kern w:val="21"/>
                <w:sz w:val="24"/>
                <w:szCs w:val="24"/>
                <w:highlight w:val="none"/>
                <w:u w:val="none"/>
                <w:lang w:bidi="ar"/>
              </w:rPr>
              <w:t>向用户提供完整、真实的监测数据和统计数据。</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推进</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转改直</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大力推进</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转改直</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，实现存量转供电稳步减少，增量转供电有效控制。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推进</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转改直</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依法查处转供电环节违法加价行为，确保电价政策和优惠措施落实。</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强化用电保障</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加大频繁停电、低电压等问题的整治力度，建立健全停电信息推送机制和供电可靠性管制机制。</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w:t>
            </w:r>
            <w:r>
              <w:rPr>
                <w:rFonts w:hint="eastAsia" w:ascii="仿宋_GB2312" w:hAnsi="仿宋_GB2312" w:eastAsia="仿宋_GB2312" w:cs="仿宋_GB2312"/>
                <w:b w:val="0"/>
                <w:bCs w:val="0"/>
                <w:snapToGrid w:val="0"/>
                <w:color w:val="auto"/>
                <w:kern w:val="21"/>
                <w:sz w:val="24"/>
                <w:szCs w:val="24"/>
                <w:highlight w:val="none"/>
                <w:u w:val="none"/>
                <w:lang w:bidi="ar"/>
              </w:rPr>
              <w:t>全</w:t>
            </w: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城网用户平均停电时间不超过4.75小时（比2021年压缩5%以上），农网用户平均停电时间不超过14.72小时（比2021年压缩8%以上）。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w:t>
            </w:r>
            <w:r>
              <w:rPr>
                <w:rFonts w:hint="eastAsia" w:ascii="仿宋_GB2312" w:hAnsi="仿宋_GB2312" w:eastAsia="仿宋_GB2312" w:cs="仿宋_GB2312"/>
                <w:b w:val="0"/>
                <w:bCs w:val="0"/>
                <w:snapToGrid w:val="0"/>
                <w:color w:val="auto"/>
                <w:kern w:val="21"/>
                <w:sz w:val="24"/>
                <w:szCs w:val="24"/>
                <w:highlight w:val="none"/>
                <w:u w:val="none"/>
                <w:lang w:bidi="ar"/>
              </w:rPr>
              <w:t>月3</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推行行政许可告知承诺制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全面推行电力业务、承装（修、试）电力设施等行政许可事项实行告知承诺制。对因企业承诺可以减省的审批材料，不再要求企业提供</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对企业自愿作出承诺并按要求提交材料的，当场作出审批决定。</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电力</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强化用电保障</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实施农村电网巩固提升专项行动。平衡发展各区域农网，提高供电可靠性，力争220千伏变电站县城全覆盖。</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县科技工贸信息化局，柳州柳城供电局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用水</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巩固提升供水改革成果</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无外线工程的，2个工作日</w:t>
            </w:r>
            <w:r>
              <w:rPr>
                <w:rFonts w:hint="eastAsia" w:ascii="仿宋_GB2312" w:hAnsi="仿宋_GB2312" w:eastAsia="仿宋_GB2312" w:cs="仿宋_GB2312"/>
                <w:b w:val="0"/>
                <w:bCs w:val="0"/>
                <w:snapToGrid w:val="0"/>
                <w:color w:val="auto"/>
                <w:kern w:val="21"/>
                <w:sz w:val="24"/>
                <w:szCs w:val="24"/>
                <w:highlight w:val="none"/>
                <w:u w:val="none"/>
                <w:lang w:eastAsia="zh-CN" w:bidi="ar"/>
              </w:rPr>
              <w:t>内</w:t>
            </w:r>
            <w:r>
              <w:rPr>
                <w:rFonts w:hint="eastAsia" w:ascii="仿宋_GB2312" w:hAnsi="仿宋_GB2312" w:eastAsia="仿宋_GB2312" w:cs="仿宋_GB2312"/>
                <w:b w:val="0"/>
                <w:bCs w:val="0"/>
                <w:snapToGrid w:val="0"/>
                <w:color w:val="auto"/>
                <w:kern w:val="21"/>
                <w:sz w:val="24"/>
                <w:szCs w:val="24"/>
                <w:highlight w:val="none"/>
                <w:u w:val="none"/>
                <w:lang w:bidi="ar"/>
              </w:rPr>
              <w:t>办结；有外线工程的，12个工作日</w:t>
            </w:r>
            <w:r>
              <w:rPr>
                <w:rFonts w:hint="eastAsia" w:ascii="仿宋_GB2312" w:hAnsi="仿宋_GB2312" w:eastAsia="仿宋_GB2312" w:cs="仿宋_GB2312"/>
                <w:b w:val="0"/>
                <w:bCs w:val="0"/>
                <w:snapToGrid w:val="0"/>
                <w:color w:val="auto"/>
                <w:kern w:val="21"/>
                <w:sz w:val="24"/>
                <w:szCs w:val="24"/>
                <w:highlight w:val="none"/>
                <w:u w:val="none"/>
                <w:lang w:eastAsia="zh-CN" w:bidi="ar"/>
              </w:rPr>
              <w:t>内</w:t>
            </w:r>
            <w:r>
              <w:rPr>
                <w:rFonts w:hint="eastAsia" w:ascii="仿宋_GB2312" w:hAnsi="仿宋_GB2312" w:eastAsia="仿宋_GB2312" w:cs="仿宋_GB2312"/>
                <w:b w:val="0"/>
                <w:bCs w:val="0"/>
                <w:snapToGrid w:val="0"/>
                <w:color w:val="auto"/>
                <w:kern w:val="21"/>
                <w:sz w:val="24"/>
                <w:szCs w:val="24"/>
                <w:highlight w:val="none"/>
                <w:u w:val="none"/>
                <w:lang w:bidi="ar"/>
              </w:rPr>
              <w:t>办结</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涉及国省干线、高速公路、快速路、轨道交通、交通量较大的农村公路等设施的复杂用水报装接入工程</w:t>
            </w:r>
            <w:r>
              <w:rPr>
                <w:rFonts w:hint="eastAsia" w:ascii="仿宋_GB2312" w:hAnsi="仿宋_GB2312" w:eastAsia="仿宋_GB2312" w:cs="仿宋_GB2312"/>
                <w:b w:val="0"/>
                <w:bCs w:val="0"/>
                <w:snapToGrid w:val="0"/>
                <w:color w:val="auto"/>
                <w:kern w:val="21"/>
                <w:sz w:val="24"/>
                <w:szCs w:val="24"/>
                <w:highlight w:val="none"/>
                <w:u w:val="none"/>
                <w:lang w:eastAsia="zh-CN" w:bidi="ar"/>
              </w:rPr>
              <w:t>除外</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79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用水</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优化报装服务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spacing w:val="0"/>
                <w:kern w:val="21"/>
                <w:sz w:val="24"/>
                <w:szCs w:val="24"/>
                <w:highlight w:val="none"/>
                <w:u w:val="none"/>
                <w:shd w:val="clear" w:color="auto" w:fill="auto"/>
                <w:lang w:bidi="ar"/>
              </w:rPr>
              <w:t>通过</w:t>
            </w:r>
            <w:r>
              <w:rPr>
                <w:rFonts w:hint="eastAsia" w:ascii="仿宋_GB2312" w:hAnsi="仿宋_GB2312" w:eastAsia="仿宋_GB2312" w:cs="仿宋_GB2312"/>
                <w:b w:val="0"/>
                <w:bCs w:val="0"/>
                <w:snapToGrid w:val="0"/>
                <w:color w:val="auto"/>
                <w:spacing w:val="0"/>
                <w:kern w:val="21"/>
                <w:sz w:val="24"/>
                <w:szCs w:val="24"/>
                <w:highlight w:val="none"/>
                <w:u w:val="none"/>
                <w:shd w:val="clear" w:color="auto" w:fill="auto"/>
                <w:lang w:eastAsia="zh-CN" w:bidi="ar"/>
              </w:rPr>
              <w:t>微信小程序、支付宝</w:t>
            </w:r>
            <w:r>
              <w:rPr>
                <w:rFonts w:hint="eastAsia" w:ascii="仿宋_GB2312" w:hAnsi="仿宋_GB2312" w:eastAsia="仿宋_GB2312" w:cs="仿宋_GB2312"/>
                <w:b w:val="0"/>
                <w:bCs w:val="0"/>
                <w:snapToGrid w:val="0"/>
                <w:color w:val="auto"/>
                <w:spacing w:val="0"/>
                <w:kern w:val="21"/>
                <w:sz w:val="24"/>
                <w:szCs w:val="24"/>
                <w:highlight w:val="none"/>
                <w:u w:val="none"/>
                <w:shd w:val="clear" w:color="auto" w:fill="auto"/>
                <w:lang w:bidi="ar"/>
              </w:rPr>
              <w:t>等手机</w:t>
            </w:r>
            <w:r>
              <w:rPr>
                <w:rFonts w:hint="eastAsia" w:ascii="仿宋_GB2312" w:hAnsi="仿宋_GB2312" w:eastAsia="仿宋_GB2312" w:cs="仿宋_GB2312"/>
                <w:b w:val="0"/>
                <w:bCs w:val="0"/>
                <w:snapToGrid w:val="0"/>
                <w:color w:val="auto"/>
                <w:spacing w:val="0"/>
                <w:kern w:val="21"/>
                <w:sz w:val="24"/>
                <w:szCs w:val="24"/>
                <w:highlight w:val="none"/>
                <w:u w:val="none"/>
                <w:shd w:val="clear" w:color="auto" w:fill="auto"/>
                <w:lang w:val="en" w:bidi="ar"/>
              </w:rPr>
              <w:t>应用程序</w:t>
            </w:r>
            <w:r>
              <w:rPr>
                <w:rFonts w:hint="eastAsia" w:ascii="仿宋_GB2312" w:hAnsi="仿宋_GB2312" w:eastAsia="仿宋_GB2312" w:cs="仿宋_GB2312"/>
                <w:b w:val="0"/>
                <w:bCs w:val="0"/>
                <w:snapToGrid w:val="0"/>
                <w:color w:val="auto"/>
                <w:spacing w:val="0"/>
                <w:kern w:val="21"/>
                <w:sz w:val="24"/>
                <w:szCs w:val="24"/>
                <w:highlight w:val="none"/>
                <w:u w:val="none"/>
                <w:shd w:val="clear" w:color="auto" w:fill="auto"/>
                <w:lang w:bidi="ar"/>
              </w:rPr>
              <w:t>推行</w:t>
            </w:r>
            <w:r>
              <w:rPr>
                <w:rFonts w:hint="eastAsia" w:ascii="仿宋_GB2312" w:hAnsi="仿宋_GB2312" w:eastAsia="仿宋_GB2312" w:cs="仿宋_GB2312"/>
                <w:b w:val="0"/>
                <w:bCs w:val="0"/>
                <w:snapToGrid w:val="0"/>
                <w:color w:val="auto"/>
                <w:spacing w:val="0"/>
                <w:kern w:val="21"/>
                <w:sz w:val="24"/>
                <w:szCs w:val="24"/>
                <w:highlight w:val="none"/>
                <w:u w:val="none"/>
                <w:shd w:val="clear" w:color="auto" w:fill="auto"/>
                <w:lang w:eastAsia="zh-CN" w:bidi="ar"/>
              </w:rPr>
              <w:t>“</w:t>
            </w:r>
            <w:r>
              <w:rPr>
                <w:rFonts w:hint="eastAsia" w:ascii="仿宋_GB2312" w:hAnsi="仿宋_GB2312" w:eastAsia="仿宋_GB2312" w:cs="仿宋_GB2312"/>
                <w:b w:val="0"/>
                <w:bCs w:val="0"/>
                <w:snapToGrid w:val="0"/>
                <w:color w:val="auto"/>
                <w:spacing w:val="0"/>
                <w:kern w:val="21"/>
                <w:sz w:val="24"/>
                <w:szCs w:val="24"/>
                <w:highlight w:val="none"/>
                <w:u w:val="none"/>
                <w:shd w:val="clear" w:color="auto" w:fill="auto"/>
                <w:lang w:bidi="ar"/>
              </w:rPr>
              <w:t>掌上办</w:t>
            </w:r>
            <w:r>
              <w:rPr>
                <w:rFonts w:hint="eastAsia" w:ascii="仿宋_GB2312" w:hAnsi="仿宋_GB2312" w:eastAsia="仿宋_GB2312" w:cs="仿宋_GB2312"/>
                <w:b w:val="0"/>
                <w:bCs w:val="0"/>
                <w:snapToGrid w:val="0"/>
                <w:color w:val="auto"/>
                <w:spacing w:val="0"/>
                <w:kern w:val="21"/>
                <w:sz w:val="24"/>
                <w:szCs w:val="24"/>
                <w:highlight w:val="none"/>
                <w:u w:val="none"/>
                <w:shd w:val="clear" w:color="auto" w:fill="auto"/>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；供水报装实现</w:t>
            </w:r>
            <w:r>
              <w:rPr>
                <w:rFonts w:hint="eastAsia" w:ascii="仿宋_GB2312" w:hAnsi="仿宋_GB2312" w:eastAsia="仿宋_GB2312" w:cs="仿宋_GB2312"/>
                <w:b w:val="0"/>
                <w:bCs w:val="0"/>
                <w:snapToGrid w:val="0"/>
                <w:color w:val="auto"/>
                <w:kern w:val="21"/>
                <w:sz w:val="24"/>
                <w:szCs w:val="24"/>
                <w:highlight w:val="none"/>
                <w:u w:val="none"/>
                <w:lang w:eastAsia="zh-CN" w:bidi="ar"/>
              </w:rPr>
              <w:t>零上门、零费用，</w:t>
            </w:r>
            <w:r>
              <w:rPr>
                <w:rFonts w:hint="eastAsia" w:ascii="仿宋_GB2312" w:hAnsi="仿宋_GB2312" w:eastAsia="仿宋_GB2312" w:cs="仿宋_GB2312"/>
                <w:b w:val="0"/>
                <w:bCs w:val="0"/>
                <w:snapToGrid w:val="0"/>
                <w:color w:val="auto"/>
                <w:kern w:val="21"/>
                <w:sz w:val="24"/>
                <w:szCs w:val="24"/>
                <w:highlight w:val="none"/>
                <w:u w:val="none"/>
                <w:lang w:bidi="ar"/>
              </w:rPr>
              <w:t>全流程跟踪等</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管家式</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服务，进一步提升用户服务体验</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财产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探索</w:t>
            </w:r>
            <w:r>
              <w:rPr>
                <w:rFonts w:hint="eastAsia" w:ascii="仿宋_GB2312" w:hAnsi="仿宋_GB2312" w:eastAsia="仿宋_GB2312" w:cs="仿宋_GB2312"/>
                <w:b w:val="0"/>
                <w:bCs w:val="0"/>
                <w:snapToGrid w:val="0"/>
                <w:color w:val="auto"/>
                <w:kern w:val="21"/>
                <w:sz w:val="24"/>
                <w:szCs w:val="24"/>
                <w:highlight w:val="none"/>
                <w:u w:val="none"/>
                <w:lang w:bidi="ar"/>
              </w:rPr>
              <w:t>开展简化不动产非公证继承手续</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trike w:val="0"/>
                <w:dstrike w:val="0"/>
                <w:snapToGrid w:val="0"/>
                <w:color w:val="auto"/>
                <w:kern w:val="21"/>
                <w:sz w:val="24"/>
                <w:szCs w:val="24"/>
                <w:highlight w:val="none"/>
                <w:u w:val="none"/>
                <w:lang w:bidi="ar"/>
              </w:rPr>
              <w:t>探索开展采用承诺制办理不动产非公证继承业务</w:t>
            </w:r>
            <w:r>
              <w:rPr>
                <w:rFonts w:hint="eastAsia" w:ascii="仿宋_GB2312" w:hAnsi="仿宋_GB2312" w:eastAsia="仿宋_GB2312" w:cs="仿宋_GB2312"/>
                <w:b w:val="0"/>
                <w:bCs w:val="0"/>
                <w:strike w:val="0"/>
                <w:dstrike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财产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探索</w:t>
            </w:r>
            <w:r>
              <w:rPr>
                <w:rFonts w:hint="eastAsia" w:ascii="仿宋_GB2312" w:hAnsi="仿宋_GB2312" w:eastAsia="仿宋_GB2312" w:cs="仿宋_GB2312"/>
                <w:b w:val="0"/>
                <w:bCs w:val="0"/>
                <w:snapToGrid w:val="0"/>
                <w:color w:val="auto"/>
                <w:kern w:val="21"/>
                <w:sz w:val="24"/>
                <w:szCs w:val="24"/>
                <w:highlight w:val="none"/>
                <w:u w:val="none"/>
                <w:lang w:bidi="ar"/>
              </w:rPr>
              <w:t>开展简化不动产非公证继承手续</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加强申请人身份验证，将非公证继承不动产登记事项纳入电子签批屏申请</w:t>
            </w:r>
            <w:r>
              <w:rPr>
                <w:rFonts w:hint="eastAsia" w:ascii="仿宋_GB2312" w:hAnsi="仿宋_GB2312" w:eastAsia="仿宋_GB2312" w:cs="仿宋_GB2312"/>
                <w:b w:val="0"/>
                <w:bCs w:val="0"/>
                <w:snapToGrid w:val="0"/>
                <w:color w:val="auto"/>
                <w:kern w:val="21"/>
                <w:sz w:val="24"/>
                <w:szCs w:val="24"/>
                <w:highlight w:val="none"/>
                <w:u w:val="none"/>
                <w:lang w:eastAsia="zh-CN" w:bidi="ar"/>
              </w:rPr>
              <w:t>范围</w:t>
            </w:r>
            <w:r>
              <w:rPr>
                <w:rFonts w:hint="eastAsia" w:ascii="仿宋_GB2312" w:hAnsi="仿宋_GB2312" w:eastAsia="仿宋_GB2312" w:cs="仿宋_GB2312"/>
                <w:b w:val="0"/>
                <w:bCs w:val="0"/>
                <w:snapToGrid w:val="0"/>
                <w:color w:val="auto"/>
                <w:kern w:val="21"/>
                <w:sz w:val="24"/>
                <w:szCs w:val="24"/>
                <w:highlight w:val="none"/>
                <w:u w:val="none"/>
                <w:lang w:bidi="ar"/>
              </w:rPr>
              <w:t>，留存第一顺位继承人的电子签名、指纹、现场影像资料等。登记申请人应承诺提交的申请材料真实有效，因承诺不实给他人造成损失的，承担相应法律责任。</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财产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探索</w:t>
            </w:r>
            <w:r>
              <w:rPr>
                <w:rFonts w:hint="eastAsia" w:ascii="仿宋_GB2312" w:hAnsi="仿宋_GB2312" w:eastAsia="仿宋_GB2312" w:cs="仿宋_GB2312"/>
                <w:b w:val="0"/>
                <w:bCs w:val="0"/>
                <w:snapToGrid w:val="0"/>
                <w:color w:val="auto"/>
                <w:kern w:val="21"/>
                <w:sz w:val="24"/>
                <w:szCs w:val="24"/>
                <w:highlight w:val="none"/>
                <w:u w:val="none"/>
                <w:lang w:bidi="ar"/>
              </w:rPr>
              <w:t>开展简化不动产非公证继承手续</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办理不动产非公证继承手续20个工作日</w:t>
            </w:r>
            <w:r>
              <w:rPr>
                <w:rFonts w:hint="eastAsia" w:ascii="仿宋_GB2312" w:hAnsi="仿宋_GB2312" w:eastAsia="仿宋_GB2312" w:cs="仿宋_GB2312"/>
                <w:b w:val="0"/>
                <w:bCs w:val="0"/>
                <w:snapToGrid w:val="0"/>
                <w:color w:val="auto"/>
                <w:kern w:val="21"/>
                <w:sz w:val="24"/>
                <w:szCs w:val="24"/>
                <w:highlight w:val="none"/>
                <w:u w:val="none"/>
                <w:lang w:eastAsia="zh-CN" w:bidi="ar"/>
              </w:rPr>
              <w:t>内</w:t>
            </w:r>
            <w:r>
              <w:rPr>
                <w:rFonts w:hint="eastAsia" w:ascii="仿宋_GB2312" w:hAnsi="仿宋_GB2312" w:eastAsia="仿宋_GB2312" w:cs="仿宋_GB2312"/>
                <w:b w:val="0"/>
                <w:bCs w:val="0"/>
                <w:snapToGrid w:val="0"/>
                <w:color w:val="auto"/>
                <w:kern w:val="21"/>
                <w:sz w:val="24"/>
                <w:szCs w:val="24"/>
                <w:highlight w:val="none"/>
                <w:u w:val="none"/>
                <w:lang w:bidi="ar"/>
              </w:rPr>
              <w:t>办结（</w:t>
            </w:r>
            <w:r>
              <w:rPr>
                <w:rFonts w:hint="eastAsia" w:ascii="仿宋_GB2312" w:hAnsi="仿宋_GB2312" w:eastAsia="仿宋_GB2312" w:cs="仿宋_GB2312"/>
                <w:b w:val="0"/>
                <w:bCs w:val="0"/>
                <w:snapToGrid w:val="0"/>
                <w:color w:val="auto"/>
                <w:kern w:val="21"/>
                <w:sz w:val="24"/>
                <w:szCs w:val="24"/>
                <w:highlight w:val="none"/>
                <w:u w:val="none"/>
                <w:lang w:eastAsia="zh-CN" w:bidi="ar"/>
              </w:rPr>
              <w:t>不含</w:t>
            </w:r>
            <w:r>
              <w:rPr>
                <w:rFonts w:hint="eastAsia" w:ascii="仿宋_GB2312" w:hAnsi="仿宋_GB2312" w:eastAsia="仿宋_GB2312" w:cs="仿宋_GB2312"/>
                <w:b w:val="0"/>
                <w:bCs w:val="0"/>
                <w:snapToGrid w:val="0"/>
                <w:color w:val="auto"/>
                <w:kern w:val="21"/>
                <w:sz w:val="24"/>
                <w:szCs w:val="24"/>
                <w:highlight w:val="none"/>
                <w:u w:val="none"/>
                <w:lang w:bidi="ar"/>
              </w:rPr>
              <w:t>公告、问询、办理房改上市、土地划拨转出让手续等时间）；办理环节不超过5个。</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财产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探索</w:t>
            </w:r>
            <w:r>
              <w:rPr>
                <w:rFonts w:hint="eastAsia" w:ascii="仿宋_GB2312" w:hAnsi="仿宋_GB2312" w:eastAsia="仿宋_GB2312" w:cs="仿宋_GB2312"/>
                <w:b w:val="0"/>
                <w:bCs w:val="0"/>
                <w:snapToGrid w:val="0"/>
                <w:color w:val="auto"/>
                <w:kern w:val="21"/>
                <w:sz w:val="24"/>
                <w:szCs w:val="24"/>
                <w:highlight w:val="none"/>
                <w:u w:val="none"/>
                <w:lang w:bidi="ar"/>
              </w:rPr>
              <w:t>推行办理不动产登记涉及的政务信息共享和核验</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推动不动产登记信息共享集成和系统功能调整，实现基础数据实时共享，优化改进不动产登记流程，推动户籍人口信息、死亡证明信息、法律文书及律师身份信息在线核验。</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r>
              <w:rPr>
                <w:rFonts w:hint="eastAsia" w:ascii="仿宋_GB2312" w:hAnsi="仿宋_GB2312" w:eastAsia="仿宋_GB2312" w:cs="仿宋_GB2312"/>
                <w:b w:val="0"/>
                <w:bCs w:val="0"/>
                <w:snapToGrid w:val="0"/>
                <w:color w:val="auto"/>
                <w:kern w:val="21"/>
                <w:sz w:val="24"/>
                <w:szCs w:val="24"/>
                <w:highlight w:val="none"/>
                <w:u w:val="none"/>
                <w:lang w:bidi="ar"/>
              </w:rPr>
              <w:t>、公安</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、司法</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财产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提升不动产登记效率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推进全业务类型</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互联网+不动产登记</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，对个人存量房交易开放代开增值税电子普通发票功能，存量房交易实现不动产登记、税务缴交一窗式受理。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r>
              <w:rPr>
                <w:rFonts w:hint="eastAsia" w:ascii="仿宋_GB2312" w:hAnsi="仿宋_GB2312" w:eastAsia="仿宋_GB2312" w:cs="仿宋_GB2312"/>
                <w:b w:val="0"/>
                <w:bCs w:val="0"/>
                <w:snapToGrid w:val="0"/>
                <w:color w:val="auto"/>
                <w:kern w:val="21"/>
                <w:sz w:val="24"/>
                <w:szCs w:val="24"/>
                <w:highlight w:val="none"/>
                <w:u w:val="none"/>
                <w:lang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、公安</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、民政</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财产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提升登记财产便利度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加强不动产抵押贷款和登记业务协同，推行</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交房即领证</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模式。全面推广新建商品房项目</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交房即交证</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，实施招标拍卖挂牌出让国有建设用地</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交地即交证</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，受让方缴清土地出让金及契税即可拿证。</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财政局、</w:t>
            </w:r>
            <w:r>
              <w:rPr>
                <w:rFonts w:hint="eastAsia" w:ascii="仿宋_GB2312" w:hAnsi="仿宋_GB2312" w:eastAsia="仿宋_GB2312" w:cs="仿宋_GB2312"/>
                <w:b w:val="0"/>
                <w:bCs w:val="0"/>
                <w:snapToGrid w:val="0"/>
                <w:color w:val="auto"/>
                <w:kern w:val="21"/>
                <w:sz w:val="24"/>
                <w:szCs w:val="24"/>
                <w:highlight w:val="none"/>
                <w:u w:val="none"/>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86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登记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财产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完善动产和权利担保统一登记制度</w:t>
            </w:r>
          </w:p>
        </w:tc>
        <w:tc>
          <w:tcPr>
            <w:tcW w:w="4528" w:type="dxa"/>
            <w:tcBorders>
              <w:tl2br w:val="nil"/>
              <w:tr2bl w:val="nil"/>
            </w:tcBorders>
            <w:tcMar>
              <w:top w:w="28" w:type="dxa"/>
              <w:left w:w="57" w:type="dxa"/>
              <w:bottom w:w="28" w:type="dxa"/>
              <w:right w:w="57" w:type="dxa"/>
            </w:tcMar>
            <w:vAlign w:val="center"/>
          </w:tcPr>
          <w:p>
            <w:pPr>
              <w:keepNext w:val="0"/>
              <w:keepLines w:val="0"/>
              <w:widowControl/>
              <w:suppressLineNumbers w:val="0"/>
              <w:jc w:val="left"/>
              <w:rPr>
                <w:rFonts w:hint="default"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用好动产和权力担保统一登记平台，完善以担保人名称为索引的机动车担保登记电子数据库，</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 xml:space="preserve">充分发挥中国人民银行征信中 </w:t>
            </w:r>
          </w:p>
          <w:p>
            <w:pPr>
              <w:keepNext w:val="0"/>
              <w:keepLines w:val="0"/>
              <w:widowControl/>
              <w:suppressLineNumbers w:val="0"/>
              <w:jc w:val="left"/>
              <w:rPr>
                <w:rFonts w:hint="eastAsia" w:ascii="仿宋_GB2312" w:hAnsi="仿宋_GB2312" w:eastAsia="仿宋_GB2312" w:cs="仿宋_GB2312"/>
                <w:b w:val="0"/>
                <w:bCs w:val="0"/>
                <w:snapToGrid w:val="0"/>
                <w:color w:val="auto"/>
                <w:kern w:val="21"/>
                <w:sz w:val="24"/>
                <w:szCs w:val="24"/>
                <w:highlight w:val="none"/>
                <w:u w:val="none"/>
                <w:lang w:bidi="ar"/>
              </w:rPr>
            </w:pPr>
            <w:r>
              <w:rPr>
                <w:rFonts w:hint="default" w:ascii="仿宋_GB2312" w:hAnsi="仿宋_GB2312" w:eastAsia="仿宋_GB2312" w:cs="仿宋_GB2312"/>
                <w:b w:val="0"/>
                <w:bCs w:val="0"/>
                <w:snapToGrid w:val="0"/>
                <w:color w:val="auto"/>
                <w:kern w:val="21"/>
                <w:sz w:val="24"/>
                <w:szCs w:val="24"/>
                <w:highlight w:val="none"/>
                <w:u w:val="none"/>
                <w:lang w:val="en-US" w:eastAsia="zh-CN" w:bidi="ar"/>
              </w:rPr>
              <w:t>心动产融资统一登记公示系统作用</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提高企业动产和权利担保融资便利度。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人民银行柳城县支行、市场监管局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桂惠贷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产品创新和服务创新，更好满足市场主体个性化、差异化融资需求，促进中小微企业融资持续增量、扩面、降价。</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配合柳州市完成</w:t>
            </w:r>
            <w:r>
              <w:rPr>
                <w:rFonts w:hint="eastAsia" w:ascii="仿宋_GB2312" w:hAnsi="仿宋_GB2312" w:eastAsia="仿宋_GB2312" w:cs="仿宋_GB2312"/>
                <w:b w:val="0"/>
                <w:bCs w:val="0"/>
                <w:snapToGrid w:val="0"/>
                <w:color w:val="auto"/>
                <w:kern w:val="21"/>
                <w:sz w:val="24"/>
                <w:szCs w:val="24"/>
                <w:highlight w:val="none"/>
                <w:u w:val="none"/>
                <w:lang w:bidi="ar"/>
              </w:rPr>
              <w:t>2022年投放</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桂惠贷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390</w:t>
            </w:r>
            <w:r>
              <w:rPr>
                <w:rFonts w:hint="eastAsia" w:ascii="仿宋_GB2312" w:hAnsi="仿宋_GB2312" w:eastAsia="仿宋_GB2312" w:cs="仿宋_GB2312"/>
                <w:b w:val="0"/>
                <w:bCs w:val="0"/>
                <w:snapToGrid w:val="0"/>
                <w:color w:val="auto"/>
                <w:kern w:val="21"/>
                <w:sz w:val="24"/>
                <w:szCs w:val="24"/>
                <w:highlight w:val="none"/>
                <w:u w:val="none"/>
                <w:lang w:bidi="ar"/>
              </w:rPr>
              <w:t>亿元，惠及市场主体</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万户。</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县财政局，人民银行柳城县支行</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持续巩固拓展“银税互动”普惠成效，为全县守信企业提供免抵押、快捷贷的金融服务，配合柳州市完成</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2022年“银税互动”贷款投放达到145亿元。</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w:t>
            </w:r>
            <w:r>
              <w:rPr>
                <w:rFonts w:hint="eastAsia" w:ascii="仿宋_GB2312" w:hAnsi="仿宋_GB2312" w:eastAsia="仿宋_GB2312" w:cs="仿宋_GB2312"/>
                <w:b w:val="0"/>
                <w:bCs w:val="0"/>
                <w:snapToGrid w:val="0"/>
                <w:color w:val="auto"/>
                <w:kern w:val="21"/>
                <w:sz w:val="24"/>
                <w:szCs w:val="24"/>
                <w:highlight w:val="none"/>
                <w:u w:val="none"/>
                <w:lang w:bidi="ar"/>
              </w:rPr>
              <w:t>月3</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89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强化融资担保增信，优化政府性融资担保体系，</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将单户担保金额1000万元以下（含1000万元）的小微企业年化担保费率（含再担保费）降至1%以下、单户担保金额1000万元至2000万元（含2000万元）的小微企业年化担保费率（含再担保费）降至1.5%以下。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提升要素供给质效。扩大政策性金融产品在中小微企业中的覆盖面，按规定将普惠小微企业贷款延期支持工具转换为普惠小微贷款支持工具，加大再贷款再贴现支持普惠金融力度。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提升中小微企业金融服务能力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构建小微企业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首贷户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培育长效机制，推动无贷户向首贷户转化。加大中小微企业贷款风险补偿力度，实行差别化利率上浮标准和梯级补偿制度。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依托中小微企业金融服务平台建设全区供应链金融服务中心，组织供应链核心企业入驻中心，配合金融机构完成应收账款确权等工作，支持上下游中小企业融资。引导银行机构依据供应链和行业企业特性提供融资顾问服务，制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一链一策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金融服务方案，设立绿色审批通道。鼓励银行机构对符合条件的电商客户发放流动性资金贷款。</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鼓励金融机构加强信用贷款产品创新，进一步开发适合小微企业和个体工商户的信用贷款产品，探索</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政采贷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信易贷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银税贷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科技贷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等多种类贷款产品。</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科技工贸信息化局、</w:t>
            </w:r>
            <w:r>
              <w:rPr>
                <w:rFonts w:hint="eastAsia" w:ascii="仿宋_GB2312" w:hAnsi="仿宋_GB2312" w:eastAsia="仿宋_GB2312" w:cs="仿宋_GB2312"/>
                <w:b w:val="0"/>
                <w:bCs w:val="0"/>
                <w:snapToGrid w:val="0"/>
                <w:color w:val="auto"/>
                <w:kern w:val="21"/>
                <w:sz w:val="24"/>
                <w:szCs w:val="24"/>
                <w:highlight w:val="none"/>
                <w:u w:val="none"/>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充分发挥专项转贷资金作用，积极争取自治区专项转贷奖补资金，满足全</w:t>
            </w: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小微企业过桥融资需求，切实降低小微企业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过桥</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融资成本，帮助小微企业按期还贷、顺利续贷，不断提升金融服务实体经济能力。</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确保小微企业信用贷款余额比</w:t>
            </w:r>
            <w:r>
              <w:rPr>
                <w:rFonts w:hint="eastAsia" w:ascii="仿宋_GB2312" w:hAnsi="仿宋_GB2312" w:eastAsia="仿宋_GB2312" w:cs="仿宋_GB2312"/>
                <w:b w:val="0"/>
                <w:bCs w:val="0"/>
                <w:snapToGrid w:val="0"/>
                <w:color w:val="auto"/>
                <w:kern w:val="21"/>
                <w:sz w:val="24"/>
                <w:szCs w:val="24"/>
                <w:highlight w:val="none"/>
                <w:u w:val="none"/>
                <w:lang w:eastAsia="zh-CN" w:bidi="ar"/>
              </w:rPr>
              <w:t>2</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021</w:t>
            </w:r>
            <w:r>
              <w:rPr>
                <w:rFonts w:hint="eastAsia" w:ascii="仿宋_GB2312" w:hAnsi="仿宋_GB2312" w:eastAsia="仿宋_GB2312" w:cs="仿宋_GB2312"/>
                <w:b w:val="0"/>
                <w:bCs w:val="0"/>
                <w:snapToGrid w:val="0"/>
                <w:color w:val="auto"/>
                <w:kern w:val="21"/>
                <w:sz w:val="24"/>
                <w:szCs w:val="24"/>
                <w:highlight w:val="none"/>
                <w:u w:val="none"/>
                <w:lang w:bidi="ar"/>
              </w:rPr>
              <w:t>年同期水平进一步提高。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配合自治区、柳州市加快“桂惠通”与“桂信融”“信易贷”等融资平台互联互通；</w:t>
            </w:r>
            <w:r>
              <w:rPr>
                <w:rFonts w:hint="eastAsia" w:ascii="仿宋_GB2312" w:hAnsi="仿宋_GB2312" w:eastAsia="仿宋_GB2312" w:cs="仿宋_GB2312"/>
                <w:snapToGrid w:val="0"/>
                <w:color w:val="auto"/>
                <w:kern w:val="21"/>
                <w:sz w:val="24"/>
                <w:szCs w:val="24"/>
                <w:highlight w:val="none"/>
                <w:lang w:bidi="ar"/>
              </w:rPr>
              <w:t>探索依法依规向金融机构开放财政、社保、住房公积金、税务、海关、用水用电用气等公共数据及各类信用信息</w:t>
            </w:r>
            <w:r>
              <w:rPr>
                <w:rFonts w:hint="eastAsia" w:ascii="仿宋_GB2312" w:hAnsi="仿宋_GB2312" w:eastAsia="仿宋_GB2312" w:cs="仿宋_GB2312"/>
                <w:b w:val="0"/>
                <w:bCs w:val="0"/>
                <w:snapToGrid w:val="0"/>
                <w:color w:val="auto"/>
                <w:kern w:val="21"/>
                <w:sz w:val="24"/>
                <w:szCs w:val="24"/>
                <w:highlight w:val="none"/>
                <w:u w:val="none"/>
                <w:lang w:bidi="ar"/>
              </w:rPr>
              <w:t>，提高中小企业融资服务效率。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科技工贸信息化局、税务局，柳城海事处，人民银行柳城县支行</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柳州银保监分局柳城监管组，柳州柳城供电局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3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完善政银风险分担机制。贯彻落实自治区关于融资担保机构风险补偿等政策，对为小微企业生产经营性贷款提供信用支持的融资担保机构按一定比例给予补贴和降费奖补，为中小微企业融资增信提供支持。</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柳州银保监分局柳城监管组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推动金融创新高效配置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实施企业上市专项行动，支持创新能力强和发展潜力大的企业上市（挂牌），</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全年上市（挂牌）后备库企业培育数量保持</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32</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家，力争新增辅导备案企业</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99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提升普惠金融服务能力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执行普惠小微企业贷款不良率不高于各项贷款不良率3个百分点以内的监管容忍度标准。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提高信贷质量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根据经济发展需要，调控好社会融资规模占</w:t>
            </w:r>
            <w:r>
              <w:rPr>
                <w:rFonts w:hint="eastAsia" w:ascii="仿宋_GB2312" w:hAnsi="仿宋_GB2312" w:eastAsia="仿宋_GB2312" w:cs="仿宋_GB2312"/>
                <w:b w:val="0"/>
                <w:bCs w:val="0"/>
                <w:snapToGrid w:val="0"/>
                <w:color w:val="auto"/>
                <w:kern w:val="21"/>
                <w:sz w:val="24"/>
                <w:szCs w:val="24"/>
                <w:highlight w:val="none"/>
                <w:u w:val="none"/>
                <w:lang w:eastAsia="zh-CN" w:bidi="ar"/>
              </w:rPr>
              <w:t>地区生产总值（</w:t>
            </w:r>
            <w:r>
              <w:rPr>
                <w:rFonts w:hint="eastAsia" w:ascii="仿宋_GB2312" w:hAnsi="仿宋_GB2312" w:eastAsia="仿宋_GB2312" w:cs="仿宋_GB2312"/>
                <w:b w:val="0"/>
                <w:bCs w:val="0"/>
                <w:snapToGrid w:val="0"/>
                <w:color w:val="auto"/>
                <w:kern w:val="21"/>
                <w:sz w:val="24"/>
                <w:szCs w:val="24"/>
                <w:highlight w:val="none"/>
                <w:u w:val="none"/>
                <w:lang w:bidi="ar"/>
              </w:rPr>
              <w:t>GDP</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比例。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县财政局，柳州银保监分局柳城监管组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获得</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信贷</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加强银行业金融机构监管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督促银行业金融机构严格执行“七不准、四公开”和小微企业“两禁两限”要求。</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保护中小投资者</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健全完善中小投资者保护机制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推动上市公司强化信息披露、完善公司治理、落实董事责任、提升财务信息质量、畅通股东沟通。加大对</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关键少数</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行为规范和履职尽责情况的监督检查，切实提高中小投资者保护质量。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保护中小投资者</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强化合法权益保护机制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健全中小投资者赔偿机制，畅通投资者维权渠道，严格落实立案登记制，大力推行网上立案、跨域立案，不断完善综合性服务平台。平等保护投资者合法权益，妥善审理中小投资者维护自身权益的案件，建立健全金融矛盾纠纷多元化解机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县财政局，柳州银保监分局柳城监管组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健全知识产权维权援助体系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加强对产业聚集区等重点区域的维权援助服务，持续推进科技型中小企业、专精特新企业、瞪羚企业、知识产权示范</w:t>
            </w:r>
            <w:r>
              <w:rPr>
                <w:rFonts w:hint="eastAsia" w:ascii="仿宋_GB2312" w:hAnsi="仿宋_GB2312" w:eastAsia="仿宋_GB2312" w:cs="仿宋_GB2312"/>
                <w:b w:val="0"/>
                <w:bCs w:val="0"/>
                <w:snapToGrid w:val="0"/>
                <w:color w:val="auto"/>
                <w:kern w:val="21"/>
                <w:sz w:val="24"/>
                <w:szCs w:val="24"/>
                <w:highlight w:val="none"/>
                <w:u w:val="none"/>
                <w:lang w:eastAsia="zh-CN" w:bidi="ar"/>
              </w:rPr>
              <w:t>企业、知识产权</w:t>
            </w:r>
            <w:r>
              <w:rPr>
                <w:rFonts w:hint="eastAsia" w:ascii="仿宋_GB2312" w:hAnsi="仿宋_GB2312" w:eastAsia="仿宋_GB2312" w:cs="仿宋_GB2312"/>
                <w:b w:val="0"/>
                <w:bCs w:val="0"/>
                <w:snapToGrid w:val="0"/>
                <w:color w:val="auto"/>
                <w:kern w:val="21"/>
                <w:sz w:val="24"/>
                <w:szCs w:val="24"/>
                <w:highlight w:val="none"/>
                <w:u w:val="none"/>
                <w:lang w:bidi="ar"/>
              </w:rPr>
              <w:t>优势</w:t>
            </w:r>
            <w:r>
              <w:rPr>
                <w:rFonts w:hint="eastAsia" w:ascii="仿宋_GB2312" w:hAnsi="仿宋_GB2312" w:eastAsia="仿宋_GB2312" w:cs="仿宋_GB2312"/>
                <w:b w:val="0"/>
                <w:bCs w:val="0"/>
                <w:snapToGrid w:val="0"/>
                <w:color w:val="auto"/>
                <w:kern w:val="21"/>
                <w:sz w:val="24"/>
                <w:szCs w:val="24"/>
                <w:highlight w:val="none"/>
                <w:u w:val="none"/>
                <w:lang w:eastAsia="zh-CN" w:bidi="ar"/>
              </w:rPr>
              <w:t>企业</w:t>
            </w:r>
            <w:r>
              <w:rPr>
                <w:rFonts w:hint="eastAsia" w:ascii="仿宋_GB2312" w:hAnsi="仿宋_GB2312" w:eastAsia="仿宋_GB2312" w:cs="仿宋_GB2312"/>
                <w:b w:val="0"/>
                <w:bCs w:val="0"/>
                <w:snapToGrid w:val="0"/>
                <w:color w:val="auto"/>
                <w:kern w:val="21"/>
                <w:sz w:val="24"/>
                <w:szCs w:val="24"/>
                <w:highlight w:val="none"/>
                <w:u w:val="none"/>
                <w:lang w:bidi="ar"/>
              </w:rPr>
              <w:t>及培育</w:t>
            </w:r>
            <w:r>
              <w:rPr>
                <w:rFonts w:hint="eastAsia" w:ascii="仿宋_GB2312" w:hAnsi="仿宋_GB2312" w:eastAsia="仿宋_GB2312" w:cs="仿宋_GB2312"/>
                <w:b w:val="0"/>
                <w:bCs w:val="0"/>
                <w:snapToGrid w:val="0"/>
                <w:color w:val="auto"/>
                <w:kern w:val="21"/>
                <w:sz w:val="24"/>
                <w:szCs w:val="24"/>
                <w:highlight w:val="none"/>
                <w:u w:val="none"/>
                <w:lang w:eastAsia="zh-CN" w:bidi="ar"/>
              </w:rPr>
              <w:t>单位</w:t>
            </w:r>
            <w:r>
              <w:rPr>
                <w:rFonts w:hint="eastAsia" w:ascii="仿宋_GB2312" w:hAnsi="仿宋_GB2312" w:eastAsia="仿宋_GB2312" w:cs="仿宋_GB2312"/>
                <w:b w:val="0"/>
                <w:bCs w:val="0"/>
                <w:snapToGrid w:val="0"/>
                <w:color w:val="auto"/>
                <w:kern w:val="21"/>
                <w:sz w:val="24"/>
                <w:szCs w:val="24"/>
                <w:highlight w:val="none"/>
                <w:u w:val="none"/>
                <w:lang w:bidi="ar"/>
              </w:rPr>
              <w:t>等重点企业知识产权保护直通车服务。2022年知识产权保护直通车入库重点企业增长20%以上；服务企业家次比上年增长10%，其中服务重点企业比重</w:t>
            </w:r>
            <w:r>
              <w:rPr>
                <w:rFonts w:hint="eastAsia" w:ascii="仿宋_GB2312" w:hAnsi="仿宋_GB2312" w:eastAsia="仿宋_GB2312" w:cs="仿宋_GB2312"/>
                <w:b w:val="0"/>
                <w:bCs w:val="0"/>
                <w:snapToGrid w:val="0"/>
                <w:color w:val="auto"/>
                <w:kern w:val="21"/>
                <w:sz w:val="24"/>
                <w:szCs w:val="24"/>
                <w:highlight w:val="none"/>
                <w:u w:val="none"/>
                <w:lang w:eastAsia="zh-CN" w:bidi="ar"/>
              </w:rPr>
              <w:t>达到</w:t>
            </w:r>
            <w:r>
              <w:rPr>
                <w:rFonts w:hint="eastAsia" w:ascii="仿宋_GB2312" w:hAnsi="仿宋_GB2312" w:eastAsia="仿宋_GB2312" w:cs="仿宋_GB2312"/>
                <w:b w:val="0"/>
                <w:bCs w:val="0"/>
                <w:snapToGrid w:val="0"/>
                <w:color w:val="auto"/>
                <w:kern w:val="21"/>
                <w:sz w:val="24"/>
                <w:szCs w:val="24"/>
                <w:highlight w:val="none"/>
                <w:u w:val="none"/>
                <w:lang w:bidi="ar"/>
              </w:rPr>
              <w:t>70%以上。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培育知识产权优势企业</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指导</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w:t>
            </w:r>
            <w:r>
              <w:rPr>
                <w:rFonts w:hint="eastAsia" w:ascii="仿宋_GB2312" w:hAnsi="仿宋_GB2312" w:eastAsia="仿宋_GB2312" w:cs="仿宋_GB2312"/>
                <w:b w:val="0"/>
                <w:bCs w:val="0"/>
                <w:snapToGrid w:val="0"/>
                <w:color w:val="auto"/>
                <w:kern w:val="21"/>
                <w:sz w:val="24"/>
                <w:szCs w:val="24"/>
                <w:highlight w:val="none"/>
                <w:u w:val="none"/>
                <w:lang w:bidi="ar"/>
              </w:rPr>
              <w:t>家企业参评自治区知识产权优势企业和优势企业培育单位认定。</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支持广西商标品牌海外布局</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新增2个企业品牌国际运用和管理人才培训基地。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加强知识产权保护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color w:val="auto"/>
                <w:kern w:val="21"/>
                <w:sz w:val="24"/>
                <w:szCs w:val="24"/>
                <w:highlight w:val="none"/>
                <w:u w:val="none"/>
                <w:lang w:val="en-US" w:eastAsia="zh-CN" w:bidi="ar"/>
              </w:rPr>
              <w:t>参照自治区知识产权维权援助工作规范标准，配合柳州市制定知识产权维权援助工作规范，加强跨县（区）、跨部门协同执法，依法保护知识产权权利人和相关权利人的合法权益。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加强知识产权质押融资工作对接，持续扩大知识产权质押融资规模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推广知识产权质押融资，</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配合自治区、柳州市</w:t>
            </w:r>
            <w:r>
              <w:rPr>
                <w:rFonts w:hint="eastAsia" w:ascii="仿宋_GB2312" w:hAnsi="仿宋_GB2312" w:eastAsia="仿宋_GB2312" w:cs="仿宋_GB2312"/>
                <w:b w:val="0"/>
                <w:bCs w:val="0"/>
                <w:snapToGrid w:val="0"/>
                <w:color w:val="auto"/>
                <w:kern w:val="21"/>
                <w:sz w:val="24"/>
                <w:szCs w:val="24"/>
                <w:highlight w:val="none"/>
                <w:u w:val="none"/>
                <w:lang w:bidi="ar"/>
              </w:rPr>
              <w:t>将广西知识产权白名单企业列入</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桂惠贷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支持范围，</w:t>
            </w:r>
            <w:r>
              <w:rPr>
                <w:rFonts w:hint="eastAsia" w:ascii="仿宋_GB2312" w:hAnsi="仿宋_GB2312" w:eastAsia="仿宋_GB2312" w:cs="仿宋_GB2312"/>
                <w:b w:val="0"/>
                <w:bCs w:val="0"/>
                <w:snapToGrid w:val="0"/>
                <w:color w:val="auto"/>
                <w:kern w:val="21"/>
                <w:sz w:val="24"/>
                <w:szCs w:val="24"/>
                <w:highlight w:val="none"/>
                <w:u w:val="none"/>
                <w:lang w:eastAsia="zh-CN" w:bidi="ar"/>
              </w:rPr>
              <w:t>力争</w:t>
            </w:r>
            <w:r>
              <w:rPr>
                <w:rFonts w:hint="eastAsia" w:ascii="仿宋_GB2312" w:hAnsi="仿宋_GB2312" w:eastAsia="仿宋_GB2312" w:cs="仿宋_GB2312"/>
                <w:b w:val="0"/>
                <w:bCs w:val="0"/>
                <w:snapToGrid w:val="0"/>
                <w:color w:val="auto"/>
                <w:kern w:val="21"/>
                <w:sz w:val="24"/>
                <w:szCs w:val="24"/>
                <w:highlight w:val="none"/>
                <w:u w:val="none"/>
                <w:lang w:bidi="ar"/>
              </w:rPr>
              <w:t>2022年知识产权质押融资金额</w:t>
            </w:r>
            <w:r>
              <w:rPr>
                <w:rFonts w:hint="eastAsia" w:ascii="仿宋_GB2312" w:hAnsi="仿宋_GB2312" w:eastAsia="仿宋_GB2312" w:cs="仿宋_GB2312"/>
                <w:b w:val="0"/>
                <w:bCs w:val="0"/>
                <w:snapToGrid w:val="0"/>
                <w:color w:val="auto"/>
                <w:kern w:val="21"/>
                <w:sz w:val="24"/>
                <w:szCs w:val="24"/>
                <w:highlight w:val="none"/>
                <w:u w:val="none"/>
                <w:lang w:eastAsia="zh-CN" w:bidi="ar"/>
              </w:rPr>
              <w:t>高于</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2021年</w:t>
            </w:r>
            <w:r>
              <w:rPr>
                <w:rFonts w:hint="eastAsia" w:ascii="仿宋_GB2312" w:hAnsi="仿宋_GB2312" w:eastAsia="仿宋_GB2312" w:cs="仿宋_GB2312"/>
                <w:b w:val="0"/>
                <w:bCs w:val="0"/>
                <w:snapToGrid w:val="0"/>
                <w:color w:val="auto"/>
                <w:kern w:val="21"/>
                <w:sz w:val="24"/>
                <w:szCs w:val="24"/>
                <w:highlight w:val="none"/>
                <w:u w:val="none"/>
                <w:lang w:eastAsia="zh-CN" w:bidi="ar"/>
              </w:rPr>
              <w:t>水平</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w:t>
            </w:r>
            <w:r>
              <w:rPr>
                <w:rFonts w:hint="eastAsia" w:ascii="仿宋_GB2312" w:hAnsi="仿宋_GB2312" w:eastAsia="仿宋_GB2312" w:cs="仿宋_GB2312"/>
                <w:b w:val="0"/>
                <w:bCs w:val="0"/>
                <w:snapToGrid w:val="0"/>
                <w:color w:val="auto"/>
                <w:kern w:val="21"/>
                <w:sz w:val="24"/>
                <w:szCs w:val="24"/>
                <w:highlight w:val="none"/>
                <w:u w:val="none"/>
                <w:lang w:bidi="ar"/>
              </w:rPr>
              <w:t>月3</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县财政局、市场监管局，柳州银保监分局柳城监管组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加大知识产权司法保护力度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严厉打击知识产权领域违法犯罪行为。全面推进全区知识产权民事、刑事</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行政</w:t>
            </w:r>
            <w:r>
              <w:rPr>
                <w:rFonts w:hint="eastAsia" w:ascii="仿宋_GB2312" w:hAnsi="仿宋_GB2312" w:eastAsia="仿宋_GB2312" w:cs="仿宋_GB2312"/>
                <w:b w:val="0"/>
                <w:bCs w:val="0"/>
                <w:snapToGrid w:val="0"/>
                <w:color w:val="auto"/>
                <w:kern w:val="21"/>
                <w:sz w:val="24"/>
                <w:szCs w:val="24"/>
                <w:highlight w:val="none"/>
                <w:u w:val="none"/>
                <w:lang w:eastAsia="zh-CN" w:bidi="ar"/>
              </w:rPr>
              <w:t>案件“</w:t>
            </w:r>
            <w:r>
              <w:rPr>
                <w:rFonts w:hint="eastAsia" w:ascii="仿宋_GB2312" w:hAnsi="仿宋_GB2312" w:eastAsia="仿宋_GB2312" w:cs="仿宋_GB2312"/>
                <w:b w:val="0"/>
                <w:bCs w:val="0"/>
                <w:snapToGrid w:val="0"/>
                <w:color w:val="auto"/>
                <w:kern w:val="21"/>
                <w:sz w:val="24"/>
                <w:szCs w:val="24"/>
                <w:highlight w:val="none"/>
                <w:u w:val="none"/>
                <w:lang w:bidi="ar"/>
              </w:rPr>
              <w:t>三合一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审判</w:t>
            </w:r>
            <w:r>
              <w:rPr>
                <w:rFonts w:hint="eastAsia" w:ascii="仿宋_GB2312" w:hAnsi="仿宋_GB2312" w:eastAsia="仿宋_GB2312" w:cs="仿宋_GB2312"/>
                <w:b w:val="0"/>
                <w:bCs w:val="0"/>
                <w:snapToGrid w:val="0"/>
                <w:color w:val="auto"/>
                <w:kern w:val="21"/>
                <w:sz w:val="24"/>
                <w:szCs w:val="24"/>
                <w:highlight w:val="none"/>
                <w:u w:val="none"/>
                <w:lang w:eastAsia="zh-CN" w:bidi="ar"/>
              </w:rPr>
              <w:t>机制</w:t>
            </w:r>
            <w:r>
              <w:rPr>
                <w:rFonts w:hint="eastAsia" w:ascii="仿宋_GB2312" w:hAnsi="仿宋_GB2312" w:eastAsia="仿宋_GB2312" w:cs="仿宋_GB2312"/>
                <w:b w:val="0"/>
                <w:bCs w:val="0"/>
                <w:snapToGrid w:val="0"/>
                <w:color w:val="auto"/>
                <w:kern w:val="21"/>
                <w:sz w:val="24"/>
                <w:szCs w:val="24"/>
                <w:highlight w:val="none"/>
                <w:u w:val="none"/>
                <w:lang w:bidi="ar"/>
              </w:rPr>
              <w:t>落实落地。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r>
              <w:rPr>
                <w:rFonts w:hint="eastAsia" w:ascii="仿宋_GB2312" w:hAnsi="仿宋_GB2312" w:eastAsia="仿宋_GB2312" w:cs="仿宋_GB2312"/>
                <w:b w:val="0"/>
                <w:bCs w:val="0"/>
                <w:snapToGrid w:val="0"/>
                <w:color w:val="auto"/>
                <w:kern w:val="21"/>
                <w:sz w:val="24"/>
                <w:szCs w:val="24"/>
                <w:highlight w:val="none"/>
                <w:u w:val="none"/>
                <w:lang w:bidi="ar"/>
              </w:rPr>
              <w:t>、检察院，</w:t>
            </w:r>
            <w:r>
              <w:rPr>
                <w:rFonts w:hint="eastAsia" w:ascii="仿宋_GB2312" w:hAnsi="仿宋_GB2312" w:eastAsia="仿宋_GB2312" w:cs="仿宋_GB2312"/>
                <w:b w:val="0"/>
                <w:bCs w:val="0"/>
                <w:snapToGrid w:val="0"/>
                <w:color w:val="auto"/>
                <w:kern w:val="21"/>
                <w:sz w:val="24"/>
                <w:szCs w:val="24"/>
                <w:highlight w:val="none"/>
                <w:u w:val="none"/>
                <w:lang w:eastAsia="zh-CN" w:bidi="ar"/>
              </w:rPr>
              <w:t>县公安局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健全知识产权多元化纠纷解决机制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default" w:ascii="仿宋_GB2312" w:hAnsi="仿宋_GB2312" w:eastAsia="仿宋_GB2312" w:cs="仿宋_GB2312"/>
                <w:b w:val="0"/>
                <w:bCs w:val="0"/>
                <w:snapToGrid w:val="0"/>
                <w:color w:val="auto"/>
                <w:kern w:val="21"/>
                <w:sz w:val="24"/>
                <w:szCs w:val="24"/>
                <w:highlight w:val="none"/>
                <w:u w:val="none"/>
                <w:lang w:bidi="ar"/>
              </w:rPr>
              <w:t>举办诉调对接线上调解业务培训班，指导调解组织和调解员入驻法院人民调解平台开展调解工作，健全知识产权纠纷在线诉调对接机制，推荐第二批调解组织和调解员入驻法院人民调解平台。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default" w:ascii="仿宋_GB2312" w:hAnsi="仿宋_GB2312" w:eastAsia="仿宋_GB2312" w:cs="仿宋_GB2312"/>
                <w:b w:val="0"/>
                <w:bCs w:val="0"/>
                <w:snapToGrid w:val="0"/>
                <w:color w:val="auto"/>
                <w:kern w:val="21"/>
                <w:sz w:val="24"/>
                <w:szCs w:val="24"/>
                <w:highlight w:val="none"/>
                <w:u w:val="none"/>
                <w:lang w:eastAsia="zh-CN" w:bidi="ar"/>
              </w:rPr>
              <w:t>人民</w:t>
            </w:r>
            <w:r>
              <w:rPr>
                <w:rFonts w:hint="default" w:ascii="仿宋_GB2312" w:hAnsi="仿宋_GB2312" w:eastAsia="仿宋_GB2312" w:cs="仿宋_GB2312"/>
                <w:b w:val="0"/>
                <w:bCs w:val="0"/>
                <w:snapToGrid w:val="0"/>
                <w:color w:val="auto"/>
                <w:kern w:val="21"/>
                <w:sz w:val="24"/>
                <w:szCs w:val="24"/>
                <w:highlight w:val="none"/>
                <w:u w:val="none"/>
                <w:lang w:bidi="ar"/>
              </w:rPr>
              <w:t>法院</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default" w:ascii="仿宋_GB2312" w:hAnsi="仿宋_GB2312" w:eastAsia="仿宋_GB2312" w:cs="仿宋_GB2312"/>
                <w:b w:val="0"/>
                <w:bCs w:val="0"/>
                <w:snapToGrid w:val="0"/>
                <w:color w:val="auto"/>
                <w:kern w:val="21"/>
                <w:sz w:val="24"/>
                <w:szCs w:val="24"/>
                <w:highlight w:val="none"/>
                <w:u w:val="none"/>
                <w:lang w:bidi="ar"/>
              </w:rPr>
              <w:t>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推动创建国家知识产权示范试点</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推动建设知识产权强国建设试点示范</w:t>
            </w:r>
            <w:r>
              <w:rPr>
                <w:rFonts w:hint="eastAsia" w:ascii="仿宋_GB2312" w:hAnsi="仿宋_GB2312" w:eastAsia="仿宋_GB2312" w:cs="仿宋_GB2312"/>
                <w:b w:val="0"/>
                <w:bCs w:val="0"/>
                <w:snapToGrid w:val="0"/>
                <w:color w:val="auto"/>
                <w:kern w:val="21"/>
                <w:sz w:val="24"/>
                <w:szCs w:val="24"/>
                <w:highlight w:val="none"/>
                <w:u w:val="none"/>
                <w:lang w:eastAsia="zh-CN" w:bidi="ar"/>
              </w:rPr>
              <w:t>城市、</w:t>
            </w:r>
            <w:r>
              <w:rPr>
                <w:rFonts w:hint="eastAsia" w:ascii="仿宋_GB2312" w:hAnsi="仿宋_GB2312" w:eastAsia="仿宋_GB2312" w:cs="仿宋_GB2312"/>
                <w:b w:val="0"/>
                <w:bCs w:val="0"/>
                <w:snapToGrid w:val="0"/>
                <w:color w:val="auto"/>
                <w:kern w:val="21"/>
                <w:sz w:val="24"/>
                <w:szCs w:val="24"/>
                <w:highlight w:val="none"/>
                <w:u w:val="none"/>
                <w:lang w:bidi="ar"/>
              </w:rPr>
              <w:t>县、园区。</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深入实施知识产权强县战略，持续推进顶层机制改革创新。</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构建企业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走出去</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支撑体系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配合柳州市对</w:t>
            </w:r>
            <w:r>
              <w:rPr>
                <w:rFonts w:hint="eastAsia" w:ascii="仿宋_GB2312" w:hAnsi="仿宋_GB2312" w:eastAsia="仿宋_GB2312" w:cs="仿宋_GB2312"/>
                <w:b w:val="0"/>
                <w:bCs w:val="0"/>
                <w:snapToGrid w:val="0"/>
                <w:color w:val="auto"/>
                <w:kern w:val="21"/>
                <w:sz w:val="24"/>
                <w:szCs w:val="24"/>
                <w:highlight w:val="none"/>
                <w:u w:val="none"/>
                <w:lang w:bidi="ar"/>
              </w:rPr>
              <w:t>企业遭遇国外技术性贸易措施壁垒加强指导帮扶。积极发挥国内外商会、协会、基金会、咨询机构的作用，为企业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走出去</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提供专业咨询、法律援助、技术支持等多种形式的风险救援。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仿宋_GB2312" w:hAnsi="仿宋_GB2312" w:eastAsia="仿宋_GB2312" w:cs="仿宋_GB2312"/>
                <w:b w:val="0"/>
                <w:bCs w:val="0"/>
                <w:snapToGrid w:val="0"/>
                <w:color w:val="auto"/>
                <w:kern w:val="21"/>
                <w:sz w:val="24"/>
                <w:szCs w:val="24"/>
                <w:highlight w:val="none"/>
                <w:u w:val="none"/>
                <w:lang w:val="en-US"/>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建立知识产权海外应急援助机制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color w:val="auto"/>
                <w:kern w:val="21"/>
                <w:sz w:val="24"/>
                <w:szCs w:val="24"/>
                <w:highlight w:val="none"/>
                <w:u w:val="none"/>
                <w:lang w:val="en-US" w:eastAsia="zh-CN" w:bidi="ar"/>
              </w:rPr>
              <w:t>根据海外知识产权发展状况，依托自治区市场监管局建设的海外知识产权维权援助信息化平台，指导企业开展海外知识产权纠纷、咨询应急援助。</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建立知识产权快速协同保护机制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健全知识产权纠纷多元化解决机制和知识产权维权援助机制，落实法律和司法解释关于知识产权侵权惩罚性赔偿制度的规定，强化知识产权联合执法，加大对知识产权的保护力度。鼓励有条件的事业单位、大中型企业、创业园区等建立知识产权维权援助工作站</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加强知识产权保护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加强检察机关知识产权刑事案件机制建设，全面推广知识产权刑事案件权利人诉讼权利义务告知制度。健全知识产权领域</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两法衔接</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制度，建立行刑案件查办衔接机制，探索推动知识产权公益诉讼。</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r>
              <w:rPr>
                <w:rFonts w:hint="eastAsia" w:ascii="仿宋_GB2312" w:hAnsi="仿宋_GB2312" w:eastAsia="仿宋_GB2312" w:cs="仿宋_GB2312"/>
                <w:b w:val="0"/>
                <w:bCs w:val="0"/>
                <w:snapToGrid w:val="0"/>
                <w:color w:val="auto"/>
                <w:kern w:val="21"/>
                <w:sz w:val="24"/>
                <w:szCs w:val="24"/>
                <w:highlight w:val="none"/>
                <w:u w:val="none"/>
                <w:lang w:bidi="ar"/>
              </w:rPr>
              <w:t>检察院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实施面向中小企业的知识产权转化专项计划</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开展知识产权质押融资</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入园惠企</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行动，强化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政企银服</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联动。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柳州银保监分局柳城监管组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加强重点领域知识产权保护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color w:val="auto"/>
                <w:kern w:val="21"/>
                <w:sz w:val="24"/>
                <w:szCs w:val="24"/>
                <w:highlight w:val="none"/>
                <w:u w:val="none"/>
                <w:lang w:val="en-US" w:eastAsia="zh-CN" w:bidi="ar"/>
              </w:rPr>
              <w:t>宣讲推行《电子商务平台知识产权保护管理》国家标准，加大跨境电子商务知识产权保护力度。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提升知识产权管理服务效能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深入开展</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蓝天</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专项整治行动和</w:t>
            </w:r>
            <w:r>
              <w:rPr>
                <w:rFonts w:hint="eastAsia" w:ascii="仿宋_GB2312" w:hAnsi="仿宋_GB2312" w:eastAsia="仿宋_GB2312" w:cs="仿宋_GB2312"/>
                <w:b w:val="0"/>
                <w:bCs w:val="0"/>
                <w:snapToGrid w:val="0"/>
                <w:color w:val="auto"/>
                <w:kern w:val="21"/>
                <w:sz w:val="24"/>
                <w:szCs w:val="24"/>
                <w:highlight w:val="none"/>
                <w:u w:val="none"/>
                <w:lang w:eastAsia="zh-CN" w:bidi="ar"/>
              </w:rPr>
              <w:t>知识产权</w:t>
            </w:r>
            <w:r>
              <w:rPr>
                <w:rFonts w:hint="eastAsia" w:ascii="仿宋_GB2312" w:hAnsi="仿宋_GB2312" w:eastAsia="仿宋_GB2312" w:cs="仿宋_GB2312"/>
                <w:b w:val="0"/>
                <w:bCs w:val="0"/>
                <w:snapToGrid w:val="0"/>
                <w:color w:val="auto"/>
                <w:kern w:val="21"/>
                <w:sz w:val="24"/>
                <w:szCs w:val="24"/>
                <w:highlight w:val="none"/>
                <w:u w:val="none"/>
                <w:lang w:bidi="ar"/>
              </w:rPr>
              <w:t>代理行业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双随机</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一公开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检查，进一步强化代理机构监管。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119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知识产权创造保护和运用</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加大技术交易转化</w:t>
            </w:r>
            <w:r>
              <w:rPr>
                <w:rFonts w:hint="eastAsia" w:ascii="仿宋_GB2312" w:hAnsi="仿宋_GB2312" w:eastAsia="仿宋_GB2312" w:cs="仿宋_GB2312"/>
                <w:b w:val="0"/>
                <w:bCs w:val="0"/>
                <w:snapToGrid w:val="0"/>
                <w:color w:val="auto"/>
                <w:kern w:val="21"/>
                <w:sz w:val="24"/>
                <w:szCs w:val="24"/>
                <w:highlight w:val="none"/>
                <w:u w:val="none"/>
                <w:lang w:eastAsia="zh-CN" w:bidi="ar"/>
              </w:rPr>
              <w:t>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配合自治区完成技术</w:t>
            </w:r>
            <w:r>
              <w:rPr>
                <w:rFonts w:hint="eastAsia" w:ascii="仿宋_GB2312" w:hAnsi="仿宋_GB2312" w:eastAsia="仿宋_GB2312" w:cs="仿宋_GB2312"/>
                <w:b w:val="0"/>
                <w:bCs w:val="0"/>
                <w:snapToGrid w:val="0"/>
                <w:color w:val="auto"/>
                <w:kern w:val="21"/>
                <w:sz w:val="24"/>
                <w:szCs w:val="24"/>
                <w:highlight w:val="none"/>
                <w:u w:val="none"/>
                <w:lang w:eastAsia="zh-CN" w:bidi="ar"/>
              </w:rPr>
              <w:t>合同技术交易额不低于330</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亿元</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优化技术合同认定登记服务，压缩技术合同认定登记办理时限至20个自然日。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仿宋_GB2312" w:hAnsi="仿宋_GB2312" w:eastAsia="仿宋_GB2312" w:cs="仿宋_GB2312"/>
                <w:b w:val="0"/>
                <w:bCs w:val="0"/>
                <w:snapToGrid w:val="0"/>
                <w:color w:val="auto"/>
                <w:kern w:val="21"/>
                <w:sz w:val="24"/>
                <w:szCs w:val="24"/>
                <w:highlight w:val="none"/>
                <w:u w:val="none"/>
                <w:lang w:bidi="ar"/>
              </w:rPr>
            </w:pPr>
            <w:r>
              <w:rPr>
                <w:rFonts w:hint="default" w:ascii="仿宋_GB2312" w:hAnsi="仿宋_GB2312" w:eastAsia="仿宋_GB2312" w:cs="仿宋_GB2312"/>
                <w:b w:val="0"/>
                <w:bCs w:val="0"/>
                <w:snapToGrid w:val="0"/>
                <w:color w:val="auto"/>
                <w:kern w:val="21"/>
                <w:sz w:val="24"/>
                <w:szCs w:val="24"/>
                <w:highlight w:val="none"/>
                <w:u w:val="none"/>
                <w:lang w:bidi="ar"/>
              </w:rPr>
              <w:t>跨境</w:t>
            </w:r>
          </w:p>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贸易</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深化国际贸易“单一窗口”功能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default" w:ascii="仿宋_GB2312" w:hAnsi="仿宋_GB2312" w:eastAsia="仿宋_GB2312" w:cs="仿宋_GB2312"/>
                <w:b w:val="0"/>
                <w:bCs w:val="0"/>
                <w:snapToGrid w:val="0"/>
                <w:color w:val="auto"/>
                <w:kern w:val="21"/>
                <w:sz w:val="24"/>
                <w:szCs w:val="24"/>
                <w:highlight w:val="none"/>
                <w:u w:val="none"/>
                <w:lang w:bidi="ar"/>
              </w:rPr>
              <w:t>推进广西国</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际贸易“单一窗口”</w:t>
            </w:r>
            <w:r>
              <w:rPr>
                <w:rFonts w:hint="eastAsia" w:ascii="仿宋_GB2312" w:hAnsi="仿宋_GB2312" w:eastAsia="仿宋_GB2312" w:cs="仿宋_GB2312"/>
                <w:b w:val="0"/>
                <w:bCs w:val="0"/>
                <w:snapToGrid w:val="0"/>
                <w:color w:val="auto"/>
                <w:kern w:val="21"/>
                <w:sz w:val="24"/>
                <w:szCs w:val="24"/>
                <w:highlight w:val="none"/>
                <w:u w:val="none"/>
                <w:lang w:bidi="ar"/>
              </w:rPr>
              <w:t>2</w:t>
            </w:r>
            <w:r>
              <w:rPr>
                <w:rFonts w:hint="default"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bidi="ar"/>
              </w:rPr>
              <w:t>0</w:t>
            </w:r>
            <w:r>
              <w:rPr>
                <w:rFonts w:hint="default" w:ascii="仿宋_GB2312" w:hAnsi="仿宋_GB2312" w:eastAsia="仿宋_GB2312" w:cs="仿宋_GB2312"/>
                <w:b w:val="0"/>
                <w:bCs w:val="0"/>
                <w:snapToGrid w:val="0"/>
                <w:color w:val="auto"/>
                <w:kern w:val="21"/>
                <w:sz w:val="24"/>
                <w:szCs w:val="24"/>
                <w:highlight w:val="none"/>
                <w:u w:val="none"/>
                <w:lang w:bidi="ar"/>
              </w:rPr>
              <w:t>版建设，丰富拓展通关物流服务、外贸新业态服务、金融服务等服务功能。</w:t>
            </w:r>
            <w:r>
              <w:rPr>
                <w:rFonts w:hint="default"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default" w:ascii="仿宋_GB2312" w:hAnsi="仿宋_GB2312" w:eastAsia="仿宋_GB2312" w:cs="仿宋_GB2312"/>
                <w:b w:val="0"/>
                <w:bCs w:val="0"/>
                <w:snapToGrid w:val="0"/>
                <w:color w:val="auto"/>
                <w:kern w:val="21"/>
                <w:sz w:val="24"/>
                <w:szCs w:val="24"/>
                <w:highlight w:val="none"/>
                <w:u w:val="none"/>
                <w:lang w:bidi="ar"/>
              </w:rPr>
              <w:t>深化广西国际贸</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易“单一窗口”与西部陆海新通道沿线以及粤</w:t>
            </w:r>
            <w:r>
              <w:rPr>
                <w:rFonts w:hint="default" w:ascii="仿宋_GB2312" w:hAnsi="仿宋_GB2312" w:eastAsia="仿宋_GB2312" w:cs="仿宋_GB2312"/>
                <w:b w:val="0"/>
                <w:bCs w:val="0"/>
                <w:snapToGrid w:val="0"/>
                <w:color w:val="auto"/>
                <w:kern w:val="21"/>
                <w:sz w:val="24"/>
                <w:szCs w:val="24"/>
                <w:highlight w:val="none"/>
                <w:u w:val="none"/>
                <w:lang w:bidi="ar"/>
              </w:rPr>
              <w:t>港澳大湾区</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地方“单一窗口”对接</w:t>
            </w:r>
            <w:r>
              <w:rPr>
                <w:rFonts w:hint="default" w:ascii="仿宋_GB2312" w:hAnsi="仿宋_GB2312" w:eastAsia="仿宋_GB2312" w:cs="仿宋_GB2312"/>
                <w:b w:val="0"/>
                <w:bCs w:val="0"/>
                <w:snapToGrid w:val="0"/>
                <w:color w:val="auto"/>
                <w:kern w:val="21"/>
                <w:sz w:val="24"/>
                <w:szCs w:val="24"/>
                <w:highlight w:val="none"/>
                <w:u w:val="none"/>
                <w:lang w:bidi="ar"/>
              </w:rPr>
              <w:t>合作，提升跨区域通关物流一体化水平。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2022</w:t>
            </w:r>
            <w:r>
              <w:rPr>
                <w:rFonts w:hint="default" w:ascii="仿宋_GB2312" w:hAnsi="仿宋_GB2312" w:eastAsia="仿宋_GB2312" w:cs="仿宋_GB2312"/>
                <w:b w:val="0"/>
                <w:bCs w:val="0"/>
                <w:snapToGrid w:val="0"/>
                <w:color w:val="auto"/>
                <w:kern w:val="21"/>
                <w:sz w:val="24"/>
                <w:szCs w:val="24"/>
                <w:highlight w:val="none"/>
                <w:u w:val="none"/>
                <w:lang w:bidi="ar"/>
              </w:rPr>
              <w:t>年</w:t>
            </w:r>
            <w:r>
              <w:rPr>
                <w:rFonts w:hint="eastAsia" w:ascii="仿宋_GB2312" w:hAnsi="仿宋_GB2312" w:eastAsia="仿宋_GB2312" w:cs="仿宋_GB2312"/>
                <w:b w:val="0"/>
                <w:bCs w:val="0"/>
                <w:snapToGrid w:val="0"/>
                <w:color w:val="auto"/>
                <w:kern w:val="21"/>
                <w:sz w:val="24"/>
                <w:szCs w:val="24"/>
                <w:highlight w:val="none"/>
                <w:u w:val="none"/>
                <w:lang w:bidi="ar"/>
              </w:rPr>
              <w:t>12</w:t>
            </w:r>
            <w:r>
              <w:rPr>
                <w:rFonts w:hint="default" w:ascii="仿宋_GB2312" w:hAnsi="仿宋_GB2312" w:eastAsia="仿宋_GB2312" w:cs="仿宋_GB2312"/>
                <w:b w:val="0"/>
                <w:bCs w:val="0"/>
                <w:snapToGrid w:val="0"/>
                <w:color w:val="auto"/>
                <w:kern w:val="21"/>
                <w:sz w:val="24"/>
                <w:szCs w:val="24"/>
                <w:highlight w:val="none"/>
                <w:u w:val="none"/>
                <w:lang w:bidi="ar"/>
              </w:rPr>
              <w:t>月</w:t>
            </w:r>
            <w:r>
              <w:rPr>
                <w:rFonts w:hint="eastAsia" w:ascii="仿宋_GB2312" w:hAnsi="仿宋_GB2312" w:eastAsia="仿宋_GB2312" w:cs="仿宋_GB2312"/>
                <w:b w:val="0"/>
                <w:bCs w:val="0"/>
                <w:snapToGrid w:val="0"/>
                <w:color w:val="auto"/>
                <w:kern w:val="21"/>
                <w:sz w:val="24"/>
                <w:szCs w:val="24"/>
                <w:highlight w:val="none"/>
                <w:u w:val="none"/>
                <w:lang w:bidi="ar"/>
              </w:rPr>
              <w:t>31</w:t>
            </w:r>
            <w:r>
              <w:rPr>
                <w:rFonts w:hint="default"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县</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交通运输局、</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发展改革局</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、税务局，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柳城海事处</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仿宋_GB2312" w:hAnsi="仿宋_GB2312" w:eastAsia="仿宋_GB2312" w:cs="仿宋_GB2312"/>
                <w:b w:val="0"/>
                <w:bCs w:val="0"/>
                <w:snapToGrid w:val="0"/>
                <w:color w:val="auto"/>
                <w:kern w:val="21"/>
                <w:sz w:val="24"/>
                <w:szCs w:val="24"/>
                <w:highlight w:val="none"/>
                <w:u w:val="none"/>
                <w:lang w:bidi="ar"/>
              </w:rPr>
            </w:pPr>
            <w:r>
              <w:rPr>
                <w:rFonts w:hint="default" w:ascii="仿宋_GB2312" w:hAnsi="仿宋_GB2312" w:eastAsia="仿宋_GB2312" w:cs="仿宋_GB2312"/>
                <w:b w:val="0"/>
                <w:bCs w:val="0"/>
                <w:snapToGrid w:val="0"/>
                <w:color w:val="auto"/>
                <w:kern w:val="21"/>
                <w:sz w:val="24"/>
                <w:szCs w:val="24"/>
                <w:highlight w:val="none"/>
                <w:u w:val="none"/>
                <w:lang w:bidi="ar"/>
              </w:rPr>
              <w:t>跨境</w:t>
            </w:r>
          </w:p>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贸易</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优化企业服务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深入推广企业跨境贸易管理分析系统，强化数据综合服务与应用，提高企业外贸业务管理水平，促进外贸稳定</w:t>
            </w:r>
            <w:r>
              <w:rPr>
                <w:rFonts w:hint="default" w:ascii="仿宋_GB2312" w:hAnsi="仿宋_GB2312" w:eastAsia="仿宋_GB2312" w:cs="仿宋_GB2312"/>
                <w:b w:val="0"/>
                <w:bCs w:val="0"/>
                <w:snapToGrid w:val="0"/>
                <w:color w:val="auto"/>
                <w:kern w:val="21"/>
                <w:sz w:val="24"/>
                <w:szCs w:val="24"/>
                <w:highlight w:val="none"/>
                <w:u w:val="none"/>
                <w:lang w:eastAsia="zh-CN" w:bidi="ar"/>
              </w:rPr>
              <w:t>发展</w:t>
            </w:r>
            <w:r>
              <w:rPr>
                <w:rFonts w:hint="default"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2022</w:t>
            </w:r>
            <w:r>
              <w:rPr>
                <w:rFonts w:hint="default" w:ascii="仿宋_GB2312" w:hAnsi="仿宋_GB2312" w:eastAsia="仿宋_GB2312" w:cs="仿宋_GB2312"/>
                <w:b w:val="0"/>
                <w:bCs w:val="0"/>
                <w:snapToGrid w:val="0"/>
                <w:color w:val="auto"/>
                <w:kern w:val="21"/>
                <w:sz w:val="24"/>
                <w:szCs w:val="24"/>
                <w:highlight w:val="none"/>
                <w:u w:val="none"/>
                <w:lang w:bidi="ar"/>
              </w:rPr>
              <w:t>年</w:t>
            </w:r>
            <w:r>
              <w:rPr>
                <w:rFonts w:hint="eastAsia" w:ascii="仿宋_GB2312" w:hAnsi="仿宋_GB2312" w:eastAsia="仿宋_GB2312" w:cs="仿宋_GB2312"/>
                <w:b w:val="0"/>
                <w:bCs w:val="0"/>
                <w:snapToGrid w:val="0"/>
                <w:color w:val="auto"/>
                <w:kern w:val="21"/>
                <w:sz w:val="24"/>
                <w:szCs w:val="24"/>
                <w:highlight w:val="none"/>
                <w:u w:val="none"/>
                <w:lang w:bidi="ar"/>
              </w:rPr>
              <w:t>12</w:t>
            </w:r>
            <w:r>
              <w:rPr>
                <w:rFonts w:hint="default" w:ascii="仿宋_GB2312" w:hAnsi="仿宋_GB2312" w:eastAsia="仿宋_GB2312" w:cs="仿宋_GB2312"/>
                <w:b w:val="0"/>
                <w:bCs w:val="0"/>
                <w:snapToGrid w:val="0"/>
                <w:color w:val="auto"/>
                <w:kern w:val="21"/>
                <w:sz w:val="24"/>
                <w:szCs w:val="24"/>
                <w:highlight w:val="none"/>
                <w:u w:val="none"/>
                <w:lang w:bidi="ar"/>
              </w:rPr>
              <w:t>月</w:t>
            </w:r>
            <w:r>
              <w:rPr>
                <w:rFonts w:hint="eastAsia" w:ascii="仿宋_GB2312" w:hAnsi="仿宋_GB2312" w:eastAsia="仿宋_GB2312" w:cs="仿宋_GB2312"/>
                <w:b w:val="0"/>
                <w:bCs w:val="0"/>
                <w:snapToGrid w:val="0"/>
                <w:color w:val="auto"/>
                <w:kern w:val="21"/>
                <w:sz w:val="24"/>
                <w:szCs w:val="24"/>
                <w:highlight w:val="none"/>
                <w:u w:val="none"/>
                <w:lang w:bidi="ar"/>
              </w:rPr>
              <w:t>31</w:t>
            </w:r>
            <w:r>
              <w:rPr>
                <w:rFonts w:hint="default"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Times New Roman" w:hAnsi="Times New Roman" w:eastAsia="方正书宋_GBK" w:cs="Times New Roman"/>
                <w:b w:val="0"/>
                <w:bCs w:val="0"/>
                <w:snapToGrid w:val="0"/>
                <w:color w:val="auto"/>
                <w:kern w:val="21"/>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default" w:ascii="仿宋_GB2312" w:hAnsi="仿宋_GB2312" w:eastAsia="仿宋_GB2312" w:cs="仿宋_GB2312"/>
                <w:b w:val="0"/>
                <w:bCs w:val="0"/>
                <w:snapToGrid w:val="0"/>
                <w:color w:val="auto"/>
                <w:kern w:val="21"/>
                <w:sz w:val="24"/>
                <w:szCs w:val="24"/>
                <w:highlight w:val="none"/>
                <w:u w:val="none"/>
                <w:lang w:bidi="ar"/>
              </w:rPr>
            </w:pPr>
            <w:r>
              <w:rPr>
                <w:rFonts w:hint="default" w:ascii="仿宋_GB2312" w:hAnsi="仿宋_GB2312" w:eastAsia="仿宋_GB2312" w:cs="仿宋_GB2312"/>
                <w:b w:val="0"/>
                <w:bCs w:val="0"/>
                <w:snapToGrid w:val="0"/>
                <w:color w:val="auto"/>
                <w:kern w:val="21"/>
                <w:sz w:val="24"/>
                <w:szCs w:val="24"/>
                <w:highlight w:val="none"/>
                <w:u w:val="none"/>
                <w:lang w:bidi="ar"/>
              </w:rPr>
              <w:t>跨境</w:t>
            </w:r>
          </w:p>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贸易</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优化企业服务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default" w:ascii="仿宋_GB2312" w:hAnsi="仿宋_GB2312" w:eastAsia="仿宋_GB2312" w:cs="仿宋_GB2312"/>
                <w:b w:val="0"/>
                <w:bCs w:val="0"/>
                <w:snapToGrid w:val="0"/>
                <w:color w:val="auto"/>
                <w:kern w:val="21"/>
                <w:sz w:val="24"/>
                <w:szCs w:val="24"/>
                <w:highlight w:val="none"/>
                <w:u w:val="none"/>
                <w:lang w:bidi="ar"/>
              </w:rPr>
              <w:t>严格落实免除查验</w:t>
            </w:r>
            <w:r>
              <w:rPr>
                <w:rFonts w:hint="default" w:ascii="仿宋_GB2312" w:hAnsi="仿宋_GB2312" w:eastAsia="仿宋_GB2312" w:cs="仿宋_GB2312"/>
                <w:b w:val="0"/>
                <w:bCs w:val="0"/>
                <w:snapToGrid w:val="0"/>
                <w:color w:val="auto"/>
                <w:kern w:val="21"/>
                <w:sz w:val="24"/>
                <w:szCs w:val="24"/>
                <w:highlight w:val="none"/>
                <w:u w:val="none"/>
                <w:lang w:eastAsia="zh-CN" w:bidi="ar"/>
              </w:rPr>
              <w:t>没有</w:t>
            </w:r>
            <w:r>
              <w:rPr>
                <w:rFonts w:hint="default" w:ascii="仿宋_GB2312" w:hAnsi="仿宋_GB2312" w:eastAsia="仿宋_GB2312" w:cs="仿宋_GB2312"/>
                <w:b w:val="0"/>
                <w:bCs w:val="0"/>
                <w:snapToGrid w:val="0"/>
                <w:color w:val="auto"/>
                <w:kern w:val="21"/>
                <w:sz w:val="24"/>
                <w:szCs w:val="24"/>
                <w:highlight w:val="none"/>
                <w:u w:val="none"/>
                <w:lang w:bidi="ar"/>
              </w:rPr>
              <w:t>问题外贸企业吊装移位仓储费政策，及时向查验服务企业拨付财政专项支持资金。</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2022</w:t>
            </w:r>
            <w:r>
              <w:rPr>
                <w:rFonts w:hint="default" w:ascii="仿宋_GB2312" w:hAnsi="仿宋_GB2312" w:eastAsia="仿宋_GB2312" w:cs="仿宋_GB2312"/>
                <w:b w:val="0"/>
                <w:bCs w:val="0"/>
                <w:snapToGrid w:val="0"/>
                <w:color w:val="auto"/>
                <w:kern w:val="21"/>
                <w:sz w:val="24"/>
                <w:szCs w:val="24"/>
                <w:highlight w:val="none"/>
                <w:u w:val="none"/>
                <w:lang w:bidi="ar"/>
              </w:rPr>
              <w:t>年</w:t>
            </w:r>
            <w:r>
              <w:rPr>
                <w:rFonts w:hint="eastAsia" w:ascii="仿宋_GB2312" w:hAnsi="仿宋_GB2312" w:eastAsia="仿宋_GB2312" w:cs="仿宋_GB2312"/>
                <w:b w:val="0"/>
                <w:bCs w:val="0"/>
                <w:snapToGrid w:val="0"/>
                <w:color w:val="auto"/>
                <w:kern w:val="21"/>
                <w:sz w:val="24"/>
                <w:szCs w:val="24"/>
                <w:highlight w:val="none"/>
                <w:u w:val="none"/>
                <w:lang w:bidi="ar"/>
              </w:rPr>
              <w:t>12</w:t>
            </w:r>
            <w:r>
              <w:rPr>
                <w:rFonts w:hint="default" w:ascii="仿宋_GB2312" w:hAnsi="仿宋_GB2312" w:eastAsia="仿宋_GB2312" w:cs="仿宋_GB2312"/>
                <w:b w:val="0"/>
                <w:bCs w:val="0"/>
                <w:snapToGrid w:val="0"/>
                <w:color w:val="auto"/>
                <w:kern w:val="21"/>
                <w:sz w:val="24"/>
                <w:szCs w:val="24"/>
                <w:highlight w:val="none"/>
                <w:u w:val="none"/>
                <w:lang w:bidi="ar"/>
              </w:rPr>
              <w:t>月</w:t>
            </w:r>
            <w:r>
              <w:rPr>
                <w:rFonts w:hint="eastAsia" w:ascii="仿宋_GB2312" w:hAnsi="仿宋_GB2312" w:eastAsia="仿宋_GB2312" w:cs="仿宋_GB2312"/>
                <w:b w:val="0"/>
                <w:bCs w:val="0"/>
                <w:snapToGrid w:val="0"/>
                <w:color w:val="auto"/>
                <w:kern w:val="21"/>
                <w:sz w:val="24"/>
                <w:szCs w:val="24"/>
                <w:highlight w:val="none"/>
                <w:u w:val="none"/>
                <w:lang w:bidi="ar"/>
              </w:rPr>
              <w:t>31</w:t>
            </w:r>
            <w:r>
              <w:rPr>
                <w:rFonts w:hint="default"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default" w:ascii="仿宋_GB2312" w:hAnsi="仿宋_GB2312" w:eastAsia="仿宋_GB2312" w:cs="仿宋_GB2312"/>
                <w:b w:val="0"/>
                <w:bCs w:val="0"/>
                <w:snapToGrid w:val="0"/>
                <w:color w:val="auto"/>
                <w:kern w:val="21"/>
                <w:sz w:val="24"/>
                <w:szCs w:val="24"/>
                <w:highlight w:val="none"/>
                <w:u w:val="none"/>
                <w:lang w:bidi="ar"/>
              </w:rPr>
              <w:t>财政</w:t>
            </w:r>
            <w:r>
              <w:rPr>
                <w:rFonts w:hint="default" w:ascii="仿宋_GB2312" w:hAnsi="仿宋_GB2312" w:eastAsia="仿宋_GB2312" w:cs="仿宋_GB2312"/>
                <w:b w:val="0"/>
                <w:bCs w:val="0"/>
                <w:snapToGrid w:val="0"/>
                <w:color w:val="auto"/>
                <w:kern w:val="21"/>
                <w:sz w:val="24"/>
                <w:szCs w:val="24"/>
                <w:highlight w:val="none"/>
                <w:u w:val="none"/>
                <w:lang w:eastAsia="zh-CN" w:bidi="ar"/>
              </w:rPr>
              <w:t>局</w:t>
            </w:r>
            <w:r>
              <w:rPr>
                <w:rFonts w:hint="default"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科技工贸信息化局</w:t>
            </w:r>
            <w:r>
              <w:rPr>
                <w:rFonts w:hint="default"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柳城海事处</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Times New Roman" w:hAnsi="Times New Roman" w:eastAsia="方正书宋_GBK" w:cs="Times New Roman"/>
                <w:b w:val="0"/>
                <w:bCs w:val="0"/>
                <w:snapToGrid w:val="0"/>
                <w:color w:val="auto"/>
                <w:kern w:val="21"/>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123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减少纳税次数</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持续推行企业所得税和财产行为税</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十一税合一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合并申报，减少纳税次数，</w:t>
            </w:r>
            <w:r>
              <w:rPr>
                <w:rFonts w:hint="eastAsia" w:ascii="仿宋_GB2312" w:hAnsi="仿宋_GB2312" w:eastAsia="仿宋_GB2312" w:cs="仿宋_GB2312"/>
                <w:b w:val="0"/>
                <w:bCs w:val="0"/>
                <w:snapToGrid w:val="0"/>
                <w:color w:val="auto"/>
                <w:kern w:val="21"/>
                <w:sz w:val="24"/>
                <w:szCs w:val="24"/>
                <w:highlight w:val="none"/>
                <w:u w:val="none"/>
                <w:lang w:eastAsia="zh-CN" w:bidi="ar"/>
              </w:rPr>
              <w:t>纳税次数</w:t>
            </w:r>
            <w:r>
              <w:rPr>
                <w:rFonts w:hint="eastAsia" w:ascii="仿宋_GB2312" w:hAnsi="仿宋_GB2312" w:eastAsia="仿宋_GB2312" w:cs="仿宋_GB2312"/>
                <w:b w:val="0"/>
                <w:bCs w:val="0"/>
                <w:snapToGrid w:val="0"/>
                <w:color w:val="auto"/>
                <w:kern w:val="21"/>
                <w:sz w:val="24"/>
                <w:szCs w:val="24"/>
                <w:highlight w:val="none"/>
                <w:u w:val="none"/>
                <w:lang w:bidi="ar"/>
              </w:rPr>
              <w:t>保持在国内前沿水平。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rPr>
              <w:t>县人力资源社会保障局，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w:t>
            </w:r>
            <w:r>
              <w:rPr>
                <w:rFonts w:hint="eastAsia" w:ascii="仿宋_GB2312" w:hAnsi="仿宋_GB2312" w:eastAsia="仿宋_GB2312" w:cs="仿宋_GB2312"/>
                <w:b w:val="0"/>
                <w:bCs w:val="0"/>
                <w:snapToGrid w:val="0"/>
                <w:color w:val="auto"/>
                <w:kern w:val="21"/>
                <w:sz w:val="24"/>
                <w:szCs w:val="24"/>
                <w:highlight w:val="none"/>
                <w:u w:val="none"/>
                <w:lang w:eastAsia="zh-CN"/>
              </w:rPr>
              <w:t>医疗保障事业管理中心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124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压缩纳税时间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进一步减少办税资料，将纳税时间压缩至76小时/年。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rPr>
              <w:t>县人力资源社会保障局，</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柳州市住房公积金管理中心柳城管理部、</w:t>
            </w:r>
            <w:r>
              <w:rPr>
                <w:rFonts w:hint="eastAsia" w:ascii="仿宋_GB2312" w:hAnsi="仿宋_GB2312" w:eastAsia="仿宋_GB2312" w:cs="仿宋_GB2312"/>
                <w:b w:val="0"/>
                <w:bCs w:val="0"/>
                <w:snapToGrid w:val="0"/>
                <w:color w:val="auto"/>
                <w:kern w:val="21"/>
                <w:sz w:val="24"/>
                <w:szCs w:val="24"/>
                <w:highlight w:val="none"/>
                <w:u w:val="none"/>
                <w:lang w:eastAsia="zh-CN"/>
              </w:rPr>
              <w:t>医疗保障事业管理中心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125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深化纳税申报制度改革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在增值税</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引导式</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纳税申报基础上，进一步优化电子税务局增值税申报辅助功能，从申报需求和管理要求等方面深入分析发票数据应用、申报表间逻辑等要素，简化填报项目、优化填报展示和数据展示。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126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深化纳税申报制度改革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推行退税业务全税种、全流程网上办理，企业所得税汇算清缴</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报退合一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，提高企业所得税退税效率。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127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深化纳税申报制度改革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全面推行税务证明事项告知承诺制，探索在申报纳税、发票办理、优惠办理等高频业务领域实行容缺受理。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128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简化税费优惠享受程序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落实好简化企业享受研发费用加计扣除政策辅助账的措施，梳理</w:t>
            </w:r>
            <w:r>
              <w:rPr>
                <w:rFonts w:hint="eastAsia" w:ascii="仿宋_GB2312" w:hAnsi="仿宋_GB2312" w:eastAsia="仿宋_GB2312" w:cs="仿宋_GB2312"/>
                <w:b w:val="0"/>
                <w:bCs w:val="0"/>
                <w:snapToGrid w:val="0"/>
                <w:color w:val="auto"/>
                <w:kern w:val="21"/>
                <w:sz w:val="24"/>
                <w:szCs w:val="24"/>
                <w:highlight w:val="none"/>
                <w:u w:val="none"/>
                <w:lang w:eastAsia="zh-CN" w:bidi="ar"/>
              </w:rPr>
              <w:t>全县</w:t>
            </w:r>
            <w:r>
              <w:rPr>
                <w:rFonts w:hint="eastAsia" w:ascii="仿宋_GB2312" w:hAnsi="仿宋_GB2312" w:eastAsia="仿宋_GB2312" w:cs="仿宋_GB2312"/>
                <w:b w:val="0"/>
                <w:bCs w:val="0"/>
                <w:snapToGrid w:val="0"/>
                <w:color w:val="auto"/>
                <w:kern w:val="21"/>
                <w:sz w:val="24"/>
                <w:szCs w:val="24"/>
                <w:highlight w:val="none"/>
                <w:u w:val="none"/>
                <w:lang w:bidi="ar"/>
              </w:rPr>
              <w:t>享受优惠政策企业名单，做好税收优惠政策宣传，</w:t>
            </w:r>
            <w:r>
              <w:rPr>
                <w:rFonts w:hint="eastAsia" w:ascii="仿宋_GB2312" w:hAnsi="仿宋_GB2312" w:eastAsia="仿宋_GB2312" w:cs="仿宋_GB2312"/>
                <w:b w:val="0"/>
                <w:bCs w:val="0"/>
                <w:snapToGrid w:val="0"/>
                <w:color w:val="auto"/>
                <w:kern w:val="21"/>
                <w:sz w:val="24"/>
                <w:szCs w:val="24"/>
                <w:highlight w:val="none"/>
                <w:u w:val="none"/>
                <w:lang w:eastAsia="zh-CN" w:bidi="ar"/>
              </w:rPr>
              <w:t>提高</w:t>
            </w:r>
            <w:r>
              <w:rPr>
                <w:rFonts w:hint="eastAsia" w:ascii="仿宋_GB2312" w:hAnsi="仿宋_GB2312" w:eastAsia="仿宋_GB2312" w:cs="仿宋_GB2312"/>
                <w:b w:val="0"/>
                <w:bCs w:val="0"/>
                <w:snapToGrid w:val="0"/>
                <w:color w:val="auto"/>
                <w:kern w:val="21"/>
                <w:sz w:val="24"/>
                <w:szCs w:val="24"/>
                <w:highlight w:val="none"/>
                <w:u w:val="none"/>
                <w:lang w:bidi="ar"/>
              </w:rPr>
              <w:t>对外咨询解答的准确性。利用网格化服务实行精准辅导，做好后续跟踪管理，形成闭环管理。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129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创新税务监管领域改革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探索推进动态</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信用＋风险</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税务监控，简化无风险和低风险企业的涉税业务办理流程，提醒预警或直接阻断高风险企业的涉税业务办理，依托大数据进一步提高风险管理效能。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创新税务监管领域改革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对情节显著轻微或者没有明显社会危害、采取非强制手段可以达到行政管理目的的违法行为，不予实施行政强制措施。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优化税收执法方式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全面落实行政执法</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三项制度</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，按照重大执法决定法制审核清单及标准开展法制审核工作。按规定使用税收执法信息公示平台，确保全过程记录和数字化智能归集。</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扩大涉税数据共享范围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在符合国家税务总局提出的</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数据不搬家</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可用不可见</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原则和相关规定情况下，优先</w:t>
            </w:r>
            <w:r>
              <w:rPr>
                <w:rFonts w:hint="eastAsia" w:ascii="仿宋_GB2312" w:hAnsi="仿宋_GB2312" w:eastAsia="仿宋_GB2312" w:cs="仿宋_GB2312"/>
                <w:b w:val="0"/>
                <w:bCs w:val="0"/>
                <w:snapToGrid w:val="0"/>
                <w:color w:val="auto"/>
                <w:kern w:val="21"/>
                <w:sz w:val="24"/>
                <w:szCs w:val="24"/>
                <w:highlight w:val="none"/>
                <w:u w:val="none"/>
                <w:lang w:eastAsia="zh-CN" w:bidi="ar"/>
              </w:rPr>
              <w:t>满足</w:t>
            </w:r>
            <w:r>
              <w:rPr>
                <w:rFonts w:hint="eastAsia" w:ascii="仿宋_GB2312" w:hAnsi="仿宋_GB2312" w:eastAsia="仿宋_GB2312" w:cs="仿宋_GB2312"/>
                <w:b w:val="0"/>
                <w:bCs w:val="0"/>
                <w:snapToGrid w:val="0"/>
                <w:color w:val="auto"/>
                <w:kern w:val="21"/>
                <w:sz w:val="24"/>
                <w:szCs w:val="24"/>
                <w:highlight w:val="none"/>
                <w:u w:val="none"/>
                <w:lang w:bidi="ar"/>
              </w:rPr>
              <w:t>推动政府职能转变、经济社会发展、服务企业和人民群众等方面的税</w:t>
            </w:r>
            <w:r>
              <w:rPr>
                <w:rFonts w:hint="eastAsia" w:ascii="仿宋_GB2312" w:hAnsi="仿宋_GB2312" w:eastAsia="仿宋_GB2312" w:cs="仿宋_GB2312"/>
                <w:b w:val="0"/>
                <w:bCs w:val="0"/>
                <w:snapToGrid w:val="0"/>
                <w:color w:val="auto"/>
                <w:spacing w:val="-6"/>
                <w:kern w:val="21"/>
                <w:sz w:val="24"/>
                <w:szCs w:val="24"/>
                <w:highlight w:val="none"/>
                <w:u w:val="none"/>
                <w:lang w:bidi="ar"/>
              </w:rPr>
              <w:t>费数据需求。</w:t>
            </w:r>
            <w:r>
              <w:rPr>
                <w:rFonts w:hint="eastAsia" w:ascii="仿宋_GB2312" w:hAnsi="仿宋_GB2312" w:eastAsia="仿宋_GB2312" w:cs="仿宋_GB2312"/>
                <w:b w:val="0"/>
                <w:bCs w:val="0"/>
                <w:snapToGrid w:val="0"/>
                <w:color w:val="auto"/>
                <w:spacing w:val="-6"/>
                <w:kern w:val="21"/>
                <w:sz w:val="24"/>
                <w:szCs w:val="24"/>
                <w:highlight w:val="none"/>
                <w:u w:val="none"/>
                <w:lang w:val="en-US" w:eastAsia="zh-CN" w:bidi="ar"/>
              </w:rPr>
              <w:t>配合自治区</w:t>
            </w:r>
            <w:r>
              <w:rPr>
                <w:rFonts w:hint="eastAsia" w:ascii="仿宋_GB2312" w:hAnsi="仿宋_GB2312" w:eastAsia="仿宋_GB2312" w:cs="仿宋_GB2312"/>
                <w:b w:val="0"/>
                <w:bCs w:val="0"/>
                <w:snapToGrid w:val="0"/>
                <w:color w:val="auto"/>
                <w:spacing w:val="-6"/>
                <w:kern w:val="21"/>
                <w:sz w:val="24"/>
                <w:szCs w:val="24"/>
                <w:highlight w:val="none"/>
                <w:u w:val="none"/>
                <w:lang w:bidi="ar"/>
              </w:rPr>
              <w:t>发</w:t>
            </w:r>
            <w:r>
              <w:rPr>
                <w:rFonts w:hint="eastAsia" w:ascii="仿宋_GB2312" w:hAnsi="仿宋_GB2312" w:eastAsia="仿宋_GB2312" w:cs="仿宋_GB2312"/>
                <w:b w:val="0"/>
                <w:bCs w:val="0"/>
                <w:snapToGrid w:val="0"/>
                <w:color w:val="auto"/>
                <w:kern w:val="21"/>
                <w:sz w:val="24"/>
                <w:szCs w:val="24"/>
                <w:highlight w:val="none"/>
                <w:u w:val="none"/>
                <w:lang w:bidi="ar"/>
              </w:rPr>
              <w:t>布可共享数据资源目录总量不少于40项。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减少涉税数据重复报送</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大力推动涉税涉费数据</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一次采集、共享共用</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，对税务部门已采集或通过其他部门共享获取的数据，不再要求纳税人缴费人重复报送。</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2022年</w:t>
            </w:r>
            <w:r>
              <w:rPr>
                <w:rFonts w:hint="eastAsia" w:ascii="仿宋_GB2312" w:hAnsi="仿宋_GB2312" w:eastAsia="仿宋_GB2312" w:cs="仿宋_GB2312"/>
                <w:b w:val="0"/>
                <w:bCs w:val="0"/>
                <w:snapToGrid w:val="0"/>
                <w:color w:val="auto"/>
                <w:kern w:val="21"/>
                <w:sz w:val="24"/>
                <w:szCs w:val="24"/>
                <w:highlight w:val="none"/>
                <w:u w:val="none"/>
                <w:lang w:eastAsia="zh-CN" w:bidi="ar"/>
              </w:rPr>
              <w:t>向柳州市政务数据共享交换</w:t>
            </w:r>
            <w:r>
              <w:rPr>
                <w:rFonts w:hint="eastAsia" w:ascii="仿宋_GB2312" w:hAnsi="仿宋_GB2312" w:eastAsia="仿宋_GB2312" w:cs="仿宋_GB2312"/>
                <w:b w:val="0"/>
                <w:bCs w:val="0"/>
                <w:snapToGrid w:val="0"/>
                <w:color w:val="auto"/>
                <w:kern w:val="21"/>
                <w:sz w:val="24"/>
                <w:szCs w:val="24"/>
                <w:highlight w:val="none"/>
                <w:u w:val="none"/>
                <w:lang w:bidi="ar"/>
              </w:rPr>
              <w:t>平台新增外部门涉税信息不少于5项。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4"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推行征纳互动服务模式</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构建</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智能应答＋全程互动＋问办查评送一体化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的征纳互动服务模式，实现征纳互动服务从</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解答问题</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向</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解决问题</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转变。</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2022年10月31日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深化办税缴费制度改革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重点围绕货物和劳务税、企业所得税、财产和行为税等相关事项，持续扩大涉税资料由事前报送改为留存备查的范围。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136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深化办税缴费制度改革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持续优化非接触式办税缴费服务，推行要素化纳税申报，推广远程办税模式。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积极推进智慧税务建设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持续扩大企业享受优惠政策</w:t>
            </w:r>
            <w:r>
              <w:rPr>
                <w:rFonts w:hint="eastAsia" w:ascii="仿宋_GB2312" w:hAnsi="仿宋_GB2312" w:eastAsia="仿宋_GB2312" w:cs="仿宋_GB2312"/>
                <w:b w:val="0"/>
                <w:bCs w:val="0"/>
                <w:snapToGrid w:val="0"/>
                <w:color w:val="auto"/>
                <w:kern w:val="21"/>
                <w:sz w:val="24"/>
                <w:szCs w:val="24"/>
                <w:highlight w:val="none"/>
                <w:u w:val="none"/>
                <w:lang w:eastAsia="zh-CN" w:bidi="ar"/>
              </w:rPr>
              <w:t>的</w:t>
            </w:r>
            <w:r>
              <w:rPr>
                <w:rFonts w:hint="eastAsia" w:ascii="仿宋_GB2312" w:hAnsi="仿宋_GB2312" w:eastAsia="仿宋_GB2312" w:cs="仿宋_GB2312"/>
                <w:b w:val="0"/>
                <w:bCs w:val="0"/>
                <w:snapToGrid w:val="0"/>
                <w:color w:val="auto"/>
                <w:kern w:val="21"/>
                <w:sz w:val="24"/>
                <w:szCs w:val="24"/>
                <w:highlight w:val="none"/>
                <w:u w:val="none"/>
                <w:lang w:bidi="ar"/>
              </w:rPr>
              <w:t>范围，建立税费优惠精准推送机制，精简办理流程和手续，实行自行判别、自行申报、事后监管，为企业申报即享创造条件。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138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减轻企业税外负担</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非税收入占财政收入的比例比</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2021</w:t>
            </w:r>
            <w:r>
              <w:rPr>
                <w:rFonts w:hint="eastAsia" w:ascii="仿宋_GB2312" w:hAnsi="仿宋_GB2312" w:eastAsia="仿宋_GB2312" w:cs="仿宋_GB2312"/>
                <w:b w:val="0"/>
                <w:bCs w:val="0"/>
                <w:snapToGrid w:val="0"/>
                <w:color w:val="auto"/>
                <w:kern w:val="21"/>
                <w:sz w:val="24"/>
                <w:szCs w:val="24"/>
                <w:highlight w:val="none"/>
                <w:u w:val="none"/>
                <w:lang w:bidi="ar"/>
              </w:rPr>
              <w:t>年下降1个百分点。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139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减轻企业负担</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加大一般公共预算支出。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140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减轻企业负担</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对企业减税降费政策落实情况开展专项督查。</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税务局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141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纳税</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房屋涉税减免</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按国家和自治区规定实施房产税、城镇土地使用税困难性减免。</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县税务局、财政局、住房城乡建设局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2"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142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完善多元纠纷化解机制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充分发挥仲裁、调解等制度作用，积极推动纠纷非诉讼解决争议，加强对企业合法权益保护。</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县司法局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143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提升企业诉讼效率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完善多元纠纷化解机制，加强诉调对接，推动提升涉企业纠纷实质性化解水平；发挥小额诉讼程序、简易程序和独任制审理的制度优势，扩大普通程序独任制的适用范围；建立健全繁简分流智能识别工作机制，综合考量案由类型、诉讼标的、诉讼主体身份、案件平均审理时间等因素，全面提升企业诉讼效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144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优化法院服务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通过社会化专业服务平台实现法院文书一体式集约化送达，推动法院与市场监管等部门数据对接共享，大幅提升法院文书送达到达率。</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145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优化法院服务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深化实质性化解纠纷，</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加快诉讼服务中心建设，制定完善流程运转机制，提升一站式多元解纷和现代化诉讼服务水平。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146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优化法院服务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配合柳州市建立</w:t>
            </w:r>
            <w:r>
              <w:rPr>
                <w:rFonts w:hint="default" w:ascii="仿宋_GB2312" w:hAnsi="仿宋_GB2312" w:eastAsia="仿宋_GB2312" w:cs="仿宋_GB2312"/>
                <w:b w:val="0"/>
                <w:bCs w:val="0"/>
                <w:snapToGrid w:val="0"/>
                <w:color w:val="auto"/>
                <w:kern w:val="21"/>
                <w:sz w:val="24"/>
                <w:szCs w:val="24"/>
                <w:highlight w:val="none"/>
                <w:u w:val="none"/>
                <w:lang w:val="en-US" w:eastAsia="zh-CN" w:bidi="ar"/>
              </w:rPr>
              <w:t>民商事纠纷中立评估机制</w:t>
            </w:r>
            <w:r>
              <w:rPr>
                <w:rFonts w:hint="eastAsia" w:ascii="仿宋_GB2312" w:hAnsi="仿宋_GB2312" w:eastAsia="仿宋_GB2312" w:cs="仿宋_GB2312"/>
                <w:b w:val="0"/>
                <w:bCs w:val="0"/>
                <w:snapToGrid w:val="0"/>
                <w:color w:val="auto"/>
                <w:kern w:val="21"/>
                <w:sz w:val="24"/>
                <w:szCs w:val="24"/>
                <w:highlight w:val="none"/>
                <w:u w:val="none"/>
                <w:lang w:bidi="ar"/>
              </w:rPr>
              <w:t>，聘请相关领域专家担任中立评估员</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147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压缩办理时间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解决商业纠纷平均用时压缩至200天</w:t>
            </w:r>
            <w:r>
              <w:rPr>
                <w:rFonts w:hint="eastAsia" w:ascii="仿宋_GB2312" w:hAnsi="仿宋_GB2312" w:eastAsia="仿宋_GB2312" w:cs="仿宋_GB2312"/>
                <w:b w:val="0"/>
                <w:bCs w:val="0"/>
                <w:snapToGrid w:val="0"/>
                <w:color w:val="auto"/>
                <w:kern w:val="21"/>
                <w:sz w:val="24"/>
                <w:szCs w:val="24"/>
                <w:highlight w:val="none"/>
                <w:u w:val="none"/>
                <w:lang w:eastAsia="zh-CN" w:bidi="ar"/>
              </w:rPr>
              <w:t>内</w:t>
            </w:r>
            <w:r>
              <w:rPr>
                <w:rFonts w:hint="eastAsia" w:ascii="仿宋_GB2312" w:hAnsi="仿宋_GB2312" w:eastAsia="仿宋_GB2312" w:cs="仿宋_GB2312"/>
                <w:b w:val="0"/>
                <w:bCs w:val="0"/>
                <w:snapToGrid w:val="0"/>
                <w:color w:val="auto"/>
                <w:kern w:val="21"/>
                <w:sz w:val="24"/>
                <w:szCs w:val="24"/>
                <w:highlight w:val="none"/>
                <w:u w:val="none"/>
                <w:lang w:bidi="ar"/>
              </w:rPr>
              <w:t>（扣除当事人申请强制执行的时间</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148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压缩办理时间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借助全区法院智慧执行系统升级改造，配合柳州市试点单位，打造“全业务线上办理、全流程动态监管、全过程留痕公开、全要素系统集成、全案情交互回应”的执行工作新模式。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149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降低办理费用</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解决商业纠纷诉讼成本占索赔额比例降低至2.2%以下。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150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降低办理费用</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推进司法专递面单电子化改革，加快无纸化办案落地见效。</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151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规范案件执行</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严格落实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谁执法、谁普法</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普法责任制，强化司法与执法协同配合，深化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实质性解决行政争议</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152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规范案件执行</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深化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一案双查</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，常态化开展执行领域突出问题整治，以案件违规终本、案款超期发放等为重点问题，实时开展终本案件自查与互评，严格落实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一案一账户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等工作机制。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153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执行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合同</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构建和谐劳动关系综合配套改革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确保2022年内人民调解案件调解成功率达90.05%以上。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12</w:t>
            </w:r>
            <w:r>
              <w:rPr>
                <w:rFonts w:hint="eastAsia" w:ascii="仿宋_GB2312" w:hAnsi="仿宋_GB2312" w:eastAsia="仿宋_GB2312" w:cs="仿宋_GB2312"/>
                <w:b w:val="0"/>
                <w:bCs w:val="0"/>
                <w:snapToGrid w:val="0"/>
                <w:color w:val="auto"/>
                <w:kern w:val="21"/>
                <w:sz w:val="24"/>
                <w:szCs w:val="24"/>
                <w:highlight w:val="none"/>
                <w:u w:val="none"/>
                <w:lang w:bidi="ar"/>
              </w:rPr>
              <w:t>月</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31</w:t>
            </w:r>
            <w:r>
              <w:rPr>
                <w:rFonts w:hint="eastAsia"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154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办理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破产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积极推进企业破产和市场退出制度改革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鼓励运用破产预重整制度，健全企业重整期间信用修复机制，优化破产案件财产解封及处置程序，</w:t>
            </w:r>
            <w:r>
              <w:rPr>
                <w:rFonts w:hint="eastAsia" w:ascii="仿宋_GB2312" w:hAnsi="仿宋_GB2312" w:eastAsia="仿宋_GB2312" w:cs="仿宋_GB2312"/>
                <w:b w:val="0"/>
                <w:bCs w:val="0"/>
                <w:snapToGrid w:val="0"/>
                <w:color w:val="auto"/>
                <w:kern w:val="21"/>
                <w:sz w:val="24"/>
                <w:szCs w:val="24"/>
                <w:highlight w:val="none"/>
                <w:u w:val="none"/>
                <w:lang w:eastAsia="zh-CN" w:bidi="ar"/>
              </w:rPr>
              <w:t>充分发挥破产重整制度挽救困境企业的功能。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155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办理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破产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降低办理破产时间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构建企业破产工作协调机制，解决破产企业信用修复、涉税事项办理等疑难问题，将破产案件收回债务所需平均时间压缩至1.2年内。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县司法局</w:t>
            </w:r>
            <w:r>
              <w:rPr>
                <w:rFonts w:hint="eastAsia" w:ascii="仿宋_GB2312" w:hAnsi="仿宋_GB2312" w:eastAsia="仿宋_GB2312" w:cs="仿宋_GB2312"/>
                <w:b w:val="0"/>
                <w:bCs w:val="0"/>
                <w:snapToGrid w:val="0"/>
                <w:color w:val="auto"/>
                <w:kern w:val="21"/>
                <w:sz w:val="24"/>
                <w:szCs w:val="24"/>
                <w:highlight w:val="none"/>
                <w:u w:val="none"/>
                <w:lang w:bidi="ar"/>
              </w:rPr>
              <w:t>、公安</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r>
              <w:rPr>
                <w:rFonts w:hint="eastAsia" w:ascii="仿宋_GB2312" w:hAnsi="仿宋_GB2312" w:eastAsia="仿宋_GB2312" w:cs="仿宋_GB2312"/>
                <w:b w:val="0"/>
                <w:bCs w:val="0"/>
                <w:snapToGrid w:val="0"/>
                <w:color w:val="auto"/>
                <w:kern w:val="21"/>
                <w:sz w:val="24"/>
                <w:szCs w:val="24"/>
                <w:highlight w:val="none"/>
                <w:u w:val="none"/>
                <w:lang w:bidi="ar"/>
              </w:rPr>
              <w:t>、市场监管局</w:t>
            </w:r>
            <w:r>
              <w:rPr>
                <w:rFonts w:hint="eastAsia" w:ascii="仿宋_GB2312" w:hAnsi="仿宋_GB2312" w:eastAsia="仿宋_GB2312" w:cs="仿宋_GB2312"/>
                <w:b w:val="0"/>
                <w:bCs w:val="0"/>
                <w:snapToGrid w:val="0"/>
                <w:color w:val="auto"/>
                <w:kern w:val="21"/>
                <w:sz w:val="24"/>
                <w:szCs w:val="24"/>
                <w:highlight w:val="none"/>
                <w:u w:val="none"/>
                <w:lang w:eastAsia="zh-CN" w:bidi="ar"/>
              </w:rPr>
              <w:t>、税务局，人民银行柳城县支行</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柳城海事处</w:t>
            </w:r>
            <w:r>
              <w:rPr>
                <w:rFonts w:hint="eastAsia" w:ascii="仿宋_GB2312" w:hAnsi="仿宋_GB2312" w:eastAsia="仿宋_GB2312" w:cs="仿宋_GB2312"/>
                <w:b w:val="0"/>
                <w:bCs w:val="0"/>
                <w:snapToGrid w:val="0"/>
                <w:color w:val="auto"/>
                <w:kern w:val="21"/>
                <w:sz w:val="24"/>
                <w:szCs w:val="24"/>
                <w:highlight w:val="none"/>
                <w:u w:val="none"/>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156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办理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破产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降低债务重组成本</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建立协同处置机制，依法解决破产案件中因债务人资料缺失或第三方不配合等导致在建工程无法办理竣工验收难题，进一步提高破产企业地、房产权处置效率，</w:t>
            </w:r>
            <w:r>
              <w:rPr>
                <w:rFonts w:hint="eastAsia" w:ascii="仿宋_GB2312" w:hAnsi="仿宋_GB2312" w:eastAsia="仿宋_GB2312" w:cs="仿宋_GB2312"/>
                <w:b w:val="0"/>
                <w:bCs w:val="0"/>
                <w:snapToGrid w:val="0"/>
                <w:color w:val="auto"/>
                <w:kern w:val="21"/>
                <w:sz w:val="24"/>
                <w:szCs w:val="24"/>
                <w:highlight w:val="none"/>
                <w:u w:val="none"/>
                <w:lang w:eastAsia="zh-CN" w:bidi="ar"/>
              </w:rPr>
              <w:t>收回债权所需平均成本降至</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16%以内。</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县司法局</w:t>
            </w:r>
            <w:r>
              <w:rPr>
                <w:rFonts w:hint="eastAsia" w:ascii="仿宋_GB2312" w:hAnsi="仿宋_GB2312" w:eastAsia="仿宋_GB2312" w:cs="仿宋_GB2312"/>
                <w:b w:val="0"/>
                <w:bCs w:val="0"/>
                <w:snapToGrid w:val="0"/>
                <w:color w:val="auto"/>
                <w:kern w:val="21"/>
                <w:sz w:val="24"/>
                <w:szCs w:val="24"/>
                <w:highlight w:val="none"/>
                <w:u w:val="none"/>
                <w:lang w:bidi="ar"/>
              </w:rPr>
              <w:t>、公安</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r>
              <w:rPr>
                <w:rFonts w:hint="eastAsia" w:ascii="仿宋_GB2312" w:hAnsi="仿宋_GB2312" w:eastAsia="仿宋_GB2312" w:cs="仿宋_GB2312"/>
                <w:b w:val="0"/>
                <w:bCs w:val="0"/>
                <w:snapToGrid w:val="0"/>
                <w:color w:val="auto"/>
                <w:kern w:val="21"/>
                <w:sz w:val="24"/>
                <w:szCs w:val="24"/>
                <w:highlight w:val="none"/>
                <w:u w:val="none"/>
                <w:lang w:bidi="ar"/>
              </w:rPr>
              <w:t>、市场监管局</w:t>
            </w:r>
            <w:r>
              <w:rPr>
                <w:rFonts w:hint="eastAsia" w:ascii="仿宋_GB2312" w:hAnsi="仿宋_GB2312" w:eastAsia="仿宋_GB2312" w:cs="仿宋_GB2312"/>
                <w:b w:val="0"/>
                <w:bCs w:val="0"/>
                <w:snapToGrid w:val="0"/>
                <w:color w:val="auto"/>
                <w:kern w:val="21"/>
                <w:sz w:val="24"/>
                <w:szCs w:val="24"/>
                <w:highlight w:val="none"/>
                <w:u w:val="none"/>
                <w:lang w:eastAsia="zh-CN" w:bidi="ar"/>
              </w:rPr>
              <w:t>、税务局，人民银行柳城县支行</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柳城海事处</w:t>
            </w:r>
            <w:r>
              <w:rPr>
                <w:rFonts w:hint="eastAsia" w:ascii="仿宋_GB2312" w:hAnsi="仿宋_GB2312" w:eastAsia="仿宋_GB2312" w:cs="仿宋_GB2312"/>
                <w:b w:val="0"/>
                <w:bCs w:val="0"/>
                <w:snapToGrid w:val="0"/>
                <w:color w:val="auto"/>
                <w:kern w:val="21"/>
                <w:sz w:val="24"/>
                <w:szCs w:val="24"/>
                <w:highlight w:val="none"/>
                <w:u w:val="none"/>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157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办理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破产</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提高回收率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建立协同机制，切实提高破产管理人查询破产企业财产信息便利度，优化破产案件财产解封及处置效率，将破产案件债权人回收率提高至55%。</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县人民法院</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县司法局</w:t>
            </w:r>
            <w:r>
              <w:rPr>
                <w:rFonts w:hint="eastAsia" w:ascii="仿宋_GB2312" w:hAnsi="仿宋_GB2312" w:eastAsia="仿宋_GB2312" w:cs="仿宋_GB2312"/>
                <w:b w:val="0"/>
                <w:bCs w:val="0"/>
                <w:snapToGrid w:val="0"/>
                <w:color w:val="auto"/>
                <w:kern w:val="21"/>
                <w:sz w:val="24"/>
                <w:szCs w:val="24"/>
                <w:highlight w:val="none"/>
                <w:u w:val="none"/>
                <w:lang w:bidi="ar"/>
              </w:rPr>
              <w:t>、公安</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r>
              <w:rPr>
                <w:rFonts w:hint="eastAsia" w:ascii="仿宋_GB2312" w:hAnsi="仿宋_GB2312" w:eastAsia="仿宋_GB2312" w:cs="仿宋_GB2312"/>
                <w:b w:val="0"/>
                <w:bCs w:val="0"/>
                <w:snapToGrid w:val="0"/>
                <w:color w:val="auto"/>
                <w:kern w:val="21"/>
                <w:sz w:val="24"/>
                <w:szCs w:val="24"/>
                <w:highlight w:val="none"/>
                <w:u w:val="none"/>
                <w:lang w:bidi="ar"/>
              </w:rPr>
              <w:t>、市场监管局</w:t>
            </w:r>
            <w:r>
              <w:rPr>
                <w:rFonts w:hint="eastAsia" w:ascii="仿宋_GB2312" w:hAnsi="仿宋_GB2312" w:eastAsia="仿宋_GB2312" w:cs="仿宋_GB2312"/>
                <w:b w:val="0"/>
                <w:bCs w:val="0"/>
                <w:snapToGrid w:val="0"/>
                <w:color w:val="auto"/>
                <w:kern w:val="21"/>
                <w:sz w:val="24"/>
                <w:szCs w:val="24"/>
                <w:highlight w:val="none"/>
                <w:u w:val="none"/>
                <w:lang w:eastAsia="zh-CN" w:bidi="ar"/>
              </w:rPr>
              <w:t>、税务局，人民银行柳城县支行</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柳城海事处</w:t>
            </w:r>
            <w:r>
              <w:rPr>
                <w:rFonts w:hint="eastAsia" w:ascii="仿宋_GB2312" w:hAnsi="仿宋_GB2312" w:eastAsia="仿宋_GB2312" w:cs="仿宋_GB2312"/>
                <w:b w:val="0"/>
                <w:bCs w:val="0"/>
                <w:snapToGrid w:val="0"/>
                <w:color w:val="auto"/>
                <w:kern w:val="21"/>
                <w:sz w:val="24"/>
                <w:szCs w:val="24"/>
                <w:highlight w:val="none"/>
                <w:u w:val="none"/>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158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深化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双随机、一公开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持续拓展</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双随机、一公开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监管部门覆盖面，按需</w:t>
            </w:r>
            <w:r>
              <w:rPr>
                <w:rFonts w:hint="eastAsia" w:ascii="仿宋_GB2312" w:hAnsi="仿宋_GB2312" w:eastAsia="仿宋_GB2312" w:cs="仿宋_GB2312"/>
                <w:b w:val="0"/>
                <w:bCs w:val="0"/>
                <w:snapToGrid w:val="0"/>
                <w:color w:val="auto"/>
                <w:kern w:val="21"/>
                <w:sz w:val="24"/>
                <w:szCs w:val="24"/>
                <w:highlight w:val="none"/>
                <w:u w:val="none"/>
                <w:lang w:eastAsia="zh-CN" w:bidi="ar"/>
              </w:rPr>
              <w:t>依规调整“</w:t>
            </w:r>
            <w:r>
              <w:rPr>
                <w:rFonts w:hint="eastAsia" w:ascii="仿宋_GB2312" w:hAnsi="仿宋_GB2312" w:eastAsia="仿宋_GB2312" w:cs="仿宋_GB2312"/>
                <w:b w:val="0"/>
                <w:bCs w:val="0"/>
                <w:snapToGrid w:val="0"/>
                <w:color w:val="auto"/>
                <w:kern w:val="21"/>
                <w:sz w:val="24"/>
                <w:szCs w:val="24"/>
                <w:highlight w:val="none"/>
                <w:u w:val="none"/>
                <w:lang w:bidi="ar"/>
              </w:rPr>
              <w:t>双随机、一公开</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监管厅际联席会议成员单位，将更多事项</w:t>
            </w:r>
            <w:r>
              <w:rPr>
                <w:rFonts w:hint="eastAsia" w:ascii="仿宋_GB2312" w:hAnsi="仿宋_GB2312" w:eastAsia="仿宋_GB2312" w:cs="仿宋_GB2312"/>
                <w:b w:val="0"/>
                <w:bCs w:val="0"/>
                <w:snapToGrid w:val="0"/>
                <w:color w:val="auto"/>
                <w:spacing w:val="-6"/>
                <w:kern w:val="21"/>
                <w:sz w:val="24"/>
                <w:szCs w:val="24"/>
                <w:highlight w:val="none"/>
                <w:u w:val="none"/>
                <w:lang w:bidi="ar"/>
              </w:rPr>
              <w:t>纳入联合抽查范围，</w:t>
            </w:r>
            <w:r>
              <w:rPr>
                <w:rFonts w:hint="eastAsia" w:ascii="仿宋_GB2312" w:hAnsi="仿宋_GB2312" w:eastAsia="仿宋_GB2312" w:cs="仿宋_GB2312"/>
                <w:b w:val="0"/>
                <w:bCs w:val="0"/>
                <w:snapToGrid w:val="0"/>
                <w:color w:val="auto"/>
                <w:spacing w:val="-6"/>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spacing w:val="-6"/>
                <w:kern w:val="21"/>
                <w:sz w:val="24"/>
                <w:szCs w:val="24"/>
                <w:highlight w:val="none"/>
                <w:u w:val="none"/>
                <w:lang w:bidi="ar"/>
              </w:rPr>
              <w:t>组织开展</w:t>
            </w:r>
            <w:r>
              <w:rPr>
                <w:rFonts w:hint="eastAsia" w:ascii="仿宋_GB2312" w:hAnsi="仿宋_GB2312" w:eastAsia="仿宋_GB2312" w:cs="仿宋_GB2312"/>
                <w:b w:val="0"/>
                <w:bCs w:val="0"/>
                <w:snapToGrid w:val="0"/>
                <w:color w:val="auto"/>
                <w:spacing w:val="-6"/>
                <w:kern w:val="21"/>
                <w:sz w:val="24"/>
                <w:szCs w:val="24"/>
                <w:highlight w:val="none"/>
                <w:u w:val="none"/>
                <w:lang w:eastAsia="zh-CN" w:bidi="ar"/>
              </w:rPr>
              <w:t>全市</w:t>
            </w:r>
            <w:r>
              <w:rPr>
                <w:rFonts w:hint="eastAsia" w:ascii="仿宋_GB2312" w:hAnsi="仿宋_GB2312" w:eastAsia="仿宋_GB2312" w:cs="仿宋_GB2312"/>
                <w:b w:val="0"/>
                <w:bCs w:val="0"/>
                <w:snapToGrid w:val="0"/>
                <w:color w:val="auto"/>
                <w:spacing w:val="-6"/>
                <w:kern w:val="21"/>
                <w:sz w:val="24"/>
                <w:szCs w:val="24"/>
                <w:highlight w:val="none"/>
                <w:u w:val="none"/>
                <w:lang w:bidi="ar"/>
              </w:rPr>
              <w:t>各级各部门联合</w:t>
            </w:r>
            <w:r>
              <w:rPr>
                <w:rFonts w:hint="eastAsia" w:ascii="仿宋_GB2312" w:hAnsi="仿宋_GB2312" w:eastAsia="仿宋_GB2312" w:cs="仿宋_GB2312"/>
                <w:b w:val="0"/>
                <w:bCs w:val="0"/>
                <w:snapToGrid w:val="0"/>
                <w:color w:val="auto"/>
                <w:spacing w:val="-6"/>
                <w:kern w:val="21"/>
                <w:sz w:val="24"/>
                <w:szCs w:val="24"/>
                <w:highlight w:val="none"/>
                <w:u w:val="none"/>
                <w:lang w:eastAsia="zh-CN" w:bidi="ar"/>
              </w:rPr>
              <w:t>“</w:t>
            </w:r>
            <w:r>
              <w:rPr>
                <w:rFonts w:hint="eastAsia" w:ascii="仿宋_GB2312" w:hAnsi="仿宋_GB2312" w:eastAsia="仿宋_GB2312" w:cs="仿宋_GB2312"/>
                <w:b w:val="0"/>
                <w:bCs w:val="0"/>
                <w:snapToGrid w:val="0"/>
                <w:color w:val="auto"/>
                <w:spacing w:val="-6"/>
                <w:kern w:val="21"/>
                <w:sz w:val="24"/>
                <w:szCs w:val="24"/>
                <w:highlight w:val="none"/>
                <w:u w:val="none"/>
                <w:lang w:bidi="ar"/>
              </w:rPr>
              <w:t>双随机、一公开</w:t>
            </w:r>
            <w:r>
              <w:rPr>
                <w:rFonts w:hint="eastAsia" w:ascii="仿宋_GB2312" w:hAnsi="仿宋_GB2312" w:eastAsia="仿宋_GB2312" w:cs="仿宋_GB2312"/>
                <w:b w:val="0"/>
                <w:bCs w:val="0"/>
                <w:snapToGrid w:val="0"/>
                <w:color w:val="auto"/>
                <w:spacing w:val="-6"/>
                <w:kern w:val="21"/>
                <w:sz w:val="24"/>
                <w:szCs w:val="24"/>
                <w:highlight w:val="none"/>
                <w:u w:val="none"/>
                <w:lang w:eastAsia="zh-CN" w:bidi="ar"/>
              </w:rPr>
              <w:t>”</w:t>
            </w:r>
            <w:r>
              <w:rPr>
                <w:rFonts w:hint="eastAsia" w:ascii="仿宋_GB2312" w:hAnsi="仿宋_GB2312" w:eastAsia="仿宋_GB2312" w:cs="仿宋_GB2312"/>
                <w:b w:val="0"/>
                <w:bCs w:val="0"/>
                <w:snapToGrid w:val="0"/>
                <w:color w:val="auto"/>
                <w:spacing w:val="-6"/>
                <w:kern w:val="21"/>
                <w:sz w:val="24"/>
                <w:szCs w:val="24"/>
                <w:highlight w:val="none"/>
                <w:u w:val="none"/>
                <w:lang w:bidi="ar"/>
              </w:rPr>
              <w:t>监管不少于10次。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柳城县全面实施“双随机、一公开”监管部门联席会议其他成员单位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159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深入推进</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互联网＋监管</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实现监管风险闭环处置，拓展掌上执法应用，风险预警处置率达到100%。探索智能监管应用，在重点领域推行非接触式监管智能化应用。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160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强化反垄断</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深入推进公平竞争</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构建覆盖事前事中事后全环节公平竞争政策实施机制，健全公平竞争审查机制，强化反垄断反不正当竞争，促进形成公平竞争的市场环境，配合自治区建立强化反垄断与公平竞争工作协调机制，强化反垄断执法深入推进公平竞争政策实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r>
              <w:rPr>
                <w:rFonts w:hint="eastAsia" w:ascii="仿宋_GB2312" w:hAnsi="仿宋_GB2312" w:eastAsia="仿宋_GB2312" w:cs="仿宋_GB2312"/>
                <w:b w:val="0"/>
                <w:bCs w:val="0"/>
                <w:snapToGrid w:val="0"/>
                <w:color w:val="auto"/>
                <w:kern w:val="21"/>
                <w:sz w:val="24"/>
                <w:szCs w:val="24"/>
                <w:highlight w:val="none"/>
                <w:u w:val="none"/>
                <w:lang w:bidi="ar"/>
              </w:rPr>
              <w:t>、财政</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科技工贸信息化局</w:t>
            </w:r>
            <w:r>
              <w:rPr>
                <w:rFonts w:hint="eastAsia" w:ascii="仿宋_GB2312" w:hAnsi="仿宋_GB2312" w:eastAsia="仿宋_GB2312" w:cs="仿宋_GB2312"/>
                <w:b w:val="0"/>
                <w:bCs w:val="0"/>
                <w:snapToGrid w:val="0"/>
                <w:color w:val="auto"/>
                <w:kern w:val="21"/>
                <w:sz w:val="24"/>
                <w:szCs w:val="24"/>
                <w:highlight w:val="none"/>
                <w:u w:val="none"/>
                <w:lang w:bidi="ar"/>
              </w:rPr>
              <w:t>、司法</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进一步提高政府监管效能推动高质量发展</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建立健全跨部门综合监管制度，完善各司其职、各负其责、相互配合、齐抓共管的协同监管机制，统筹推进市场监管、质量监管、安全监管、金融监管，加快建立全方位、多层次、立体化监管体系，建立贯穿监管工作全过程的监督机制，</w:t>
            </w:r>
            <w:r>
              <w:rPr>
                <w:rFonts w:hint="eastAsia" w:ascii="仿宋_GB2312" w:hAnsi="仿宋_GB2312" w:eastAsia="仿宋_GB2312" w:cs="仿宋_GB2312"/>
                <w:b w:val="0"/>
                <w:bCs w:val="0"/>
                <w:snapToGrid w:val="0"/>
                <w:color w:val="auto"/>
                <w:kern w:val="21"/>
                <w:sz w:val="24"/>
                <w:szCs w:val="24"/>
                <w:highlight w:val="none"/>
                <w:u w:val="none"/>
                <w:lang w:eastAsia="zh-CN" w:bidi="ar"/>
              </w:rPr>
              <w:t>贯彻落实自治区进一步提高政府监管效能推动高质量发展的若干措施。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6"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财政</w:t>
            </w:r>
            <w:r>
              <w:rPr>
                <w:rFonts w:hint="eastAsia" w:ascii="仿宋_GB2312" w:hAnsi="仿宋_GB2312" w:eastAsia="仿宋_GB2312" w:cs="仿宋_GB2312"/>
                <w:b w:val="0"/>
                <w:bCs w:val="0"/>
                <w:snapToGrid w:val="0"/>
                <w:color w:val="auto"/>
                <w:kern w:val="21"/>
                <w:sz w:val="24"/>
                <w:szCs w:val="24"/>
                <w:highlight w:val="none"/>
                <w:u w:val="none"/>
                <w:lang w:bidi="ar"/>
              </w:rPr>
              <w:t>局</w:t>
            </w:r>
            <w:r>
              <w:rPr>
                <w:rFonts w:hint="eastAsia" w:ascii="仿宋_GB2312" w:hAnsi="仿宋_GB2312" w:eastAsia="仿宋_GB2312" w:cs="仿宋_GB2312"/>
                <w:b w:val="0"/>
                <w:bCs w:val="0"/>
                <w:snapToGrid w:val="0"/>
                <w:color w:val="auto"/>
                <w:kern w:val="21"/>
                <w:sz w:val="24"/>
                <w:szCs w:val="24"/>
                <w:highlight w:val="none"/>
                <w:u w:val="none"/>
                <w:lang w:eastAsia="zh-CN" w:bidi="ar"/>
              </w:rPr>
              <w:t>、行政审批局，人民银行柳城县支行、柳州银保监分局柳城监管组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防范和化解拖欠中小企业账款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依靠法治化、市场化方法并适当采取行政手段，集中化解存量拖欠账款；</w:t>
            </w:r>
            <w:r>
              <w:rPr>
                <w:rFonts w:hint="eastAsia" w:ascii="仿宋_GB2312" w:hAnsi="仿宋_GB2312" w:eastAsia="仿宋_GB2312" w:cs="仿宋_GB2312"/>
                <w:b w:val="0"/>
                <w:bCs w:val="0"/>
                <w:snapToGrid w:val="0"/>
                <w:color w:val="auto"/>
                <w:kern w:val="21"/>
                <w:sz w:val="24"/>
                <w:szCs w:val="24"/>
                <w:highlight w:val="none"/>
                <w:u w:val="none"/>
                <w:lang w:bidi="ar"/>
              </w:rPr>
              <w:t>持续通过预算管理、绩效考核、审计监督等落实拖欠账款行为约束惩戒措施，防止</w:t>
            </w:r>
            <w:r>
              <w:rPr>
                <w:rFonts w:hint="eastAsia" w:ascii="仿宋_GB2312" w:hAnsi="仿宋_GB2312" w:eastAsia="仿宋_GB2312" w:cs="仿宋_GB2312"/>
                <w:b w:val="0"/>
                <w:bCs w:val="0"/>
                <w:snapToGrid w:val="0"/>
                <w:color w:val="auto"/>
                <w:kern w:val="21"/>
                <w:sz w:val="24"/>
                <w:szCs w:val="24"/>
                <w:highlight w:val="none"/>
                <w:u w:val="none"/>
                <w:lang w:eastAsia="zh-CN" w:bidi="ar"/>
              </w:rPr>
              <w:t>出现新增</w:t>
            </w:r>
            <w:r>
              <w:rPr>
                <w:rFonts w:hint="eastAsia" w:ascii="仿宋_GB2312" w:hAnsi="仿宋_GB2312" w:eastAsia="仿宋_GB2312" w:cs="仿宋_GB2312"/>
                <w:b w:val="0"/>
                <w:bCs w:val="0"/>
                <w:snapToGrid w:val="0"/>
                <w:color w:val="auto"/>
                <w:kern w:val="21"/>
                <w:sz w:val="24"/>
                <w:szCs w:val="24"/>
                <w:highlight w:val="none"/>
                <w:u w:val="none"/>
                <w:lang w:bidi="ar"/>
              </w:rPr>
              <w:t>拖欠市场主体账款</w:t>
            </w:r>
            <w:r>
              <w:rPr>
                <w:rFonts w:hint="eastAsia" w:ascii="仿宋_GB2312" w:hAnsi="仿宋_GB2312" w:eastAsia="仿宋_GB2312" w:cs="仿宋_GB2312"/>
                <w:b w:val="0"/>
                <w:bCs w:val="0"/>
                <w:snapToGrid w:val="0"/>
                <w:color w:val="auto"/>
                <w:kern w:val="21"/>
                <w:sz w:val="24"/>
                <w:szCs w:val="24"/>
                <w:highlight w:val="none"/>
                <w:u w:val="none"/>
                <w:lang w:eastAsia="zh-CN" w:bidi="ar"/>
              </w:rPr>
              <w:t>情况</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强化经营性自建房安全监督管理</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加强自建房用于经营的审批监管，指导房屋产权人或使用人在办理相关经营许可、开展经营活动前依法依规取得房屋安全鉴定合格证明。存在违法建设、违法违规审批问题的自建房，不得用于经营活动。</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推动信用信息共享</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全年全市信用数据归集共享数量达0.23亿条，按照全国公共信用信息目录（2021版）</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、《柳州市公共信用信息基础目录（</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2022版</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，更新出台《</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柳城县</w:t>
            </w:r>
            <w:r>
              <w:rPr>
                <w:rFonts w:hint="eastAsia" w:ascii="仿宋_GB2312" w:hAnsi="仿宋_GB2312" w:eastAsia="仿宋_GB2312" w:cs="仿宋_GB2312"/>
                <w:b w:val="0"/>
                <w:bCs w:val="0"/>
                <w:snapToGrid w:val="0"/>
                <w:color w:val="auto"/>
                <w:kern w:val="21"/>
                <w:sz w:val="24"/>
                <w:szCs w:val="24"/>
                <w:highlight w:val="none"/>
                <w:u w:val="none"/>
                <w:lang w:bidi="ar"/>
              </w:rPr>
              <w:t>公共信用信息基础目录（2022年版）》，</w:t>
            </w:r>
            <w:r>
              <w:rPr>
                <w:rFonts w:hint="eastAsia" w:ascii="仿宋_GB2312" w:hAnsi="仿宋_GB2312" w:eastAsia="仿宋_GB2312" w:cs="仿宋_GB2312"/>
                <w:b w:val="0"/>
                <w:bCs w:val="0"/>
                <w:snapToGrid w:val="0"/>
                <w:color w:val="auto"/>
                <w:kern w:val="21"/>
                <w:sz w:val="24"/>
                <w:szCs w:val="24"/>
                <w:highlight w:val="none"/>
                <w:u w:val="none"/>
                <w:lang w:eastAsia="zh-CN" w:bidi="ar"/>
              </w:rPr>
              <w:t>要求</w:t>
            </w:r>
            <w:r>
              <w:rPr>
                <w:rFonts w:hint="eastAsia" w:ascii="仿宋_GB2312" w:hAnsi="仿宋_GB2312" w:eastAsia="仿宋_GB2312" w:cs="仿宋_GB2312"/>
                <w:b w:val="0"/>
                <w:bCs w:val="0"/>
                <w:snapToGrid w:val="0"/>
                <w:color w:val="auto"/>
                <w:kern w:val="21"/>
                <w:sz w:val="24"/>
                <w:szCs w:val="24"/>
                <w:highlight w:val="none"/>
                <w:u w:val="none"/>
                <w:lang w:bidi="ar"/>
              </w:rPr>
              <w:t>实现应归尽归，支撑信用服务实体经济、市场监管和社会治理发挥更大效力。</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柳城县社会信用体系建设联席会议制度成员单位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健全与市场准入负面清单制度相适应的准入机制、审批机制、事中事后监管机制和激励惩戒机制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全面落实“全国一张清单”管理模式，</w:t>
            </w:r>
            <w:r>
              <w:rPr>
                <w:rFonts w:hint="eastAsia" w:ascii="仿宋_GB2312" w:hAnsi="仿宋_GB2312" w:eastAsia="仿宋_GB2312" w:cs="仿宋_GB2312"/>
                <w:b w:val="0"/>
                <w:bCs w:val="0"/>
                <w:snapToGrid w:val="0"/>
                <w:color w:val="auto"/>
                <w:kern w:val="21"/>
                <w:sz w:val="24"/>
                <w:szCs w:val="24"/>
                <w:highlight w:val="none"/>
                <w:u w:val="none"/>
                <w:lang w:eastAsia="zh-CN" w:bidi="ar"/>
              </w:rPr>
              <w:t>研究制定</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2022年版市场准入负面清单柳城县实施分工方案，落实市场准入负面清单案例归集和通报制度，配合国家、自治区、柳州市做好市场准入负面清单动态调整工作。配合柳州市研究</w:t>
            </w:r>
            <w:r>
              <w:rPr>
                <w:rFonts w:hint="eastAsia" w:ascii="仿宋_GB2312" w:hAnsi="仿宋_GB2312" w:eastAsia="仿宋_GB2312" w:cs="仿宋_GB2312"/>
                <w:b w:val="0"/>
                <w:bCs w:val="0"/>
                <w:snapToGrid w:val="0"/>
                <w:color w:val="auto"/>
                <w:kern w:val="21"/>
                <w:sz w:val="24"/>
                <w:szCs w:val="24"/>
                <w:highlight w:val="none"/>
                <w:u w:val="none"/>
                <w:lang w:bidi="ar"/>
              </w:rPr>
              <w:t>制定</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w:t>
            </w:r>
            <w:r>
              <w:rPr>
                <w:rFonts w:hint="eastAsia" w:ascii="仿宋_GB2312" w:hAnsi="仿宋_GB2312" w:eastAsia="仿宋_GB2312" w:cs="仿宋_GB2312"/>
                <w:b w:val="0"/>
                <w:bCs w:val="0"/>
                <w:snapToGrid w:val="0"/>
                <w:color w:val="auto"/>
                <w:kern w:val="21"/>
                <w:sz w:val="24"/>
                <w:szCs w:val="24"/>
                <w:highlight w:val="none"/>
                <w:u w:val="none"/>
                <w:lang w:bidi="ar"/>
              </w:rPr>
              <w:t>贯彻落实加快建设全国统一大市场的政策措施</w:t>
            </w:r>
            <w:r>
              <w:rPr>
                <w:rFonts w:hint="eastAsia" w:ascii="仿宋_GB2312" w:hAnsi="仿宋_GB2312" w:eastAsia="仿宋_GB2312" w:cs="仿宋_GB2312"/>
                <w:b w:val="0"/>
                <w:bCs w:val="0"/>
                <w:snapToGrid w:val="0"/>
                <w:color w:val="auto"/>
                <w:kern w:val="21"/>
                <w:sz w:val="24"/>
                <w:szCs w:val="24"/>
                <w:highlight w:val="none"/>
                <w:u w:val="none"/>
                <w:lang w:eastAsia="zh-CN" w:bidi="ar"/>
              </w:rPr>
              <w:t>。稳步推进要素市场化配置改革。</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、自然资源</w:t>
            </w:r>
            <w:r>
              <w:rPr>
                <w:rFonts w:hint="eastAsia" w:ascii="仿宋_GB2312" w:hAnsi="仿宋_GB2312" w:eastAsia="仿宋_GB2312" w:cs="仿宋_GB2312"/>
                <w:b w:val="0"/>
                <w:bCs w:val="0"/>
                <w:snapToGrid w:val="0"/>
                <w:color w:val="auto"/>
                <w:kern w:val="21"/>
                <w:sz w:val="24"/>
                <w:szCs w:val="24"/>
                <w:highlight w:val="none"/>
                <w:u w:val="none"/>
                <w:lang w:eastAsia="zh-CN" w:bidi="ar"/>
              </w:rPr>
              <w:t>和规划局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科技工贸信息化局</w:t>
            </w:r>
            <w:r>
              <w:rPr>
                <w:rFonts w:hint="eastAsia" w:ascii="仿宋_GB2312" w:hAnsi="仿宋_GB2312" w:eastAsia="仿宋_GB2312" w:cs="仿宋_GB2312"/>
                <w:b w:val="0"/>
                <w:bCs w:val="0"/>
                <w:snapToGrid w:val="0"/>
                <w:color w:val="auto"/>
                <w:kern w:val="21"/>
                <w:sz w:val="24"/>
                <w:szCs w:val="24"/>
                <w:highlight w:val="none"/>
                <w:u w:val="none"/>
                <w:lang w:bidi="ar"/>
              </w:rPr>
              <w:t>、市场监管局、税务局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探索对重点行业从业人员建立个人信用体系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探索将医疗、教育、工程建设等重点领域从业人员的执业行为记入个人信用记录，并共享至全国信用信息共享平台</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对存在严重不良行为的</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依法实行行业禁入等惩戒措施。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县教育局、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167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在部分重点领域建立事前事中事后全流程监管机制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在消防安全、食品药品、环境保护、水土保持、医疗卫生等重点领域，建立完善全链条、全流程监管体系，并探索制定行业信用监管标准化工作规范，提高监管效能。</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县市场监管局、发展改革局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柳城生态环境局</w:t>
            </w:r>
            <w:r>
              <w:rPr>
                <w:rFonts w:hint="eastAsia" w:ascii="仿宋_GB2312" w:hAnsi="仿宋_GB2312" w:eastAsia="仿宋_GB2312" w:cs="仿宋_GB2312"/>
                <w:b w:val="0"/>
                <w:bCs w:val="0"/>
                <w:snapToGrid w:val="0"/>
                <w:color w:val="auto"/>
                <w:kern w:val="21"/>
                <w:sz w:val="24"/>
                <w:szCs w:val="24"/>
                <w:highlight w:val="none"/>
                <w:u w:val="none"/>
                <w:lang w:bidi="ar"/>
              </w:rPr>
              <w:t>、住房城乡建设</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、水利</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卫生健康局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市场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监管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探索形成企业全生命周期监管链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配合自治区、柳州市</w:t>
            </w:r>
            <w:r>
              <w:rPr>
                <w:rFonts w:hint="eastAsia" w:ascii="仿宋_GB2312" w:hAnsi="仿宋_GB2312" w:eastAsia="仿宋_GB2312" w:cs="仿宋_GB2312"/>
                <w:b w:val="0"/>
                <w:bCs w:val="0"/>
                <w:snapToGrid w:val="0"/>
                <w:color w:val="auto"/>
                <w:kern w:val="21"/>
                <w:sz w:val="24"/>
                <w:szCs w:val="24"/>
                <w:highlight w:val="none"/>
                <w:u w:val="none"/>
                <w:lang w:bidi="ar"/>
              </w:rPr>
              <w:t>在企业办理注册登记、资质审核、行政许可及接受日常监管、公共服务过程中，记录企业信用信息，在此基础上实现分级分类监管。</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县市场监管局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深化</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互联网＋政务服务</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依托广西数字政务一体化政务服务平台、龙城市民云APP，利用</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5G+AI</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等技术，</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配合自治区、柳州市</w:t>
            </w:r>
            <w:r>
              <w:rPr>
                <w:rFonts w:hint="eastAsia" w:ascii="仿宋_GB2312" w:hAnsi="仿宋_GB2312" w:eastAsia="仿宋_GB2312" w:cs="仿宋_GB2312"/>
                <w:b w:val="0"/>
                <w:bCs w:val="0"/>
                <w:snapToGrid w:val="0"/>
                <w:color w:val="auto"/>
                <w:kern w:val="21"/>
                <w:sz w:val="24"/>
                <w:szCs w:val="24"/>
                <w:highlight w:val="none"/>
                <w:u w:val="none"/>
                <w:lang w:bidi="ar"/>
              </w:rPr>
              <w:t>推进</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一网通办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指尖通办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集成化政务服务不断深化，实现依申请政务服务事项的全程网上可办率达</w:t>
            </w:r>
            <w:r>
              <w:rPr>
                <w:rFonts w:hint="eastAsia" w:ascii="仿宋_GB2312" w:hAnsi="仿宋_GB2312" w:eastAsia="仿宋_GB2312" w:cs="仿宋_GB2312"/>
                <w:b w:val="0"/>
                <w:bCs w:val="0"/>
                <w:snapToGrid w:val="0"/>
                <w:color w:val="auto"/>
                <w:kern w:val="21"/>
                <w:sz w:val="24"/>
                <w:szCs w:val="24"/>
                <w:highlight w:val="none"/>
                <w:u w:val="none"/>
                <w:lang w:eastAsia="zh-CN" w:bidi="ar"/>
              </w:rPr>
              <w:t>到</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65</w:t>
            </w:r>
            <w:r>
              <w:rPr>
                <w:rFonts w:hint="eastAsia" w:ascii="仿宋_GB2312" w:hAnsi="仿宋_GB2312" w:eastAsia="仿宋_GB2312" w:cs="仿宋_GB2312"/>
                <w:b w:val="0"/>
                <w:bCs w:val="0"/>
                <w:snapToGrid w:val="0"/>
                <w:color w:val="auto"/>
                <w:kern w:val="21"/>
                <w:sz w:val="24"/>
                <w:szCs w:val="24"/>
                <w:highlight w:val="none"/>
                <w:u w:val="none"/>
                <w:lang w:bidi="ar"/>
              </w:rPr>
              <w:t>%以上。扩大</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跨省通办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范围，</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配合自治区实现</w:t>
            </w:r>
            <w:r>
              <w:rPr>
                <w:rFonts w:hint="eastAsia" w:ascii="仿宋_GB2312" w:hAnsi="仿宋_GB2312" w:eastAsia="仿宋_GB2312" w:cs="仿宋_GB2312"/>
                <w:b w:val="0"/>
                <w:bCs w:val="0"/>
                <w:snapToGrid w:val="0"/>
                <w:color w:val="auto"/>
                <w:kern w:val="21"/>
                <w:sz w:val="24"/>
                <w:szCs w:val="24"/>
                <w:highlight w:val="none"/>
                <w:u w:val="none"/>
                <w:lang w:bidi="ar"/>
              </w:rPr>
              <w:t>2022年新增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跨省通办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事项100项。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各乡镇人民政府、华侨管理区，具有依申请政务服务事项的县直、市直、中区直部门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进一步推动政策落实</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精准锁定政策规定范围内的经营主体，主动送政策上门、送优惠帮扶、答疑解惑纾困解难，把“人找政策”改为“政策找人”。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SA"/>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rPr>
              <w:t>县优化营商环境工作领导小组其他成员单位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深化“全链通办”</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推进高质量政务服务集成化服务，建立企业、个人、特殊群体、特色产业“全链通办”集成服务清单管理制度和更新机制，推进实现“线上一网通查、线下一窗通查”，初步形成办事领域覆盖齐全，办事链条周期完整，办理模式便捷畅通的“全链通办”模式。</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持续优化政务效能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u w:val="none"/>
                <w:lang w:bidi="ar"/>
              </w:rPr>
              <w:t>依申请政务服务事项即办件占比高于2021年水平。</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各乡镇人民政府、华侨管理区，具有依申请政务服务事项的县直、市直、中区直部门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拓宽电子证照应用范围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推行企业办事</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一照通办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配合自治区、柳州市</w:t>
            </w:r>
            <w:r>
              <w:rPr>
                <w:rFonts w:hint="eastAsia" w:ascii="仿宋_GB2312" w:hAnsi="仿宋_GB2312" w:eastAsia="仿宋_GB2312" w:cs="仿宋_GB2312"/>
                <w:b w:val="0"/>
                <w:bCs w:val="0"/>
                <w:snapToGrid w:val="0"/>
                <w:color w:val="auto"/>
                <w:kern w:val="21"/>
                <w:sz w:val="24"/>
                <w:szCs w:val="24"/>
                <w:highlight w:val="none"/>
                <w:u w:val="none"/>
                <w:lang w:bidi="ar"/>
              </w:rPr>
              <w:t>加快推进电子证照应用及政府部门间数据共享，探索实行企业仅凭营业执照即可办理经营许可、纳税、社保、医疗、民政等领域高频政务服务事项，精简政务服务事项申请材料，避免企业重复报送，在更大范围实施政务服务</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免</w:t>
            </w:r>
            <w:r>
              <w:rPr>
                <w:rFonts w:hint="eastAsia" w:ascii="仿宋_GB2312" w:hAnsi="仿宋_GB2312" w:eastAsia="仿宋_GB2312" w:cs="仿宋_GB2312"/>
                <w:b w:val="0"/>
                <w:bCs w:val="0"/>
                <w:snapToGrid w:val="0"/>
                <w:color w:val="auto"/>
                <w:kern w:val="21"/>
                <w:sz w:val="24"/>
                <w:szCs w:val="24"/>
                <w:highlight w:val="none"/>
                <w:u w:val="none"/>
                <w:lang w:eastAsia="zh-CN" w:bidi="ar"/>
              </w:rPr>
              <w:t>证</w:t>
            </w:r>
            <w:r>
              <w:rPr>
                <w:rFonts w:hint="eastAsia" w:ascii="仿宋_GB2312" w:hAnsi="仿宋_GB2312" w:eastAsia="仿宋_GB2312" w:cs="仿宋_GB2312"/>
                <w:b w:val="0"/>
                <w:bCs w:val="0"/>
                <w:snapToGrid w:val="0"/>
                <w:color w:val="auto"/>
                <w:kern w:val="21"/>
                <w:sz w:val="24"/>
                <w:szCs w:val="24"/>
                <w:highlight w:val="none"/>
                <w:u w:val="none"/>
                <w:lang w:bidi="ar"/>
              </w:rPr>
              <w:t>办</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零材料</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实现55%政务服务事项完成电子证照关联。</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各乡镇人民政府、华侨管理区，具有依申请政务服务事项的县直、市直、中区直部门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扩大电子印章、电子证照应用范围</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扩大企业电子印章应用范围。依托全区统一企业电子印章公共服务平台，扩大企业电子印章在商务合同、招</w:t>
            </w:r>
            <w:r>
              <w:rPr>
                <w:rFonts w:hint="eastAsia" w:ascii="仿宋_GB2312" w:hAnsi="仿宋_GB2312" w:eastAsia="仿宋_GB2312" w:cs="仿宋_GB2312"/>
                <w:b w:val="0"/>
                <w:bCs w:val="0"/>
                <w:snapToGrid w:val="0"/>
                <w:color w:val="auto"/>
                <w:kern w:val="21"/>
                <w:sz w:val="24"/>
                <w:szCs w:val="24"/>
                <w:highlight w:val="none"/>
                <w:u w:val="none"/>
                <w:lang w:eastAsia="zh-CN" w:bidi="ar"/>
              </w:rPr>
              <w:t>标</w:t>
            </w:r>
            <w:r>
              <w:rPr>
                <w:rFonts w:hint="eastAsia" w:ascii="仿宋_GB2312" w:hAnsi="仿宋_GB2312" w:eastAsia="仿宋_GB2312" w:cs="仿宋_GB2312"/>
                <w:b w:val="0"/>
                <w:bCs w:val="0"/>
                <w:snapToGrid w:val="0"/>
                <w:color w:val="auto"/>
                <w:kern w:val="21"/>
                <w:sz w:val="24"/>
                <w:szCs w:val="24"/>
                <w:highlight w:val="none"/>
                <w:u w:val="none"/>
                <w:lang w:bidi="ar"/>
              </w:rPr>
              <w:t>投标、水电气服务、银行业务办理等业务场景的应用范围。</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各乡镇人民政府、华侨管理区，具有依申请政务服务事项的县直、市直、中区直部门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1"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证照分离</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改革</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依托全区电子证照库建设，推动各部门自信息产生之日起7个工作日内，将涉企事项的许可、备案等信息归集到</w:t>
            </w:r>
            <w:r>
              <w:rPr>
                <w:rFonts w:hint="eastAsia" w:ascii="仿宋_GB2312" w:hAnsi="仿宋_GB2312" w:eastAsia="仿宋_GB2312" w:cs="仿宋_GB2312"/>
                <w:b w:val="0"/>
                <w:bCs w:val="0"/>
                <w:snapToGrid w:val="0"/>
                <w:color w:val="auto"/>
                <w:kern w:val="21"/>
                <w:sz w:val="24"/>
                <w:szCs w:val="24"/>
                <w:highlight w:val="none"/>
                <w:u w:val="none"/>
                <w:lang w:eastAsia="zh-CN" w:bidi="ar"/>
              </w:rPr>
              <w:t>柳州市政务</w:t>
            </w:r>
            <w:r>
              <w:rPr>
                <w:rFonts w:hint="eastAsia" w:ascii="仿宋_GB2312" w:hAnsi="仿宋_GB2312" w:eastAsia="仿宋_GB2312" w:cs="仿宋_GB2312"/>
                <w:b w:val="0"/>
                <w:bCs w:val="0"/>
                <w:snapToGrid w:val="0"/>
                <w:color w:val="auto"/>
                <w:kern w:val="21"/>
                <w:sz w:val="24"/>
                <w:szCs w:val="24"/>
                <w:highlight w:val="none"/>
                <w:u w:val="none"/>
                <w:lang w:bidi="ar"/>
              </w:rPr>
              <w:t>共享交换平台</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县行政审批局</w:t>
            </w:r>
            <w:r>
              <w:rPr>
                <w:rFonts w:hint="eastAsia" w:ascii="仿宋_GB2312" w:hAnsi="仿宋_GB2312" w:eastAsia="仿宋_GB2312" w:cs="仿宋_GB2312"/>
                <w:b w:val="0"/>
                <w:bCs w:val="0"/>
                <w:snapToGrid w:val="0"/>
                <w:color w:val="auto"/>
                <w:kern w:val="21"/>
                <w:sz w:val="24"/>
                <w:szCs w:val="24"/>
                <w:highlight w:val="none"/>
                <w:u w:val="none"/>
                <w:lang w:bidi="ar"/>
              </w:rPr>
              <w:t>、市场监管局</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全县涉企经营许可事项有关主管部门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8"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176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政务</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服务</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加快培育发展数据要素市场</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配合柳州市研究建立数据共享制度规范，探索统一规范的数据管理制度。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开放</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配合自治区完成</w:t>
            </w:r>
            <w:r>
              <w:rPr>
                <w:rFonts w:hint="eastAsia" w:ascii="仿宋_GB2312" w:hAnsi="仿宋_GB2312" w:eastAsia="仿宋_GB2312" w:cs="仿宋_GB2312"/>
                <w:b w:val="0"/>
                <w:bCs w:val="0"/>
                <w:snapToGrid w:val="0"/>
                <w:color w:val="auto"/>
                <w:kern w:val="21"/>
                <w:sz w:val="24"/>
                <w:szCs w:val="24"/>
                <w:highlight w:val="none"/>
                <w:u w:val="none"/>
                <w:lang w:bidi="ar"/>
              </w:rPr>
              <w:t>实际利用外资18.2亿美元</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配合自治区完成</w:t>
            </w:r>
            <w:r>
              <w:rPr>
                <w:rFonts w:hint="eastAsia" w:ascii="仿宋_GB2312" w:hAnsi="仿宋_GB2312" w:eastAsia="仿宋_GB2312" w:cs="仿宋_GB2312"/>
                <w:b w:val="0"/>
                <w:bCs w:val="0"/>
                <w:snapToGrid w:val="0"/>
                <w:color w:val="auto"/>
                <w:kern w:val="21"/>
                <w:sz w:val="24"/>
                <w:szCs w:val="24"/>
                <w:highlight w:val="none"/>
                <w:u w:val="none"/>
                <w:lang w:bidi="ar"/>
              </w:rPr>
              <w:t>实际利用外资18.2亿美元。</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投资促进中心</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开放</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进出口总额增长7%</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进出口总额增长7%。</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柳城海事处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179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开放</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完善企业</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走出去</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综合服务</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优化政务服务，加强对企业指导服务，不断提升</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走出去</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综合服务水平，支持优势企业充分用好RCEP实施生效机遇，布局海外市场。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柳城海事处、投资促进中心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开放</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争创跨境电商综合试验区</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加快外贸平台载体升级发展，积极培育发展跨境电商等外贸新业态新模式，努力争创跨境电商综合试验区。</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宋体" w:hAnsi="宋体" w:eastAsia="宋体" w:cs="宋体"/>
                <w:i w:val="0"/>
                <w:iCs w:val="0"/>
                <w:color w:val="000000"/>
                <w:kern w:val="0"/>
                <w:sz w:val="24"/>
                <w:szCs w:val="24"/>
                <w:u w:val="none"/>
                <w:lang w:val="en-US" w:eastAsia="zh-CN" w:bidi="ar"/>
              </w:rPr>
              <w:t>181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对外</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开放</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实施外商投资企业精准服务机制。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建立外商投资企业投诉工作机制和部门协调配合机制，完善投诉处理规则，规范处理程序，高效处理外商投资者反映的问题，保护外商投资企业合法权益。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县科技工贸信息化局、投资促进中心</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持续增加国家高新技术企业、国家科技型中小企业入库数</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2022年完成评价入库科技型中小企业800家，新认定高新技术企业200家，全市高新技术企业保有量达700家以上。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r>
              <w:rPr>
                <w:rFonts w:hint="eastAsia" w:ascii="仿宋_GB2312" w:hAnsi="仿宋_GB2312" w:eastAsia="仿宋_GB2312" w:cs="仿宋_GB2312"/>
                <w:b w:val="0"/>
                <w:bCs w:val="0"/>
                <w:snapToGrid w:val="0"/>
                <w:color w:val="auto"/>
                <w:kern w:val="21"/>
                <w:sz w:val="24"/>
                <w:szCs w:val="24"/>
                <w:highlight w:val="none"/>
                <w:u w:val="none"/>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5"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rPr>
              <w:t>推进产业链创新链融合发展，围绕重点产业链持续培育认定一批企业技术中心，深入实施“千企技改”工程，推动新产品、新技术产业化。</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构建顺畅高效的技术成果转化体系</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围绕自治区优势特色产业发展需求，</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配合自治区、柳州市</w:t>
            </w:r>
            <w:r>
              <w:rPr>
                <w:rFonts w:hint="eastAsia" w:ascii="仿宋_GB2312" w:hAnsi="仿宋_GB2312" w:eastAsia="仿宋_GB2312" w:cs="仿宋_GB2312"/>
                <w:b w:val="0"/>
                <w:bCs w:val="0"/>
                <w:snapToGrid w:val="0"/>
                <w:color w:val="auto"/>
                <w:kern w:val="21"/>
                <w:sz w:val="24"/>
                <w:szCs w:val="24"/>
                <w:highlight w:val="none"/>
                <w:u w:val="none"/>
                <w:lang w:bidi="ar"/>
              </w:rPr>
              <w:t>持续加强科技成果转化中试研究基地建设；建立完善科技成果评价机制，持续</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推进科技成果转移转化综合服务平台建设。</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提高科研项目间接费用比例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对基础研究类和人才类项目推行经费包干制，实施和完善关键核心技术</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揭榜挂帅</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机制。</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推动创新要素高效配置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探索在高校、科研院所开展职务科技成果权属制度改革试点。</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r>
              <w:rPr>
                <w:rFonts w:hint="eastAsia" w:ascii="仿宋_GB2312" w:hAnsi="仿宋_GB2312" w:eastAsia="仿宋_GB2312" w:cs="仿宋_GB2312"/>
                <w:b w:val="0"/>
                <w:bCs w:val="0"/>
                <w:snapToGrid w:val="0"/>
                <w:color w:val="auto"/>
                <w:kern w:val="21"/>
                <w:sz w:val="24"/>
                <w:szCs w:val="24"/>
                <w:highlight w:val="none"/>
                <w:u w:val="none"/>
                <w:lang w:bidi="ar"/>
              </w:rPr>
              <w:t>、财政</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、人力资源社会保障</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r>
              <w:rPr>
                <w:rFonts w:hint="eastAsia" w:ascii="仿宋_GB2312" w:hAnsi="仿宋_GB2312" w:eastAsia="仿宋_GB2312" w:cs="仿宋_GB2312"/>
                <w:b w:val="0"/>
                <w:bCs w:val="0"/>
                <w:snapToGrid w:val="0"/>
                <w:color w:val="auto"/>
                <w:kern w:val="21"/>
                <w:sz w:val="24"/>
                <w:szCs w:val="24"/>
                <w:highlight w:val="none"/>
                <w:u w:val="none"/>
                <w:lang w:bidi="ar"/>
              </w:rPr>
              <w:t>、市场监管局、教育</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推动创新要素高效配置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优化科技金融服务，扩大无形资产质押担保业务规模，</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科创贷</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贷款金额比</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2021</w:t>
            </w:r>
            <w:r>
              <w:rPr>
                <w:rFonts w:hint="eastAsia" w:ascii="仿宋_GB2312" w:hAnsi="仿宋_GB2312" w:eastAsia="仿宋_GB2312" w:cs="仿宋_GB2312"/>
                <w:b w:val="0"/>
                <w:bCs w:val="0"/>
                <w:snapToGrid w:val="0"/>
                <w:color w:val="auto"/>
                <w:kern w:val="21"/>
                <w:sz w:val="24"/>
                <w:szCs w:val="24"/>
                <w:highlight w:val="none"/>
                <w:u w:val="none"/>
                <w:lang w:bidi="ar"/>
              </w:rPr>
              <w:t>年增长10%，</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配合自治区、柳州市实现</w:t>
            </w:r>
            <w:r>
              <w:rPr>
                <w:rFonts w:hint="eastAsia" w:ascii="仿宋_GB2312" w:hAnsi="仿宋_GB2312" w:eastAsia="仿宋_GB2312" w:cs="仿宋_GB2312"/>
                <w:b w:val="0"/>
                <w:bCs w:val="0"/>
                <w:snapToGrid w:val="0"/>
                <w:color w:val="auto"/>
                <w:kern w:val="21"/>
                <w:sz w:val="24"/>
                <w:szCs w:val="24"/>
                <w:highlight w:val="none"/>
                <w:u w:val="none"/>
                <w:lang w:bidi="ar"/>
              </w:rPr>
              <w:t>科创类政府投资基金规模比</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2021</w:t>
            </w:r>
            <w:r>
              <w:rPr>
                <w:rFonts w:hint="eastAsia" w:ascii="仿宋_GB2312" w:hAnsi="仿宋_GB2312" w:eastAsia="仿宋_GB2312" w:cs="仿宋_GB2312"/>
                <w:b w:val="0"/>
                <w:bCs w:val="0"/>
                <w:snapToGrid w:val="0"/>
                <w:color w:val="auto"/>
                <w:kern w:val="21"/>
                <w:sz w:val="24"/>
                <w:szCs w:val="24"/>
                <w:highlight w:val="none"/>
                <w:u w:val="none"/>
                <w:lang w:bidi="ar"/>
              </w:rPr>
              <w:t>年增长10</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县财政局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人民银行柳城县支行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推动创新要素高效配置</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优化科技企业孵化器、众创空间动态管理，推进科技企业孵化器、众创空间升级发展，</w:t>
            </w: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力争培育自治区级以上科技企业孵化器、众创空间2家以上。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189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加大对国家级专精特新</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小巨人</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企业培育力度。</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整合科技资源，加强大型科研仪器开放共享。</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rPr>
            </w:pPr>
            <w:r>
              <w:rPr>
                <w:rFonts w:hint="eastAsia" w:ascii="宋体" w:hAnsi="宋体" w:eastAsia="宋体" w:cs="宋体"/>
                <w:i w:val="0"/>
                <w:iCs w:val="0"/>
                <w:color w:val="000000"/>
                <w:kern w:val="0"/>
                <w:sz w:val="24"/>
                <w:szCs w:val="24"/>
                <w:u w:val="none"/>
                <w:lang w:val="en-US" w:eastAsia="zh-CN" w:bidi="ar"/>
              </w:rPr>
              <w:t>191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加大创新主体培育力度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建立国家企业技术中心后备库。</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提高科技成果转化质效</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w:t>
            </w:r>
            <w:r>
              <w:rPr>
                <w:rFonts w:hint="eastAsia" w:ascii="仿宋_GB2312" w:hAnsi="仿宋_GB2312" w:eastAsia="仿宋_GB2312" w:cs="仿宋_GB2312"/>
                <w:b w:val="0"/>
                <w:bCs w:val="0"/>
                <w:snapToGrid w:val="0"/>
                <w:color w:val="auto"/>
                <w:kern w:val="21"/>
                <w:sz w:val="24"/>
                <w:szCs w:val="24"/>
                <w:highlight w:val="none"/>
                <w:u w:val="none"/>
                <w:lang w:bidi="ar"/>
              </w:rPr>
              <w:t>依托广西东盟技术转移中心，开展技术经纪人培训工作，支持符合条件的科技人员从事技术转移工作。</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创新</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创业</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加大研发经费投入</w:t>
            </w:r>
            <w:r>
              <w:rPr>
                <w:rFonts w:hint="eastAsia" w:ascii="仿宋_GB2312" w:hAnsi="仿宋_GB2312" w:eastAsia="仿宋_GB2312" w:cs="仿宋_GB2312"/>
                <w:b w:val="0"/>
                <w:bCs w:val="0"/>
                <w:snapToGrid w:val="0"/>
                <w:color w:val="auto"/>
                <w:kern w:val="21"/>
                <w:sz w:val="24"/>
                <w:szCs w:val="24"/>
                <w:highlight w:val="none"/>
                <w:u w:val="none"/>
                <w:lang w:eastAsia="zh-CN" w:bidi="ar"/>
              </w:rPr>
              <w:t>力度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推动企业建立研发准备金制度，配合柳州市</w:t>
            </w:r>
            <w:r>
              <w:rPr>
                <w:rFonts w:hint="eastAsia" w:ascii="仿宋_GB2312" w:hAnsi="仿宋_GB2312" w:eastAsia="仿宋_GB2312" w:cs="仿宋_GB2312"/>
                <w:b w:val="0"/>
                <w:bCs w:val="0"/>
                <w:snapToGrid w:val="0"/>
                <w:color w:val="auto"/>
                <w:kern w:val="21"/>
                <w:sz w:val="24"/>
                <w:szCs w:val="24"/>
                <w:highlight w:val="none"/>
                <w:u w:val="none"/>
                <w:lang w:bidi="ar"/>
              </w:rPr>
              <w:t>引导全社会加大研发经费投入</w:t>
            </w:r>
            <w:r>
              <w:rPr>
                <w:rFonts w:hint="eastAsia" w:ascii="仿宋_GB2312" w:hAnsi="仿宋_GB2312" w:eastAsia="仿宋_GB2312" w:cs="仿宋_GB2312"/>
                <w:b w:val="0"/>
                <w:bCs w:val="0"/>
                <w:snapToGrid w:val="0"/>
                <w:color w:val="auto"/>
                <w:kern w:val="21"/>
                <w:sz w:val="24"/>
                <w:szCs w:val="24"/>
                <w:highlight w:val="none"/>
                <w:u w:val="none"/>
                <w:lang w:eastAsia="zh-CN" w:bidi="ar"/>
              </w:rPr>
              <w:t>力度</w:t>
            </w:r>
            <w:r>
              <w:rPr>
                <w:rFonts w:hint="eastAsia" w:ascii="仿宋_GB2312" w:hAnsi="仿宋_GB2312" w:eastAsia="仿宋_GB2312" w:cs="仿宋_GB2312"/>
                <w:b w:val="0"/>
                <w:bCs w:val="0"/>
                <w:snapToGrid w:val="0"/>
                <w:color w:val="auto"/>
                <w:kern w:val="21"/>
                <w:sz w:val="24"/>
                <w:szCs w:val="24"/>
                <w:highlight w:val="none"/>
                <w:u w:val="none"/>
                <w:lang w:bidi="ar"/>
              </w:rPr>
              <w:t>，</w:t>
            </w:r>
            <w:r>
              <w:rPr>
                <w:rFonts w:hint="eastAsia" w:ascii="仿宋_GB2312" w:hAnsi="仿宋_GB2312" w:eastAsia="仿宋_GB2312" w:cs="仿宋_GB2312"/>
                <w:b w:val="0"/>
                <w:bCs w:val="0"/>
                <w:snapToGrid w:val="0"/>
                <w:color w:val="auto"/>
                <w:kern w:val="21"/>
                <w:sz w:val="24"/>
                <w:szCs w:val="24"/>
                <w:highlight w:val="none"/>
                <w:u w:val="none"/>
                <w:lang w:eastAsia="zh-CN" w:bidi="ar"/>
              </w:rPr>
              <w:t>研究与开发（</w:t>
            </w:r>
            <w:r>
              <w:rPr>
                <w:rFonts w:hint="eastAsia" w:ascii="仿宋_GB2312" w:hAnsi="仿宋_GB2312" w:eastAsia="仿宋_GB2312" w:cs="仿宋_GB2312"/>
                <w:b w:val="0"/>
                <w:bCs w:val="0"/>
                <w:snapToGrid w:val="0"/>
                <w:color w:val="auto"/>
                <w:kern w:val="21"/>
                <w:sz w:val="24"/>
                <w:szCs w:val="24"/>
                <w:highlight w:val="none"/>
                <w:u w:val="none"/>
                <w:lang w:bidi="ar"/>
              </w:rPr>
              <w:t>R＆D</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经费投入强度提高到</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1.8</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财政</w:t>
            </w:r>
            <w:r>
              <w:rPr>
                <w:rFonts w:hint="eastAsia" w:ascii="仿宋_GB2312" w:hAnsi="仿宋_GB2312" w:eastAsia="仿宋_GB2312" w:cs="仿宋_GB2312"/>
                <w:b w:val="0"/>
                <w:bCs w:val="0"/>
                <w:snapToGrid w:val="0"/>
                <w:color w:val="auto"/>
                <w:kern w:val="21"/>
                <w:sz w:val="24"/>
                <w:szCs w:val="24"/>
                <w:highlight w:val="none"/>
                <w:u w:val="none"/>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巩固提高学前教育、义务教育、高中阶段教育普及水平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学前教育毛入园率达到</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92</w:t>
            </w:r>
            <w:r>
              <w:rPr>
                <w:rFonts w:hint="eastAsia" w:ascii="仿宋_GB2312" w:hAnsi="仿宋_GB2312" w:eastAsia="仿宋_GB2312" w:cs="仿宋_GB2312"/>
                <w:b w:val="0"/>
                <w:bCs w:val="0"/>
                <w:snapToGrid w:val="0"/>
                <w:color w:val="auto"/>
                <w:kern w:val="21"/>
                <w:sz w:val="24"/>
                <w:szCs w:val="24"/>
                <w:highlight w:val="none"/>
                <w:u w:val="none"/>
                <w:lang w:bidi="ar"/>
              </w:rPr>
              <w:t>%，九年义务教育巩固率达到96.7%，高中阶段毛入学率达到92.2%。</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县教育局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提高外来人员子女就读便利度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深入推进“两为主、两纳入、以居住证为主要依据”的随迁子女义务教育入学政策，全面清理取消不合规的随迁子女入学证明材料及其时限要求，确保进城务工人员随迁子女就读公办义务教育学校（含政府购买民办学校学位）的比例达到</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85%以上。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县教育局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强化公共图书馆、文化馆、博物馆、美术馆等公共文化服务功能</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推动</w:t>
            </w:r>
            <w:r>
              <w:rPr>
                <w:rFonts w:hint="eastAsia" w:ascii="仿宋_GB2312" w:hAnsi="仿宋_GB2312" w:eastAsia="仿宋_GB2312" w:cs="仿宋_GB2312"/>
                <w:b w:val="0"/>
                <w:bCs w:val="0"/>
                <w:snapToGrid w:val="0"/>
                <w:color w:val="auto"/>
                <w:kern w:val="21"/>
                <w:sz w:val="24"/>
                <w:szCs w:val="24"/>
                <w:highlight w:val="none"/>
                <w:u w:val="none"/>
                <w:lang w:eastAsia="zh-CN" w:bidi="ar"/>
              </w:rPr>
              <w:t>全县</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个公共图书馆、</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个文化馆、</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12</w:t>
            </w:r>
            <w:r>
              <w:rPr>
                <w:rFonts w:hint="eastAsia" w:ascii="仿宋_GB2312" w:hAnsi="仿宋_GB2312" w:eastAsia="仿宋_GB2312" w:cs="仿宋_GB2312"/>
                <w:b w:val="0"/>
                <w:bCs w:val="0"/>
                <w:snapToGrid w:val="0"/>
                <w:color w:val="auto"/>
                <w:kern w:val="21"/>
                <w:sz w:val="24"/>
                <w:szCs w:val="24"/>
                <w:highlight w:val="none"/>
                <w:u w:val="none"/>
                <w:lang w:bidi="ar"/>
              </w:rPr>
              <w:t>个乡镇文化站向社会免费开放。</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县文化体育广电旅游局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7"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支持建设一批县乡养老服务设施，提升养老服务机构照护服务能力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支持建设一批县乡养老服务设施，提升养老服务机构照护服务能力，养老机构护理型床位占比达</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70</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县民政局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大力发展社区居家养老，推进街道综合养老服务中心建设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配合柳州市完成</w:t>
            </w:r>
            <w:r>
              <w:rPr>
                <w:rFonts w:hint="eastAsia" w:ascii="仿宋_GB2312" w:hAnsi="仿宋_GB2312" w:eastAsia="仿宋_GB2312" w:cs="仿宋_GB2312"/>
                <w:b w:val="0"/>
                <w:bCs w:val="0"/>
                <w:snapToGrid w:val="0"/>
                <w:color w:val="auto"/>
                <w:kern w:val="21"/>
                <w:sz w:val="24"/>
                <w:szCs w:val="24"/>
                <w:highlight w:val="none"/>
                <w:u w:val="none"/>
                <w:lang w:bidi="ar"/>
              </w:rPr>
              <w:t>街道综合养老服务中心（社区养老服务站）覆盖率达到100%。</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县民政局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199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提升基本养老保险参保率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基本养老保险参保率达到92%。</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县人力资源社会保障局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提升基本</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医疗</w:t>
            </w:r>
            <w:r>
              <w:rPr>
                <w:rFonts w:hint="eastAsia" w:ascii="仿宋_GB2312" w:hAnsi="仿宋_GB2312" w:eastAsia="仿宋_GB2312" w:cs="仿宋_GB2312"/>
                <w:b w:val="0"/>
                <w:bCs w:val="0"/>
                <w:snapToGrid w:val="0"/>
                <w:color w:val="auto"/>
                <w:kern w:val="21"/>
                <w:sz w:val="24"/>
                <w:szCs w:val="24"/>
                <w:highlight w:val="none"/>
                <w:u w:val="none"/>
                <w:lang w:bidi="ar"/>
              </w:rPr>
              <w:t>保险参保率</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基本</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医疗</w:t>
            </w:r>
            <w:r>
              <w:rPr>
                <w:rFonts w:hint="eastAsia" w:ascii="仿宋_GB2312" w:hAnsi="仿宋_GB2312" w:eastAsia="仿宋_GB2312" w:cs="仿宋_GB2312"/>
                <w:b w:val="0"/>
                <w:bCs w:val="0"/>
                <w:snapToGrid w:val="0"/>
                <w:color w:val="auto"/>
                <w:kern w:val="21"/>
                <w:sz w:val="24"/>
                <w:szCs w:val="24"/>
                <w:highlight w:val="none"/>
                <w:u w:val="none"/>
                <w:lang w:bidi="ar"/>
              </w:rPr>
              <w:t>保险参保率达到</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97</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w:t>
            </w:r>
            <w:r>
              <w:rPr>
                <w:rFonts w:hint="eastAsia" w:ascii="仿宋_GB2312" w:hAnsi="仿宋_GB2312" w:eastAsia="仿宋_GB2312" w:cs="仿宋_GB2312"/>
                <w:b w:val="0"/>
                <w:bCs w:val="0"/>
                <w:snapToGrid w:val="0"/>
                <w:color w:val="auto"/>
                <w:kern w:val="21"/>
                <w:sz w:val="24"/>
                <w:szCs w:val="24"/>
                <w:highlight w:val="none"/>
                <w:u w:val="none"/>
                <w:lang w:bidi="ar"/>
              </w:rPr>
              <w:t>月3</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县医保局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提升异地就医便利度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推进门诊费用跨省直接结算，实现门诊费用和5个主要病种门诊特殊慢性病相关治疗费用跨省直接结算。</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县医保局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提高异地医保报销便利度</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提高异地就医医保报销便利度，拓宽异地备案渠道，加速异地就医联网结算工作，简化“线上</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＋线下”异地就医备案手续。</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县医保局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0"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加强卫生人才队伍建设</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1．每千人口</w:t>
            </w:r>
            <w:r>
              <w:rPr>
                <w:rFonts w:hint="eastAsia" w:ascii="仿宋_GB2312" w:hAnsi="仿宋_GB2312" w:eastAsia="仿宋_GB2312" w:cs="仿宋_GB2312"/>
                <w:b w:val="0"/>
                <w:bCs w:val="0"/>
                <w:snapToGrid w:val="0"/>
                <w:color w:val="auto"/>
                <w:kern w:val="21"/>
                <w:sz w:val="24"/>
                <w:szCs w:val="24"/>
                <w:highlight w:val="none"/>
                <w:u w:val="none"/>
                <w:lang w:eastAsia="zh-CN" w:bidi="ar"/>
              </w:rPr>
              <w:t>医疗卫生机构</w:t>
            </w:r>
            <w:r>
              <w:rPr>
                <w:rFonts w:hint="eastAsia" w:ascii="仿宋_GB2312" w:hAnsi="仿宋_GB2312" w:eastAsia="仿宋_GB2312" w:cs="仿宋_GB2312"/>
                <w:b w:val="0"/>
                <w:bCs w:val="0"/>
                <w:snapToGrid w:val="0"/>
                <w:color w:val="auto"/>
                <w:kern w:val="21"/>
                <w:sz w:val="24"/>
                <w:szCs w:val="24"/>
                <w:highlight w:val="none"/>
                <w:u w:val="none"/>
                <w:lang w:bidi="ar"/>
              </w:rPr>
              <w:t>床位数比</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2021</w:t>
            </w:r>
            <w:r>
              <w:rPr>
                <w:rFonts w:hint="eastAsia" w:ascii="仿宋_GB2312" w:hAnsi="仿宋_GB2312" w:eastAsia="仿宋_GB2312" w:cs="仿宋_GB2312"/>
                <w:b w:val="0"/>
                <w:bCs w:val="0"/>
                <w:snapToGrid w:val="0"/>
                <w:color w:val="auto"/>
                <w:kern w:val="21"/>
                <w:sz w:val="24"/>
                <w:szCs w:val="24"/>
                <w:highlight w:val="none"/>
                <w:u w:val="none"/>
                <w:lang w:bidi="ar"/>
              </w:rPr>
              <w:t>年增长5</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2．</w:t>
            </w:r>
            <w:r>
              <w:rPr>
                <w:rFonts w:hint="eastAsia" w:ascii="仿宋_GB2312" w:hAnsi="仿宋_GB2312" w:eastAsia="仿宋_GB2312" w:cs="仿宋_GB2312"/>
                <w:b w:val="0"/>
                <w:bCs w:val="0"/>
                <w:snapToGrid w:val="0"/>
                <w:color w:val="auto"/>
                <w:spacing w:val="-6"/>
                <w:kern w:val="21"/>
                <w:sz w:val="24"/>
                <w:szCs w:val="24"/>
                <w:highlight w:val="none"/>
                <w:u w:val="none"/>
                <w:lang w:bidi="ar"/>
              </w:rPr>
              <w:t>每千人口拥有执业（助理）医师数比</w:t>
            </w:r>
            <w:r>
              <w:rPr>
                <w:rFonts w:hint="eastAsia" w:ascii="仿宋_GB2312" w:hAnsi="仿宋_GB2312" w:eastAsia="仿宋_GB2312" w:cs="仿宋_GB2312"/>
                <w:b w:val="0"/>
                <w:bCs w:val="0"/>
                <w:snapToGrid w:val="0"/>
                <w:color w:val="auto"/>
                <w:spacing w:val="-6"/>
                <w:kern w:val="21"/>
                <w:sz w:val="24"/>
                <w:szCs w:val="24"/>
                <w:highlight w:val="none"/>
                <w:u w:val="none"/>
                <w:lang w:val="en-US" w:eastAsia="zh-CN" w:bidi="ar"/>
              </w:rPr>
              <w:t>202</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年增长3%</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3．每千人口注册护士数比上年增长4%。</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县卫生健康局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bidi="ar"/>
              </w:rPr>
              <w:t>提高5G基站覆盖</w:t>
            </w:r>
            <w:r>
              <w:rPr>
                <w:rFonts w:hint="eastAsia" w:ascii="仿宋_GB2312" w:hAnsi="仿宋_GB2312" w:eastAsia="仿宋_GB2312" w:cs="仿宋_GB2312"/>
                <w:b w:val="0"/>
                <w:bCs w:val="0"/>
                <w:snapToGrid w:val="0"/>
                <w:color w:val="auto"/>
                <w:kern w:val="21"/>
                <w:sz w:val="24"/>
                <w:szCs w:val="24"/>
                <w:highlight w:val="none"/>
                <w:u w:val="none"/>
                <w:lang w:eastAsia="zh-CN" w:bidi="ar"/>
              </w:rPr>
              <w:t>面</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建设</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新开通1514</w:t>
            </w:r>
            <w:r>
              <w:rPr>
                <w:rFonts w:hint="eastAsia" w:ascii="仿宋_GB2312" w:hAnsi="仿宋_GB2312" w:eastAsia="仿宋_GB2312" w:cs="仿宋_GB2312"/>
                <w:b w:val="0"/>
                <w:bCs w:val="0"/>
                <w:snapToGrid w:val="0"/>
                <w:color w:val="auto"/>
                <w:kern w:val="21"/>
                <w:sz w:val="24"/>
                <w:szCs w:val="24"/>
                <w:highlight w:val="none"/>
                <w:u w:val="none"/>
                <w:lang w:bidi="ar"/>
              </w:rPr>
              <w:t>个</w:t>
            </w:r>
            <w:r>
              <w:rPr>
                <w:rFonts w:hint="eastAsia" w:ascii="仿宋_GB2312" w:hAnsi="仿宋_GB2312" w:eastAsia="仿宋_GB2312" w:cs="仿宋_GB2312"/>
                <w:b w:val="0"/>
                <w:bCs w:val="0"/>
                <w:snapToGrid w:val="0"/>
                <w:color w:val="auto"/>
                <w:kern w:val="21"/>
                <w:sz w:val="24"/>
                <w:szCs w:val="24"/>
                <w:highlight w:val="none"/>
                <w:u w:val="none"/>
                <w:lang w:eastAsia="zh-CN" w:bidi="ar"/>
              </w:rPr>
              <w:t>第五代移动通信技术（</w:t>
            </w:r>
            <w:r>
              <w:rPr>
                <w:rFonts w:hint="eastAsia" w:ascii="仿宋_GB2312" w:hAnsi="仿宋_GB2312" w:eastAsia="仿宋_GB2312" w:cs="仿宋_GB2312"/>
                <w:b w:val="0"/>
                <w:bCs w:val="0"/>
                <w:snapToGrid w:val="0"/>
                <w:color w:val="auto"/>
                <w:kern w:val="21"/>
                <w:sz w:val="24"/>
                <w:szCs w:val="24"/>
                <w:highlight w:val="none"/>
                <w:u w:val="none"/>
                <w:lang w:bidi="ar"/>
              </w:rPr>
              <w:t>5G</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基站，实现</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全县</w:t>
            </w:r>
            <w:r>
              <w:rPr>
                <w:rFonts w:hint="eastAsia" w:ascii="仿宋_GB2312" w:hAnsi="仿宋_GB2312" w:eastAsia="仿宋_GB2312" w:cs="仿宋_GB2312"/>
                <w:b w:val="0"/>
                <w:bCs w:val="0"/>
                <w:snapToGrid w:val="0"/>
                <w:color w:val="auto"/>
                <w:kern w:val="21"/>
                <w:sz w:val="24"/>
                <w:szCs w:val="24"/>
                <w:highlight w:val="none"/>
                <w:u w:val="none"/>
                <w:lang w:bidi="ar"/>
              </w:rPr>
              <w:t>所有乡级行政区主要区域5G信号覆盖。</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rPr>
            </w:pPr>
            <w:r>
              <w:rPr>
                <w:rFonts w:hint="eastAsia" w:ascii="仿宋_GB2312" w:hAnsi="仿宋_GB2312" w:eastAsia="仿宋_GB2312" w:cs="仿宋_GB2312"/>
                <w:b w:val="0"/>
                <w:bCs w:val="0"/>
                <w:snapToGrid w:val="0"/>
                <w:color w:val="auto"/>
                <w:kern w:val="21"/>
                <w:sz w:val="24"/>
                <w:szCs w:val="24"/>
                <w:highlight w:val="none"/>
                <w:u w:val="none"/>
                <w:lang w:val="en-US" w:eastAsia="zh-CN"/>
              </w:rPr>
              <w:t>县科技工贸信息化局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205</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提高综合交通服务能力</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w:t>
            </w:r>
            <w:r>
              <w:rPr>
                <w:rFonts w:hint="eastAsia" w:ascii="仿宋_GB2312" w:hAnsi="仿宋_GB2312" w:eastAsia="仿宋_GB2312" w:cs="仿宋_GB2312"/>
                <w:b w:val="0"/>
                <w:bCs w:val="0"/>
                <w:snapToGrid w:val="0"/>
                <w:color w:val="auto"/>
                <w:kern w:val="21"/>
                <w:sz w:val="24"/>
                <w:szCs w:val="24"/>
                <w:highlight w:val="none"/>
                <w:u w:val="none"/>
                <w:lang w:bidi="ar"/>
              </w:rPr>
              <w:t>城市建成区路网密度达到8</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.26</w:t>
            </w:r>
            <w:r>
              <w:rPr>
                <w:rFonts w:hint="eastAsia" w:ascii="仿宋_GB2312" w:hAnsi="仿宋_GB2312" w:eastAsia="仿宋_GB2312" w:cs="仿宋_GB2312"/>
                <w:b w:val="0"/>
                <w:bCs w:val="0"/>
                <w:snapToGrid w:val="0"/>
                <w:color w:val="auto"/>
                <w:kern w:val="21"/>
                <w:sz w:val="24"/>
                <w:szCs w:val="24"/>
                <w:highlight w:val="none"/>
                <w:u w:val="none"/>
                <w:lang w:bidi="ar"/>
              </w:rPr>
              <w:t>公里/平方公里以上</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206</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空气质量优良天数比率保持在</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91.5</w:t>
            </w:r>
            <w:r>
              <w:rPr>
                <w:rFonts w:hint="eastAsia" w:ascii="仿宋_GB2312" w:hAnsi="仿宋_GB2312" w:eastAsia="仿宋_GB2312" w:cs="仿宋_GB2312"/>
                <w:b w:val="0"/>
                <w:bCs w:val="0"/>
                <w:snapToGrid w:val="0"/>
                <w:color w:val="auto"/>
                <w:kern w:val="21"/>
                <w:sz w:val="24"/>
                <w:szCs w:val="24"/>
                <w:highlight w:val="none"/>
                <w:u w:val="none"/>
                <w:lang w:bidi="ar"/>
              </w:rPr>
              <w:t>%以上，PM</w:t>
            </w:r>
            <w:r>
              <w:rPr>
                <w:rFonts w:hint="eastAsia" w:ascii="仿宋_GB2312" w:hAnsi="仿宋_GB2312" w:eastAsia="仿宋_GB2312" w:cs="仿宋_GB2312"/>
                <w:b w:val="0"/>
                <w:bCs w:val="0"/>
                <w:snapToGrid w:val="0"/>
                <w:color w:val="auto"/>
                <w:kern w:val="21"/>
                <w:sz w:val="24"/>
                <w:szCs w:val="24"/>
                <w:highlight w:val="none"/>
                <w:u w:val="none"/>
                <w:vertAlign w:val="subscript"/>
                <w:lang w:bidi="ar"/>
              </w:rPr>
              <w:t>2.5</w:t>
            </w:r>
            <w:r>
              <w:rPr>
                <w:rFonts w:hint="eastAsia" w:ascii="仿宋_GB2312" w:hAnsi="仿宋_GB2312" w:eastAsia="仿宋_GB2312" w:cs="仿宋_GB2312"/>
                <w:b w:val="0"/>
                <w:bCs w:val="0"/>
                <w:snapToGrid w:val="0"/>
                <w:color w:val="auto"/>
                <w:kern w:val="21"/>
                <w:sz w:val="24"/>
                <w:szCs w:val="24"/>
                <w:highlight w:val="none"/>
                <w:u w:val="none"/>
                <w:lang w:bidi="ar"/>
              </w:rPr>
              <w:t>年均浓度控制在</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33.5</w:t>
            </w:r>
            <w:r>
              <w:rPr>
                <w:rFonts w:hint="eastAsia" w:ascii="仿宋_GB2312" w:hAnsi="仿宋_GB2312" w:eastAsia="仿宋_GB2312" w:cs="仿宋_GB2312"/>
                <w:b w:val="0"/>
                <w:bCs w:val="0"/>
                <w:snapToGrid w:val="0"/>
                <w:color w:val="auto"/>
                <w:kern w:val="21"/>
                <w:sz w:val="24"/>
                <w:szCs w:val="24"/>
                <w:highlight w:val="none"/>
                <w:u w:val="none"/>
                <w:lang w:bidi="ar"/>
              </w:rPr>
              <w:t>微克/立方米</w:t>
            </w:r>
            <w:r>
              <w:rPr>
                <w:rFonts w:hint="eastAsia" w:ascii="仿宋_GB2312" w:hAnsi="仿宋_GB2312" w:eastAsia="仿宋_GB2312" w:cs="仿宋_GB2312"/>
                <w:b w:val="0"/>
                <w:bCs w:val="0"/>
                <w:snapToGrid w:val="0"/>
                <w:color w:val="auto"/>
                <w:kern w:val="21"/>
                <w:sz w:val="24"/>
                <w:szCs w:val="24"/>
                <w:highlight w:val="none"/>
                <w:u w:val="none"/>
                <w:lang w:eastAsia="zh-CN" w:bidi="ar"/>
              </w:rPr>
              <w:t>左右</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柳城生态环境局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207</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全县</w:t>
            </w:r>
            <w:r>
              <w:rPr>
                <w:rFonts w:hint="eastAsia" w:ascii="仿宋_GB2312" w:hAnsi="仿宋_GB2312" w:eastAsia="仿宋_GB2312" w:cs="仿宋_GB2312"/>
                <w:b w:val="0"/>
                <w:bCs w:val="0"/>
                <w:snapToGrid w:val="0"/>
                <w:color w:val="auto"/>
                <w:kern w:val="21"/>
                <w:sz w:val="24"/>
                <w:szCs w:val="24"/>
                <w:highlight w:val="none"/>
                <w:u w:val="none"/>
                <w:lang w:bidi="ar"/>
              </w:rPr>
              <w:t>地表水国考断面水质优良比例达到</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100</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2023年1月20日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柳城生态环境局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2"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208</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森林覆盖率稳定在</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50.26</w:t>
            </w:r>
            <w:r>
              <w:rPr>
                <w:rFonts w:hint="eastAsia" w:ascii="仿宋_GB2312" w:hAnsi="仿宋_GB2312" w:eastAsia="仿宋_GB2312" w:cs="仿宋_GB2312"/>
                <w:b w:val="0"/>
                <w:bCs w:val="0"/>
                <w:snapToGrid w:val="0"/>
                <w:color w:val="auto"/>
                <w:kern w:val="21"/>
                <w:sz w:val="24"/>
                <w:szCs w:val="24"/>
                <w:highlight w:val="none"/>
                <w:u w:val="none"/>
                <w:lang w:bidi="ar"/>
              </w:rPr>
              <w:t>%以上。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县自然资源和规划局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209</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加大生活污水收集管网建设和改造力度，</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全县</w:t>
            </w:r>
            <w:r>
              <w:rPr>
                <w:rFonts w:hint="eastAsia" w:ascii="仿宋_GB2312" w:hAnsi="仿宋_GB2312" w:eastAsia="仿宋_GB2312" w:cs="仿宋_GB2312"/>
                <w:b w:val="0"/>
                <w:bCs w:val="0"/>
                <w:snapToGrid w:val="0"/>
                <w:color w:val="auto"/>
                <w:kern w:val="21"/>
                <w:sz w:val="24"/>
                <w:szCs w:val="24"/>
                <w:highlight w:val="none"/>
                <w:u w:val="none"/>
                <w:lang w:bidi="ar"/>
              </w:rPr>
              <w:t>城镇污水处理率</w:t>
            </w:r>
            <w:r>
              <w:rPr>
                <w:rFonts w:hint="eastAsia" w:ascii="仿宋_GB2312" w:hAnsi="仿宋_GB2312" w:eastAsia="仿宋_GB2312" w:cs="仿宋_GB2312"/>
                <w:b w:val="0"/>
                <w:bCs w:val="0"/>
                <w:snapToGrid w:val="0"/>
                <w:color w:val="auto"/>
                <w:kern w:val="21"/>
                <w:sz w:val="24"/>
                <w:szCs w:val="24"/>
                <w:highlight w:val="none"/>
                <w:u w:val="none"/>
                <w:lang w:eastAsia="zh-CN" w:bidi="ar"/>
              </w:rPr>
              <w:t>达到</w:t>
            </w:r>
            <w:r>
              <w:rPr>
                <w:rFonts w:hint="eastAsia" w:ascii="仿宋_GB2312" w:hAnsi="仿宋_GB2312" w:eastAsia="仿宋_GB2312" w:cs="仿宋_GB2312"/>
                <w:b w:val="0"/>
                <w:bCs w:val="0"/>
                <w:snapToGrid w:val="0"/>
                <w:color w:val="auto"/>
                <w:kern w:val="21"/>
                <w:sz w:val="24"/>
                <w:szCs w:val="24"/>
                <w:highlight w:val="none"/>
                <w:u w:val="none"/>
                <w:lang w:bidi="ar"/>
              </w:rPr>
              <w:t>95%以上。</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县住房城乡建设局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210</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持续加强生态环境保护</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城</w:t>
            </w:r>
            <w:r>
              <w:rPr>
                <w:rFonts w:hint="eastAsia" w:ascii="仿宋_GB2312" w:hAnsi="仿宋_GB2312" w:eastAsia="仿宋_GB2312" w:cs="仿宋_GB2312"/>
                <w:b w:val="0"/>
                <w:bCs w:val="0"/>
                <w:snapToGrid w:val="0"/>
                <w:color w:val="auto"/>
                <w:kern w:val="21"/>
                <w:sz w:val="24"/>
                <w:szCs w:val="24"/>
                <w:highlight w:val="none"/>
                <w:u w:val="none"/>
                <w:lang w:eastAsia="zh-CN" w:bidi="ar"/>
              </w:rPr>
              <w:t>镇</w:t>
            </w:r>
            <w:r>
              <w:rPr>
                <w:rFonts w:hint="eastAsia" w:ascii="仿宋_GB2312" w:hAnsi="仿宋_GB2312" w:eastAsia="仿宋_GB2312" w:cs="仿宋_GB2312"/>
                <w:b w:val="0"/>
                <w:bCs w:val="0"/>
                <w:snapToGrid w:val="0"/>
                <w:color w:val="auto"/>
                <w:kern w:val="21"/>
                <w:sz w:val="24"/>
                <w:szCs w:val="24"/>
                <w:highlight w:val="none"/>
                <w:u w:val="none"/>
                <w:lang w:bidi="ar"/>
              </w:rPr>
              <w:t>生活垃圾无害化处理率达</w:t>
            </w:r>
            <w:r>
              <w:rPr>
                <w:rFonts w:hint="eastAsia" w:ascii="仿宋_GB2312" w:hAnsi="仿宋_GB2312" w:eastAsia="仿宋_GB2312" w:cs="仿宋_GB2312"/>
                <w:b w:val="0"/>
                <w:bCs w:val="0"/>
                <w:snapToGrid w:val="0"/>
                <w:color w:val="auto"/>
                <w:kern w:val="21"/>
                <w:sz w:val="24"/>
                <w:szCs w:val="24"/>
                <w:highlight w:val="none"/>
                <w:u w:val="none"/>
                <w:lang w:eastAsia="zh-CN" w:bidi="ar"/>
              </w:rPr>
              <w:t>到</w:t>
            </w:r>
            <w:r>
              <w:rPr>
                <w:rFonts w:hint="eastAsia" w:ascii="仿宋_GB2312" w:hAnsi="仿宋_GB2312" w:eastAsia="仿宋_GB2312" w:cs="仿宋_GB2312"/>
                <w:b w:val="0"/>
                <w:bCs w:val="0"/>
                <w:snapToGrid w:val="0"/>
                <w:color w:val="auto"/>
                <w:kern w:val="21"/>
                <w:sz w:val="24"/>
                <w:szCs w:val="24"/>
                <w:highlight w:val="none"/>
                <w:u w:val="none"/>
                <w:lang w:bidi="ar"/>
              </w:rPr>
              <w:t>99%。</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default" w:ascii="仿宋_GB2312" w:hAnsi="仿宋_GB2312" w:eastAsia="仿宋_GB2312" w:cs="仿宋_GB2312"/>
                <w:b w:val="0"/>
                <w:bCs w:val="0"/>
                <w:snapToGrid w:val="0"/>
                <w:color w:val="auto"/>
                <w:kern w:val="21"/>
                <w:sz w:val="24"/>
                <w:szCs w:val="24"/>
                <w:highlight w:val="none"/>
                <w:u w:val="none"/>
                <w:lang w:val="en-US"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城管执法局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211</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包容普惠创新</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提高公共交通服务水平</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配合柳州市完成</w:t>
            </w:r>
            <w:r>
              <w:rPr>
                <w:rFonts w:hint="eastAsia" w:ascii="仿宋_GB2312" w:hAnsi="仿宋_GB2312" w:eastAsia="仿宋_GB2312" w:cs="仿宋_GB2312"/>
                <w:b w:val="0"/>
                <w:bCs w:val="0"/>
                <w:snapToGrid w:val="0"/>
                <w:color w:val="auto"/>
                <w:kern w:val="21"/>
                <w:sz w:val="24"/>
                <w:szCs w:val="24"/>
                <w:highlight w:val="none"/>
                <w:u w:val="none"/>
                <w:lang w:bidi="ar"/>
              </w:rPr>
              <w:t>公交站点500米覆盖率达到90%以上，新增和更新的新能源公交车比例达到90</w:t>
            </w:r>
            <w:r>
              <w:rPr>
                <w:rFonts w:hint="eastAsia" w:ascii="仿宋_GB2312" w:hAnsi="仿宋_GB2312" w:eastAsia="仿宋_GB2312" w:cs="仿宋_GB2312"/>
                <w:b w:val="0"/>
                <w:bCs w:val="0"/>
                <w:snapToGrid w:val="0"/>
                <w:color w:val="auto"/>
                <w:kern w:val="21"/>
                <w:sz w:val="24"/>
                <w:szCs w:val="24"/>
                <w:highlight w:val="none"/>
                <w:u w:val="none"/>
                <w:lang w:eastAsia="zh-CN" w:bidi="ar"/>
              </w:rPr>
              <w:t>%</w:t>
            </w:r>
            <w:r>
              <w:rPr>
                <w:rFonts w:hint="eastAsia" w:ascii="仿宋_GB2312" w:hAnsi="仿宋_GB2312" w:eastAsia="仿宋_GB2312" w:cs="仿宋_GB2312"/>
                <w:b w:val="0"/>
                <w:bCs w:val="0"/>
                <w:snapToGrid w:val="0"/>
                <w:color w:val="auto"/>
                <w:kern w:val="21"/>
                <w:sz w:val="24"/>
                <w:szCs w:val="24"/>
                <w:highlight w:val="none"/>
                <w:u w:val="none"/>
                <w:lang w:bidi="ar"/>
              </w:rPr>
              <w:t>。</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r>
              <w:rPr>
                <w:rFonts w:hint="eastAsia" w:ascii="仿宋_GB2312" w:hAnsi="仿宋_GB2312" w:eastAsia="仿宋_GB2312" w:cs="仿宋_GB2312"/>
                <w:b w:val="0"/>
                <w:bCs w:val="0"/>
                <w:snapToGrid w:val="0"/>
                <w:color w:val="auto"/>
                <w:kern w:val="21"/>
                <w:sz w:val="24"/>
                <w:szCs w:val="24"/>
                <w:highlight w:val="none"/>
                <w:u w:val="none"/>
                <w:lang w:bidi="ar"/>
              </w:rPr>
              <w:t>2022年11月30日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县交通运输局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212</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保障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措施</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完善营商环境监测</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配合自治区、柳州市</w:t>
            </w:r>
            <w:r>
              <w:rPr>
                <w:rFonts w:hint="eastAsia" w:ascii="仿宋_GB2312" w:hAnsi="仿宋_GB2312" w:eastAsia="仿宋_GB2312" w:cs="仿宋_GB2312"/>
                <w:b w:val="0"/>
                <w:bCs w:val="0"/>
                <w:snapToGrid w:val="0"/>
                <w:color w:val="auto"/>
                <w:kern w:val="21"/>
                <w:sz w:val="24"/>
                <w:szCs w:val="24"/>
                <w:highlight w:val="none"/>
                <w:u w:val="none"/>
                <w:lang w:bidi="ar"/>
              </w:rPr>
              <w:t>持续完善营商环境季度监测制度，按季度报告</w:t>
            </w:r>
            <w:r>
              <w:rPr>
                <w:rFonts w:hint="eastAsia" w:ascii="仿宋_GB2312" w:hAnsi="仿宋_GB2312" w:eastAsia="仿宋_GB2312" w:cs="仿宋_GB2312"/>
                <w:b w:val="0"/>
                <w:bCs w:val="0"/>
                <w:snapToGrid w:val="0"/>
                <w:color w:val="auto"/>
                <w:kern w:val="21"/>
                <w:sz w:val="24"/>
                <w:szCs w:val="24"/>
                <w:highlight w:val="none"/>
                <w:u w:val="none"/>
                <w:lang w:eastAsia="zh-CN" w:bidi="ar"/>
              </w:rPr>
              <w:t>柳城县</w:t>
            </w:r>
            <w:r>
              <w:rPr>
                <w:rFonts w:hint="eastAsia" w:ascii="仿宋_GB2312" w:hAnsi="仿宋_GB2312" w:eastAsia="仿宋_GB2312" w:cs="仿宋_GB2312"/>
                <w:b w:val="0"/>
                <w:bCs w:val="0"/>
                <w:snapToGrid w:val="0"/>
                <w:color w:val="auto"/>
                <w:kern w:val="21"/>
                <w:sz w:val="24"/>
                <w:szCs w:val="24"/>
                <w:highlight w:val="none"/>
                <w:u w:val="none"/>
                <w:lang w:bidi="ar"/>
              </w:rPr>
              <w:t>营商环境监测情况。</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bidi="ar"/>
              </w:rPr>
              <w:t>2022年1</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w:t>
            </w:r>
            <w:r>
              <w:rPr>
                <w:rFonts w:hint="eastAsia" w:ascii="仿宋_GB2312" w:hAnsi="仿宋_GB2312" w:eastAsia="仿宋_GB2312" w:cs="仿宋_GB2312"/>
                <w:b w:val="0"/>
                <w:bCs w:val="0"/>
                <w:snapToGrid w:val="0"/>
                <w:color w:val="auto"/>
                <w:kern w:val="21"/>
                <w:sz w:val="24"/>
                <w:szCs w:val="24"/>
                <w:highlight w:val="none"/>
                <w:u w:val="none"/>
                <w:lang w:bidi="ar"/>
              </w:rPr>
              <w:t>月3</w:t>
            </w:r>
            <w:r>
              <w:rPr>
                <w:rFonts w:hint="eastAsia" w:ascii="仿宋_GB2312" w:hAnsi="仿宋_GB2312" w:eastAsia="仿宋_GB2312" w:cs="仿宋_GB2312"/>
                <w:b w:val="0"/>
                <w:bCs w:val="0"/>
                <w:snapToGrid w:val="0"/>
                <w:color w:val="auto"/>
                <w:kern w:val="21"/>
                <w:sz w:val="24"/>
                <w:szCs w:val="24"/>
                <w:highlight w:val="none"/>
                <w:u w:val="none"/>
                <w:lang w:val="en-US" w:eastAsia="zh-CN" w:bidi="ar"/>
              </w:rPr>
              <w:t>1</w:t>
            </w:r>
            <w:r>
              <w:rPr>
                <w:rFonts w:hint="eastAsia" w:ascii="仿宋_GB2312" w:hAnsi="仿宋_GB2312" w:eastAsia="仿宋_GB2312" w:cs="仿宋_GB2312"/>
                <w:b w:val="0"/>
                <w:bCs w:val="0"/>
                <w:snapToGrid w:val="0"/>
                <w:color w:val="auto"/>
                <w:kern w:val="21"/>
                <w:sz w:val="24"/>
                <w:szCs w:val="24"/>
                <w:highlight w:val="none"/>
                <w:u w:val="none"/>
                <w:lang w:bidi="ar"/>
              </w:rPr>
              <w:t>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w:t>
            </w:r>
            <w:r>
              <w:rPr>
                <w:rFonts w:hint="eastAsia" w:ascii="仿宋_GB2312" w:hAnsi="仿宋_GB2312" w:eastAsia="仿宋_GB2312" w:cs="仿宋_GB2312"/>
                <w:b w:val="0"/>
                <w:bCs w:val="0"/>
                <w:snapToGrid w:val="0"/>
                <w:color w:val="auto"/>
                <w:kern w:val="21"/>
                <w:sz w:val="24"/>
                <w:szCs w:val="24"/>
                <w:highlight w:val="none"/>
                <w:u w:val="none"/>
                <w:lang w:bidi="ar"/>
              </w:rPr>
              <w:t>统计局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县优化营商环境工作领导小组其他成员单位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213</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保障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措施</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加强宣传引导</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持续宣传柳城县优化营商环境的政策举措、改革成效、经验做法和典型案例，配合自治区、柳州市公布十大先进典型示范案例和十大反面典型案例。</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县优化营商环境工作领导小组其他成员单位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85" w:type="dxa"/>
            <w:tcBorders>
              <w:tl2br w:val="nil"/>
              <w:tr2bl w:val="nil"/>
            </w:tcBorders>
            <w:tcMar>
              <w:top w:w="28" w:type="dxa"/>
              <w:left w:w="57" w:type="dxa"/>
              <w:bottom w:w="28" w:type="dxa"/>
              <w:right w:w="57"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214</w:t>
            </w:r>
          </w:p>
        </w:tc>
        <w:tc>
          <w:tcPr>
            <w:tcW w:w="84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保障</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措施</w:t>
            </w:r>
          </w:p>
        </w:tc>
        <w:tc>
          <w:tcPr>
            <w:tcW w:w="15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健全投诉处理机制</w:t>
            </w:r>
          </w:p>
        </w:tc>
        <w:tc>
          <w:tcPr>
            <w:tcW w:w="4528"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研究细化企业投诉机制，规范多途径投诉渠道入口，做到企业有诉求、政府必回应。配合自治区、柳州市完善评估企业样本，规范开展营商环境评价。</w:t>
            </w:r>
          </w:p>
        </w:tc>
        <w:tc>
          <w:tcPr>
            <w:tcW w:w="1431"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val="en-US" w:eastAsia="zh-CN" w:bidi="ar"/>
              </w:rPr>
            </w:pPr>
            <w:r>
              <w:rPr>
                <w:rFonts w:hint="eastAsia" w:ascii="仿宋_GB2312" w:hAnsi="仿宋_GB2312" w:eastAsia="仿宋_GB2312" w:cs="仿宋_GB2312"/>
                <w:b w:val="0"/>
                <w:bCs w:val="0"/>
                <w:snapToGrid w:val="0"/>
                <w:color w:val="auto"/>
                <w:kern w:val="21"/>
                <w:sz w:val="24"/>
                <w:szCs w:val="24"/>
                <w:highlight w:val="none"/>
                <w:u w:val="none"/>
                <w:lang w:val="en-US" w:eastAsia="zh-CN" w:bidi="ar"/>
              </w:rPr>
              <w:t>2022年12月31日</w:t>
            </w:r>
          </w:p>
        </w:tc>
        <w:tc>
          <w:tcPr>
            <w:tcW w:w="2005"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eastAsia="zh-CN"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县发展改革局</w:t>
            </w:r>
          </w:p>
        </w:tc>
        <w:tc>
          <w:tcPr>
            <w:tcW w:w="2182" w:type="dxa"/>
            <w:tcBorders>
              <w:tl2br w:val="nil"/>
              <w:tr2bl w:val="nil"/>
            </w:tcBorders>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仿宋_GB2312" w:hAnsi="仿宋_GB2312" w:eastAsia="仿宋_GB2312" w:cs="仿宋_GB2312"/>
                <w:b w:val="0"/>
                <w:bCs w:val="0"/>
                <w:snapToGrid w:val="0"/>
                <w:color w:val="auto"/>
                <w:kern w:val="21"/>
                <w:sz w:val="24"/>
                <w:szCs w:val="24"/>
                <w:highlight w:val="none"/>
                <w:u w:val="none"/>
                <w:lang w:bidi="ar"/>
              </w:rPr>
            </w:pPr>
            <w:r>
              <w:rPr>
                <w:rFonts w:hint="eastAsia" w:ascii="仿宋_GB2312" w:hAnsi="仿宋_GB2312" w:eastAsia="仿宋_GB2312" w:cs="仿宋_GB2312"/>
                <w:b w:val="0"/>
                <w:bCs w:val="0"/>
                <w:snapToGrid w:val="0"/>
                <w:color w:val="auto"/>
                <w:kern w:val="21"/>
                <w:sz w:val="24"/>
                <w:szCs w:val="24"/>
                <w:highlight w:val="none"/>
                <w:u w:val="none"/>
                <w:lang w:eastAsia="zh-CN" w:bidi="ar"/>
              </w:rPr>
              <w:t>县优化营商环境工作领导小组其他成员单位</w:t>
            </w:r>
          </w:p>
        </w:tc>
      </w:tr>
    </w:tbl>
    <w:p>
      <w:pPr>
        <w:pStyle w:val="10"/>
        <w:ind w:left="0" w:leftChars="0" w:right="300" w:firstLine="0" w:firstLineChars="0"/>
        <w:rPr>
          <w:rFonts w:ascii="仿宋_GB2312" w:eastAsia="仿宋_GB2312"/>
          <w:sz w:val="32"/>
          <w:szCs w:val="32"/>
        </w:rPr>
        <w:sectPr>
          <w:headerReference r:id="rId3" w:type="default"/>
          <w:footerReference r:id="rId4" w:type="default"/>
          <w:pgSz w:w="16838" w:h="11906" w:orient="landscape"/>
          <w:pgMar w:top="1417" w:right="1418" w:bottom="1417" w:left="1418" w:header="851" w:footer="992" w:gutter="0"/>
          <w:pgNumType w:fmt="numberInDash"/>
          <w:cols w:space="0" w:num="1"/>
          <w:rtlGutter w:val="0"/>
          <w:docGrid w:type="lines" w:linePitch="312" w:charSpace="0"/>
        </w:sectPr>
      </w:pPr>
    </w:p>
    <w:p>
      <w:pPr>
        <w:pStyle w:val="10"/>
        <w:ind w:left="300" w:right="300"/>
        <w:rPr>
          <w:rFonts w:ascii="仿宋_GB2312" w:eastAsia="仿宋_GB2312"/>
          <w:sz w:val="32"/>
          <w:szCs w:val="32"/>
        </w:rPr>
      </w:pPr>
    </w:p>
    <w:p>
      <w:pPr>
        <w:pStyle w:val="10"/>
        <w:ind w:left="300" w:right="300"/>
        <w:rPr>
          <w:rFonts w:ascii="仿宋_GB2312" w:eastAsia="仿宋_GB2312"/>
          <w:sz w:val="32"/>
          <w:szCs w:val="32"/>
        </w:rPr>
      </w:pPr>
    </w:p>
    <w:p>
      <w:pPr>
        <w:spacing w:line="560" w:lineRule="exact"/>
        <w:ind w:firstLine="294" w:firstLineChars="9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抄送：县委各部门，各人民团体。</w:t>
      </w:r>
    </w:p>
    <w:p>
      <w:pPr>
        <w:spacing w:line="560" w:lineRule="exact"/>
        <w:ind w:firstLine="294" w:firstLineChars="98"/>
      </w:pPr>
      <w:r>
        <w:rPr>
          <w:rFonts w:hint="eastAsia" w:ascii="仿宋_GB2312" w:hAnsi="仿宋_GB2312" w:eastAsia="仿宋_GB2312" w:cs="仿宋_GB2312"/>
          <w:sz w:val="30"/>
          <w:szCs w:val="30"/>
        </w:rPr>
        <w:t>县人大常委会办公室，县政协办公室、县法院、县检察院。柳城县人民政府办公室              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w:t>
      </w:r>
      <w:r>
        <w:rPr>
          <w:rFonts w:hint="eastAsia" w:ascii="仿宋_GB2312" w:eastAsia="仿宋_GB2312"/>
          <w:sz w:val="30"/>
          <w:szCs w:val="30"/>
        </w:rPr>
        <w:t>印发</w:t>
      </w:r>
    </w:p>
    <w:sectPr>
      <w:pgSz w:w="11906" w:h="16838"/>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DA2EB5DA-DE1C-4BD8-BB07-4643C31746D9}"/>
  </w:font>
  <w:font w:name="仿宋_GB2312">
    <w:altName w:val="仿宋"/>
    <w:panose1 w:val="02010609030101010101"/>
    <w:charset w:val="86"/>
    <w:family w:val="modern"/>
    <w:pitch w:val="default"/>
    <w:sig w:usb0="00000000" w:usb1="00000000" w:usb2="00000000" w:usb3="00000000" w:csb0="00040000" w:csb1="00000000"/>
    <w:embedRegular r:id="rId2" w:fontKey="{DC712E7C-49BA-499A-9D24-83504E05BDC6}"/>
  </w:font>
  <w:font w:name="仿宋">
    <w:panose1 w:val="02010609060101010101"/>
    <w:charset w:val="86"/>
    <w:family w:val="auto"/>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embedRegular r:id="rId3" w:fontKey="{D862C9AE-4A21-42F8-9B0E-22F8B2B8E0B9}"/>
  </w:font>
  <w:font w:name="方正书宋_GBK">
    <w:altName w:val="微软雅黑"/>
    <w:panose1 w:val="02000000000000000000"/>
    <w:charset w:val="86"/>
    <w:family w:val="auto"/>
    <w:pitch w:val="default"/>
    <w:sig w:usb0="00000000" w:usb1="00000000" w:usb2="00000000" w:usb3="00000000" w:csb0="00040000" w:csb1="00000000"/>
    <w:embedRegular r:id="rId4" w:fontKey="{B141C3E6-21DD-4D95-A519-F8C6C42179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7F4912AA"/>
    <w:rsid w:val="00F52A8D"/>
    <w:rsid w:val="05045994"/>
    <w:rsid w:val="057E5747"/>
    <w:rsid w:val="075C1AB8"/>
    <w:rsid w:val="08145EEF"/>
    <w:rsid w:val="09D11777"/>
    <w:rsid w:val="0E9671EF"/>
    <w:rsid w:val="0EDB32C2"/>
    <w:rsid w:val="0FAE6C29"/>
    <w:rsid w:val="11917EEB"/>
    <w:rsid w:val="11F96EEE"/>
    <w:rsid w:val="13C5457D"/>
    <w:rsid w:val="148E0DD7"/>
    <w:rsid w:val="15C26E0E"/>
    <w:rsid w:val="168226E6"/>
    <w:rsid w:val="17612DF9"/>
    <w:rsid w:val="1B9B2213"/>
    <w:rsid w:val="226A5D5D"/>
    <w:rsid w:val="23431AEA"/>
    <w:rsid w:val="24CF521F"/>
    <w:rsid w:val="24E928BE"/>
    <w:rsid w:val="27653C19"/>
    <w:rsid w:val="28DD070E"/>
    <w:rsid w:val="2C4055E4"/>
    <w:rsid w:val="2C7D6C96"/>
    <w:rsid w:val="2DAB1668"/>
    <w:rsid w:val="2E3D75E0"/>
    <w:rsid w:val="34492106"/>
    <w:rsid w:val="356B4AF0"/>
    <w:rsid w:val="383D3652"/>
    <w:rsid w:val="397F6DBC"/>
    <w:rsid w:val="3C1403F4"/>
    <w:rsid w:val="3D0C4E0B"/>
    <w:rsid w:val="3FD6525C"/>
    <w:rsid w:val="41D61547"/>
    <w:rsid w:val="44FF5255"/>
    <w:rsid w:val="456926CF"/>
    <w:rsid w:val="45F4468E"/>
    <w:rsid w:val="46007EA9"/>
    <w:rsid w:val="46326180"/>
    <w:rsid w:val="49B605D8"/>
    <w:rsid w:val="4A0027BD"/>
    <w:rsid w:val="4AA63258"/>
    <w:rsid w:val="4BEE64A3"/>
    <w:rsid w:val="50546455"/>
    <w:rsid w:val="531A6B64"/>
    <w:rsid w:val="53B92A73"/>
    <w:rsid w:val="548D63DA"/>
    <w:rsid w:val="55BF2C5E"/>
    <w:rsid w:val="56F02C50"/>
    <w:rsid w:val="57A35F14"/>
    <w:rsid w:val="596A0A97"/>
    <w:rsid w:val="5B2C01D0"/>
    <w:rsid w:val="5E111E29"/>
    <w:rsid w:val="5FA665A1"/>
    <w:rsid w:val="633506E1"/>
    <w:rsid w:val="63F975E8"/>
    <w:rsid w:val="63FC06C2"/>
    <w:rsid w:val="67430B7A"/>
    <w:rsid w:val="682D4B87"/>
    <w:rsid w:val="68F82AC3"/>
    <w:rsid w:val="6A9811DC"/>
    <w:rsid w:val="6B7215DB"/>
    <w:rsid w:val="6B8F438D"/>
    <w:rsid w:val="6EF21388"/>
    <w:rsid w:val="6F2D4A05"/>
    <w:rsid w:val="6F8151E6"/>
    <w:rsid w:val="70DC121B"/>
    <w:rsid w:val="721C5103"/>
    <w:rsid w:val="73CD7EB9"/>
    <w:rsid w:val="74147B26"/>
    <w:rsid w:val="7B51340D"/>
    <w:rsid w:val="7F49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customStyle="1" w:styleId="4">
    <w:name w:val="_Style 4"/>
    <w:basedOn w:val="1"/>
    <w:next w:val="1"/>
    <w:qFormat/>
    <w:uiPriority w:val="0"/>
    <w:pPr>
      <w:wordWrap w:val="0"/>
      <w:spacing w:before="360" w:beforeLines="0" w:after="360" w:afterLines="0"/>
      <w:ind w:left="950" w:right="950"/>
      <w:jc w:val="center"/>
    </w:pPr>
    <w:rPr>
      <w:rFonts w:ascii="Times New Roman" w:hAnsi="Times New Roman" w:eastAsia="宋体" w:cs="Times New Roman"/>
      <w: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customStyle="1" w:styleId="10">
    <w:name w:val="正文A"/>
    <w:basedOn w:val="1"/>
    <w:qFormat/>
    <w:uiPriority w:val="0"/>
    <w:pPr>
      <w:ind w:left="210" w:leftChars="100" w:right="100" w:rightChars="100"/>
    </w:pPr>
    <w:rPr>
      <w:rFonts w:ascii="微软雅黑" w:hAnsi="微软雅黑" w:eastAsia="微软雅黑"/>
      <w:sz w:val="24"/>
    </w:rPr>
  </w:style>
  <w:style w:type="character" w:customStyle="1" w:styleId="11">
    <w:name w:val="15"/>
    <w:basedOn w:val="9"/>
    <w:qFormat/>
    <w:uiPriority w:val="0"/>
    <w:rPr>
      <w:rFonts w:hint="default" w:ascii="Times New Roman" w:hAnsi="Times New Roman" w:cs="Times New Roman"/>
      <w:b/>
    </w:rPr>
  </w:style>
  <w:style w:type="paragraph" w:customStyle="1" w:styleId="12">
    <w:name w:val="Default"/>
    <w:qFormat/>
    <w:uiPriority w:val="0"/>
    <w:pPr>
      <w:widowControl w:val="0"/>
      <w:autoSpaceDE w:val="0"/>
      <w:autoSpaceDN w:val="0"/>
      <w:adjustRightInd w:val="0"/>
    </w:pPr>
    <w:rPr>
      <w:rFonts w:hint="eastAsia" w:ascii="楷体_GB2312" w:hAnsi="楷体_GB2312" w:eastAsia="楷体_GB2312" w:cs="Times New Roman"/>
      <w:color w:val="000000"/>
      <w:sz w:val="24"/>
      <w:lang w:val="en-US" w:eastAsia="zh-CN" w:bidi="ar-SA"/>
    </w:rPr>
  </w:style>
  <w:style w:type="character" w:customStyle="1" w:styleId="13">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33524</Words>
  <Characters>35482</Characters>
  <Lines>0</Lines>
  <Paragraphs>0</Paragraphs>
  <TotalTime>5</TotalTime>
  <ScaleCrop>false</ScaleCrop>
  <LinksUpToDate>false</LinksUpToDate>
  <CharactersWithSpaces>37067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2022-09-06T16:53:00Z</dcterms:created>
  <dc:creator>大块</dc:creator>
  <cp:lastModifiedBy>Administrator</cp:lastModifiedBy>
  <cp:lastPrinted>2022-09-15T17:47:00Z</cp:lastPrinted>
  <dcterms:modified xsi:type="dcterms:W3CDTF">2022-11-14T03:04:56Z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87E3B1DC10A844F3B59C4C80C1023ACA</vt:lpwstr>
  </property>
</Properties>
</file>