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设置大型户外广告及在城市建筑物、设施上悬挂、张贴宣传品审批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设置大型户外广告及在城市建筑物、设施上悬挂、张贴宣传品审批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城市市容和环境卫生管理条例》1992年6月28日中华人民共和国国务院令第101号发布。根据2011年1月8日《国务院关于废止和修改部分行政法规的决定》第一次修订。根据2017年3月1日《国务院关于修改和废止部分行政法规的决定》第二次修订第十一条
《城市市容和环境卫生管理条例》（1992年6月28日国务院令第101号，2011年1月1日予以修改）第十一条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柳城县城东大厦二楼城管局C20、C21号窗口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城管局C20号、C21号窗口咨询0772-7616871http://lzlc.zwfw.gxzf.gov.cn/gxzwfw/bmft/bmftList.do?deptCode=TE4502221000000004&amp;webId=39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政务服务管理办公室０７７２-７６１３５６６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20工作日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5工作日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不收费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设置地点示意图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法定代表人签名加盖申请单位公章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规划部门意见。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规划部门公章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3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设置大型户外广告及在城市建筑物、设施上悬挂、张贴宣传品审批申请表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本人签名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4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场地使用权证明（房屋产权证、租赁合同）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法定代表人签名加盖申请单位公章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5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提交广告设置前的现状环境的彩照；提供对现状环境的设计效果彩图(照) 一份（同时提供电子文本）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纸质、电子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需要电子材料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