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砍伐城市树木审批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砍伐城市树木审批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《城市绿化条例》（1992年6月22日国务院令第100号，2017年3月1日予以修改）第二十条
《城市绿化条例》（1992年6月22日国务院令第100号，2017年3月1日予以修改）第二十条，第二十三条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县城东大厦二楼C区20、21号窗口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0772-7616871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8工作日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广西壮族自治区财政厅、物价局桂财综[2007]54号文、广西壮族自治区物价局桂价费字[2001]308号文
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砍伐城市树木审批申请表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加盖单位公章及法定代表人印签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