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62" w:lineRule="exact"/>
        <w:jc w:val="left"/>
        <w:rPr>
          <w:rFonts w:ascii="黑体" w:hAnsi="宋体" w:eastAsia="黑体"/>
          <w:bCs/>
          <w:color w:val="FFFFFF"/>
          <w:kern w:val="0"/>
          <w:sz w:val="32"/>
          <w:szCs w:val="32"/>
        </w:rPr>
      </w:pPr>
      <w:bookmarkStart w:id="0" w:name="_GoBack"/>
      <w:bookmarkEnd w:id="0"/>
      <w:r>
        <w:rPr>
          <w:rFonts w:hint="eastAsia" w:ascii="黑体" w:hAnsi="宋体" w:eastAsia="黑体"/>
          <w:bCs/>
          <w:color w:val="FFFFFF"/>
          <w:kern w:val="0"/>
          <w:sz w:val="32"/>
          <w:szCs w:val="32"/>
        </w:rPr>
        <w:t xml:space="preserve">  件</w:t>
      </w:r>
    </w:p>
    <w:p>
      <w:pPr>
        <w:spacing w:line="662" w:lineRule="exact"/>
        <w:jc w:val="center"/>
        <w:rPr>
          <w:rFonts w:ascii="方正小标宋简体" w:hAnsi="宋体" w:eastAsia="方正小标宋简体"/>
          <w:b/>
          <w:bCs/>
          <w:color w:val="FF3300"/>
          <w:spacing w:val="105"/>
          <w:kern w:val="0"/>
          <w:sz w:val="52"/>
        </w:rPr>
      </w:pPr>
      <w:r>
        <w:rPr>
          <w:rFonts w:hint="eastAsia" w:ascii="方正小标宋简体" w:hAnsi="宋体" w:eastAsia="方正小标宋简体"/>
          <w:b/>
          <w:bCs/>
          <w:color w:val="FF3300"/>
          <w:spacing w:val="105"/>
          <w:kern w:val="0"/>
          <w:sz w:val="52"/>
        </w:rPr>
        <w:t>柳 城 县</w:t>
      </w:r>
    </w:p>
    <w:p>
      <w:pPr>
        <w:spacing w:line="662" w:lineRule="exact"/>
        <w:jc w:val="center"/>
        <w:rPr>
          <w:rFonts w:ascii="宋体" w:hAnsi="宋体"/>
          <w:b/>
          <w:bCs/>
          <w:color w:val="FF3300"/>
          <w:sz w:val="52"/>
        </w:rPr>
      </w:pPr>
    </w:p>
    <w:p>
      <w:pPr>
        <w:spacing w:line="1324" w:lineRule="exact"/>
        <w:jc w:val="center"/>
        <w:rPr>
          <w:rFonts w:ascii="方正小标宋简体" w:hAnsi="宋体" w:eastAsia="方正小标宋简体"/>
          <w:bCs/>
          <w:color w:val="FF3300"/>
          <w:sz w:val="110"/>
        </w:rPr>
      </w:pPr>
      <w:r>
        <w:rPr>
          <w:rFonts w:hint="eastAsia" w:ascii="方正小标宋简体" w:hAnsi="宋体" w:eastAsia="方正小标宋简体"/>
          <w:bCs/>
          <w:color w:val="FF3300"/>
          <w:kern w:val="0"/>
          <w:sz w:val="110"/>
        </w:rPr>
        <w:t>人民政府文件</w:t>
      </w:r>
    </w:p>
    <w:p>
      <w:pPr>
        <w:spacing w:line="560" w:lineRule="exact"/>
        <w:jc w:val="center"/>
        <w:rPr>
          <w:color w:val="FF3300"/>
          <w:sz w:val="52"/>
        </w:rPr>
      </w:pPr>
    </w:p>
    <w:p>
      <w:pPr>
        <w:spacing w:line="500" w:lineRule="exact"/>
        <w:jc w:val="center"/>
        <w:rPr>
          <w:rFonts w:ascii="仿宋_GB2312" w:eastAsia="仿宋_GB2312"/>
          <w:sz w:val="32"/>
        </w:rPr>
      </w:pPr>
      <w:r>
        <w:rPr>
          <w:rFonts w:hint="eastAsia" w:ascii="仿宋_GB2312" w:eastAsia="仿宋_GB2312"/>
          <w:sz w:val="32"/>
        </w:rPr>
        <w:t>柳城政</w:t>
      </w:r>
      <w:r>
        <w:rPr>
          <w:rFonts w:hint="eastAsia" w:ascii="仿宋_GB2312" w:eastAsia="仿宋_GB2312"/>
          <w:sz w:val="32"/>
          <w:lang w:val="en-US" w:eastAsia="zh-CN"/>
        </w:rPr>
        <w:t>规</w:t>
      </w:r>
      <w:r>
        <w:rPr>
          <w:rFonts w:hint="eastAsia" w:ascii="仿宋_GB2312" w:eastAsia="仿宋_GB2312"/>
          <w:sz w:val="32"/>
        </w:rPr>
        <w:t>〔2020〕</w:t>
      </w:r>
      <w:r>
        <w:rPr>
          <w:rFonts w:hint="eastAsia" w:ascii="仿宋_GB2312" w:eastAsia="仿宋_GB2312"/>
          <w:sz w:val="32"/>
          <w:lang w:val="en-US" w:eastAsia="zh-CN"/>
        </w:rPr>
        <w:t>xx</w:t>
      </w:r>
      <w:r>
        <w:rPr>
          <w:rFonts w:hint="eastAsia" w:ascii="仿宋_GB2312" w:eastAsia="仿宋_GB2312"/>
          <w:sz w:val="32"/>
        </w:rPr>
        <w:t>号</w:t>
      </w:r>
    </w:p>
    <w:p>
      <w:pPr>
        <w:spacing w:line="500" w:lineRule="exact"/>
        <w:jc w:val="center"/>
        <w:rPr>
          <w:rFonts w:hint="eastAsia" w:ascii="方正小标宋简体" w:hAnsi="宋体" w:eastAsia="方正小标宋简体"/>
          <w:sz w:val="44"/>
          <w:szCs w:val="44"/>
        </w:rPr>
      </w:pPr>
      <w:r>
        <w:rPr>
          <w:color w:val="FF3300"/>
          <w:sz w:val="52"/>
        </w:rPr>
        <mc:AlternateContent>
          <mc:Choice Requires="wps">
            <w:drawing>
              <wp:anchor distT="0" distB="0" distL="114300" distR="114300" simplePos="0" relativeHeight="251658240" behindDoc="0" locked="1" layoutInCell="0" allowOverlap="0">
                <wp:simplePos x="0" y="0"/>
                <wp:positionH relativeFrom="column">
                  <wp:posOffset>0</wp:posOffset>
                </wp:positionH>
                <wp:positionV relativeFrom="paragraph">
                  <wp:posOffset>151130</wp:posOffset>
                </wp:positionV>
                <wp:extent cx="5615940" cy="0"/>
                <wp:effectExtent l="0" t="13970" r="3810" b="24130"/>
                <wp:wrapNone/>
                <wp:docPr id="2" name="直接连接符 2"/>
                <wp:cNvGraphicFramePr/>
                <a:graphic xmlns:a="http://schemas.openxmlformats.org/drawingml/2006/main">
                  <a:graphicData uri="http://schemas.microsoft.com/office/word/2010/wordprocessingShape">
                    <wps:wsp>
                      <wps:cNvCnPr/>
                      <wps:spPr>
                        <a:xfrm>
                          <a:off x="0" y="0"/>
                          <a:ext cx="5615940" cy="0"/>
                        </a:xfrm>
                        <a:prstGeom prst="line">
                          <a:avLst/>
                        </a:prstGeom>
                        <a:ln w="28575" cap="flat" cmpd="sng">
                          <a:solidFill>
                            <a:srgbClr val="FF33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11.9pt;height:0pt;width:442.2pt;z-index:251658240;mso-width-relative:page;mso-height-relative:page;" filled="f" stroked="t" coordsize="21600,21600" o:allowincell="f" o:allowoverlap="f" o:gfxdata="UEsDBAoAAAAAAIdO4kAAAAAAAAAAAAAAAAAEAAAAZHJzL1BLAwQUAAAACACHTuJAabBRS9UAAAAG&#10;AQAADwAAAGRycy9kb3ducmV2LnhtbE2PwU7DMBBE70j8g7VIXFDrtI1QFOJUgOBQbgSkXrfxNomI&#10;1yF2m5avZxEHOO7MaOZtsT65Xh1pDJ1nA4t5Aoq49rbjxsD72/MsAxUissXeMxk4U4B1eXlRYG79&#10;xK90rGKjpIRDjgbaGIdc61C35DDM/UAs3t6PDqOcY6PtiJOUu14vk+RWO+xYFloc6LGl+qM6OAM3&#10;X9tmNT3w/vO8qe7T9IWfNsTGXF8tkjtQkU7xLww/+IIOpTDt/IFtUL0BeSQaWK6EX9wsS1NQu19B&#10;l4X+j19+A1BLAwQUAAAACACHTuJAC1PaoN4BAACXAwAADgAAAGRycy9lMm9Eb2MueG1srVNLjhMx&#10;EN0jcQfLe9JJhgwzrXRmMSFsEESCOUDFdndb8k8uTzq5BBdAYgcrluy5DcMxKDuZDJ8NQmyqy67y&#10;q3qvqudXO2vYVkXU3jV8MhpzppzwUruu4TdvV08uOMMEToLxTjV8r5BfLR4/mg+hVlPfeyNVZATi&#10;sB5Cw/uUQl1VKHplAUc+KEfB1kcLiY6xq2SEgdCtqabj8Xk1+ChD9EIh0u3yEOSLgt+2SqTXbYsq&#10;MdNw6i0VG4vdZFst5lB3EUKvxbEN+IcuLGhHRU9QS0jAbqP+A8pqET36No2Et5VvWy1U4UBsJuPf&#10;2LzpIajChcTBcJIJ/x+seLVdR6Zlw6ecObA0orv3X769+/j96weyd58/sWkWaQhYU+61W8fjCcM6&#10;Zsa7Ntr8JS5sV4Tdn4RVu8QEXc7OJ7PLp6S/uI9VDw9DxPRCecuy03CjXeYMNWxfYqJilHqfkq+N&#10;YwN1ezF7NiM8oJ1pDSRybSAW6LryGL3RcqWNyU8wdptrE9kWaAtWq7OzcRk8Af+SlqssAftDXgkd&#10;9qNXIJ87ydI+kD6OFpnnHqySnBlFe5+9skkJtPmbTCptHFHLsh6EzN7Gyz1N4zZE3fUkxSSDlhya&#10;fhHiuKl5vX4+l6yH/2nxA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GmwUUvVAAAABgEAAA8AAAAA&#10;AAAAAQAgAAAAIgAAAGRycy9kb3ducmV2LnhtbFBLAQIUABQAAAAIAIdO4kALU9qg3gEAAJcDAAAO&#10;AAAAAAAAAAEAIAAAACQBAABkcnMvZTJvRG9jLnhtbFBLBQYAAAAABgAGAFkBAAB0BQAAAAA=&#10;">
                <v:fill on="f" focussize="0,0"/>
                <v:stroke weight="2.25pt" color="#FF3300" joinstyle="round"/>
                <v:imagedata o:title=""/>
                <o:lock v:ext="edit" aspectratio="f"/>
                <w10:anchorlock/>
              </v:line>
            </w:pict>
          </mc:Fallback>
        </mc:AlternateContent>
      </w:r>
    </w:p>
    <w:p>
      <w:pPr>
        <w:spacing w:line="560" w:lineRule="exact"/>
        <w:jc w:val="center"/>
        <w:rPr>
          <w:rFonts w:hint="eastAsia" w:ascii="方正小标宋简体" w:hAnsi="宋体" w:eastAsia="方正小标宋简体"/>
          <w:color w:val="000000"/>
          <w:spacing w:val="-20"/>
          <w:sz w:val="44"/>
          <w:szCs w:val="44"/>
          <w:lang w:val="en-US" w:eastAsia="zh-CN"/>
        </w:rPr>
      </w:pPr>
    </w:p>
    <w:p>
      <w:pPr>
        <w:adjustRightInd w:val="0"/>
        <w:snapToGrid w:val="0"/>
        <w:spacing w:line="560" w:lineRule="exact"/>
        <w:ind w:firstLine="2640" w:firstLineChars="600"/>
        <w:jc w:val="both"/>
        <w:rPr>
          <w:rFonts w:ascii="Times New Roman" w:hAnsi="Times New Roman" w:eastAsia="方正小标宋简体"/>
          <w:color w:val="0C0C0C"/>
          <w:sz w:val="44"/>
          <w:szCs w:val="44"/>
        </w:rPr>
      </w:pPr>
      <w:r>
        <w:rPr>
          <w:rFonts w:hint="eastAsia" w:ascii="Times New Roman" w:hAnsi="Times New Roman" w:eastAsia="方正小标宋简体"/>
          <w:color w:val="0C0C0C"/>
          <w:sz w:val="44"/>
          <w:szCs w:val="44"/>
          <w:lang w:val="en-US" w:eastAsia="zh-CN"/>
        </w:rPr>
        <w:t>柳城县</w:t>
      </w:r>
      <w:r>
        <w:rPr>
          <w:rFonts w:ascii="Times New Roman" w:hAnsi="Times New Roman" w:eastAsia="方正小标宋简体"/>
          <w:color w:val="0C0C0C"/>
          <w:sz w:val="44"/>
          <w:szCs w:val="44"/>
        </w:rPr>
        <w:t>人民政府</w:t>
      </w:r>
    </w:p>
    <w:p>
      <w:pPr>
        <w:adjustRightInd w:val="0"/>
        <w:snapToGrid w:val="0"/>
        <w:spacing w:line="560" w:lineRule="exact"/>
        <w:jc w:val="center"/>
        <w:rPr>
          <w:rFonts w:ascii="Times New Roman" w:hAnsi="Times New Roman" w:eastAsia="方正小标宋简体"/>
          <w:color w:val="0C0C0C"/>
          <w:sz w:val="44"/>
          <w:szCs w:val="44"/>
        </w:rPr>
      </w:pPr>
      <w:r>
        <w:rPr>
          <w:rFonts w:ascii="Times New Roman" w:hAnsi="Times New Roman" w:eastAsia="方正小标宋简体"/>
          <w:color w:val="0C0C0C"/>
          <w:sz w:val="44"/>
          <w:szCs w:val="44"/>
        </w:rPr>
        <w:t>关于划定秸秆露天禁烧区域的通告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jc w:val="left"/>
        <w:rPr>
          <w:rFonts w:hint="eastAsia" w:ascii="仿宋_GB2312" w:hAnsi="宋体" w:eastAsia="仿宋_GB2312"/>
          <w:bCs/>
          <w:color w:val="000000"/>
          <w:kern w:val="0"/>
          <w:sz w:val="32"/>
          <w:szCs w:val="32"/>
          <w:lang w:val="en-US"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left"/>
        <w:rPr>
          <w:rFonts w:hint="eastAsia" w:ascii="仿宋_GB2312" w:hAnsi="宋体" w:eastAsia="仿宋_GB2312"/>
          <w:bCs/>
          <w:color w:val="000000"/>
          <w:kern w:val="0"/>
          <w:sz w:val="32"/>
          <w:szCs w:val="32"/>
          <w:lang w:val="en-US" w:eastAsia="zh-CN"/>
        </w:rPr>
      </w:pPr>
      <w:r>
        <w:rPr>
          <w:rFonts w:hint="eastAsia" w:ascii="仿宋_GB2312" w:eastAsia="仿宋_GB2312" w:cs="仿宋_GB2312"/>
          <w:sz w:val="32"/>
          <w:szCs w:val="32"/>
        </w:rPr>
        <w:t>各乡镇人民政府、华侨管理区，县人民政府各组成单位：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jc w:val="left"/>
        <w:rPr>
          <w:rFonts w:hint="eastAsia" w:ascii="仿宋_GB2312" w:hAnsi="宋体" w:eastAsia="仿宋_GB2312"/>
          <w:bCs/>
          <w:color w:val="000000"/>
          <w:kern w:val="0"/>
          <w:sz w:val="32"/>
          <w:szCs w:val="32"/>
          <w:lang w:val="en-US" w:eastAsia="zh-CN"/>
        </w:rPr>
      </w:pPr>
      <w:r>
        <w:rPr>
          <w:rFonts w:hint="eastAsia" w:ascii="仿宋_GB2312" w:hAnsi="宋体" w:eastAsia="仿宋_GB2312"/>
          <w:bCs/>
          <w:color w:val="000000"/>
          <w:kern w:val="0"/>
          <w:sz w:val="32"/>
          <w:szCs w:val="32"/>
          <w:lang w:val="en-US" w:eastAsia="zh-CN"/>
        </w:rPr>
        <w:t>为进一步改善城市环境空气质量，保障人民群众身体健康，根据《中华人民共和国大气污染防治法》、《广西壮族自治区大气污染防治条例》、《柳州市秸秆禁烧管控及综合利用工作方案》（柳政规〔2019〕65号）、《柳州市人民政府关于划定秸秆露天禁烧区域的通告》（柳政规〔2019〕66号）等规定，结合我县实际，划定柳城县秸秆露天禁烧区域，现将有关事项通告如下：</w:t>
      </w:r>
    </w:p>
    <w:p>
      <w:pPr>
        <w:pStyle w:val="4"/>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jc w:val="left"/>
        <w:rPr>
          <w:rFonts w:hint="eastAsia" w:ascii="黑体" w:hAnsi="黑体" w:eastAsia="黑体" w:cs="黑体"/>
          <w:b w:val="0"/>
          <w:bCs/>
          <w:color w:val="000000"/>
          <w:kern w:val="0"/>
          <w:sz w:val="32"/>
          <w:szCs w:val="32"/>
          <w:lang w:val="en-US" w:eastAsia="zh-CN"/>
        </w:rPr>
      </w:pPr>
      <w:r>
        <w:rPr>
          <w:rFonts w:hint="eastAsia" w:ascii="黑体" w:hAnsi="黑体" w:eastAsia="黑体" w:cs="黑体"/>
          <w:b w:val="0"/>
          <w:bCs/>
          <w:color w:val="000000"/>
          <w:kern w:val="0"/>
          <w:sz w:val="32"/>
          <w:szCs w:val="32"/>
          <w:lang w:val="en-US" w:eastAsia="zh-CN"/>
        </w:rPr>
        <w:t>禁止露天焚烧的秸秆种类</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firstLine="640" w:firstLineChars="200"/>
        <w:jc w:val="left"/>
        <w:rPr>
          <w:rFonts w:hint="eastAsia" w:ascii="仿宋_GB2312" w:hAnsi="宋体" w:eastAsia="仿宋_GB2312"/>
          <w:bCs/>
          <w:color w:val="000000"/>
          <w:kern w:val="0"/>
          <w:sz w:val="32"/>
          <w:szCs w:val="32"/>
          <w:lang w:val="en-US" w:eastAsia="zh-CN"/>
        </w:rPr>
      </w:pPr>
      <w:r>
        <w:rPr>
          <w:rFonts w:hint="eastAsia" w:ascii="仿宋_GB2312" w:hAnsi="宋体" w:eastAsia="仿宋_GB2312"/>
          <w:bCs/>
          <w:color w:val="000000"/>
          <w:kern w:val="0"/>
          <w:sz w:val="32"/>
          <w:szCs w:val="32"/>
          <w:lang w:val="en-US" w:eastAsia="zh-CN"/>
        </w:rPr>
        <w:t>禁止露天焚烧的秸秆种类包括甘蔗、水稻、玉米、木薯、香蕉、油菜、桑枝及其他农作物收获籽实后的剩余物质，以及树枝叶、枯草等农林废弃物。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jc w:val="left"/>
        <w:rPr>
          <w:rFonts w:hint="eastAsia" w:ascii="黑体" w:hAnsi="黑体" w:eastAsia="黑体" w:cs="黑体"/>
          <w:b w:val="0"/>
          <w:bCs/>
          <w:color w:val="000000"/>
          <w:kern w:val="0"/>
          <w:sz w:val="32"/>
          <w:szCs w:val="32"/>
          <w:lang w:val="en-US" w:eastAsia="zh-CN"/>
        </w:rPr>
      </w:pPr>
      <w:r>
        <w:rPr>
          <w:rFonts w:hint="eastAsia" w:ascii="黑体" w:hAnsi="黑体" w:eastAsia="黑体" w:cs="黑体"/>
          <w:b w:val="0"/>
          <w:bCs/>
          <w:color w:val="000000"/>
          <w:kern w:val="0"/>
          <w:sz w:val="32"/>
          <w:szCs w:val="32"/>
          <w:lang w:val="en-US" w:eastAsia="zh-CN"/>
        </w:rPr>
        <w:t>二、秸秆露天禁烧区域及限烧区域划定范围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宋体" w:eastAsia="仿宋_GB2312"/>
          <w:bCs/>
          <w:color w:val="000000"/>
          <w:kern w:val="0"/>
          <w:sz w:val="32"/>
          <w:szCs w:val="32"/>
          <w:lang w:val="en-US" w:eastAsia="zh-CN"/>
        </w:rPr>
      </w:pPr>
      <w:r>
        <w:rPr>
          <w:rFonts w:hint="eastAsia" w:ascii="仿宋_GB2312" w:hAnsi="宋体" w:eastAsia="仿宋_GB2312"/>
          <w:bCs/>
          <w:color w:val="000000"/>
          <w:kern w:val="0"/>
          <w:sz w:val="32"/>
          <w:szCs w:val="32"/>
          <w:lang w:val="en-US" w:eastAsia="zh-CN"/>
        </w:rPr>
        <w:t>　　</w:t>
      </w:r>
      <w:r>
        <w:rPr>
          <w:rFonts w:hint="eastAsia" w:ascii="楷体_GB2312" w:hAnsi="楷体_GB2312" w:eastAsia="楷体_GB2312" w:cs="楷体_GB2312"/>
          <w:bCs/>
          <w:color w:val="000000"/>
          <w:kern w:val="0"/>
          <w:sz w:val="32"/>
          <w:szCs w:val="32"/>
          <w:lang w:val="en-US" w:eastAsia="zh-CN"/>
        </w:rPr>
        <w:t>（一）禁烧区域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仿宋_GB2312" w:hAnsi="宋体" w:eastAsia="仿宋_GB2312"/>
          <w:bCs/>
          <w:color w:val="000000" w:themeColor="text1"/>
          <w:kern w:val="0"/>
          <w:sz w:val="32"/>
          <w:szCs w:val="32"/>
          <w:lang w:val="en-US" w:eastAsia="zh-CN"/>
          <w14:textFill>
            <w14:solidFill>
              <w14:schemeClr w14:val="tx1"/>
            </w14:solidFill>
          </w14:textFill>
        </w:rPr>
      </w:pPr>
      <w:r>
        <w:rPr>
          <w:rFonts w:hint="eastAsia" w:ascii="仿宋_GB2312" w:hAnsi="宋体" w:eastAsia="仿宋_GB2312"/>
          <w:bCs/>
          <w:color w:val="000000"/>
          <w:kern w:val="0"/>
          <w:sz w:val="32"/>
          <w:szCs w:val="32"/>
          <w:lang w:val="en-US" w:eastAsia="zh-CN"/>
        </w:rPr>
        <w:t>　　1.大埔镇：</w:t>
      </w:r>
      <w:r>
        <w:rPr>
          <w:rFonts w:hint="eastAsia" w:ascii="仿宋_GB2312" w:hAnsi="宋体" w:eastAsia="仿宋_GB2312"/>
          <w:bCs/>
          <w:color w:val="000000" w:themeColor="text1"/>
          <w:sz w:val="32"/>
          <w:szCs w:val="32"/>
          <w14:textFill>
            <w14:solidFill>
              <w14:schemeClr w14:val="tx1"/>
            </w14:solidFill>
          </w14:textFill>
        </w:rPr>
        <w:t>城南社区、城北社区</w:t>
      </w:r>
      <w:r>
        <w:rPr>
          <w:rFonts w:hint="eastAsia" w:ascii="仿宋_GB2312" w:hAnsi="宋体" w:eastAsia="仿宋_GB2312"/>
          <w:bCs/>
          <w:color w:val="000000" w:themeColor="text1"/>
          <w:sz w:val="32"/>
          <w:szCs w:val="32"/>
          <w:lang w:eastAsia="zh-CN"/>
          <w14:textFill>
            <w14:solidFill>
              <w14:schemeClr w14:val="tx1"/>
            </w14:solidFill>
          </w14:textFill>
        </w:rPr>
        <w:t>、</w:t>
      </w:r>
      <w:r>
        <w:rPr>
          <w:rFonts w:hint="eastAsia" w:ascii="仿宋_GB2312" w:hAnsi="宋体" w:eastAsia="仿宋_GB2312"/>
          <w:bCs/>
          <w:color w:val="000000" w:themeColor="text1"/>
          <w:kern w:val="0"/>
          <w:sz w:val="32"/>
          <w:szCs w:val="32"/>
          <w:lang w:val="en-US" w:eastAsia="zh-CN"/>
          <w14:textFill>
            <w14:solidFill>
              <w14:schemeClr w14:val="tx1"/>
            </w14:solidFill>
          </w14:textFill>
        </w:rPr>
        <w:t>洛崖社区，六休、里明、中回、正殿、靖西、木桐、洛古、南村、洛崖、中寨、</w:t>
      </w:r>
      <w:r>
        <w:rPr>
          <w:rFonts w:hint="eastAsia" w:ascii="仿宋_GB2312" w:hAnsi="宋体" w:eastAsia="仿宋_GB2312"/>
          <w:bCs/>
          <w:color w:val="000000" w:themeColor="text1"/>
          <w:sz w:val="32"/>
          <w:szCs w:val="32"/>
          <w14:textFill>
            <w14:solidFill>
              <w14:schemeClr w14:val="tx1"/>
            </w14:solidFill>
          </w14:textFill>
        </w:rPr>
        <w:t>乐寨、三塘</w:t>
      </w:r>
      <w:r>
        <w:rPr>
          <w:rFonts w:hint="eastAsia" w:ascii="仿宋_GB2312" w:hAnsi="宋体" w:eastAsia="仿宋_GB2312"/>
          <w:bCs/>
          <w:color w:val="000000" w:themeColor="text1"/>
          <w:kern w:val="0"/>
          <w:sz w:val="32"/>
          <w:szCs w:val="32"/>
          <w:lang w:val="en-US" w:eastAsia="zh-CN"/>
          <w14:textFill>
            <w14:solidFill>
              <w14:schemeClr w14:val="tx1"/>
            </w14:solidFill>
          </w14:textFill>
        </w:rPr>
        <w:t>12个行政村，大埔镇林场和工业园区。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仿宋_GB2312" w:hAnsi="宋体" w:eastAsia="仿宋_GB2312"/>
          <w:bCs/>
          <w:color w:val="000000" w:themeColor="text1"/>
          <w:kern w:val="0"/>
          <w:sz w:val="32"/>
          <w:szCs w:val="32"/>
          <w:lang w:val="en-US" w:eastAsia="zh-CN"/>
          <w14:textFill>
            <w14:solidFill>
              <w14:schemeClr w14:val="tx1"/>
            </w14:solidFill>
          </w14:textFill>
        </w:rPr>
      </w:pPr>
      <w:r>
        <w:rPr>
          <w:rFonts w:hint="eastAsia" w:ascii="仿宋_GB2312" w:hAnsi="宋体" w:eastAsia="仿宋_GB2312"/>
          <w:bCs/>
          <w:color w:val="000000" w:themeColor="text1"/>
          <w:kern w:val="0"/>
          <w:sz w:val="32"/>
          <w:szCs w:val="32"/>
          <w:lang w:val="en-US" w:eastAsia="zh-CN"/>
          <w14:textFill>
            <w14:solidFill>
              <w14:schemeClr w14:val="tx1"/>
            </w14:solidFill>
          </w14:textFill>
        </w:rPr>
        <w:t>2.太平镇：上火、长岭、黄宜、近潭、杨梅、板贡6个行政村。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仿宋_GB2312" w:hAnsi="宋体" w:eastAsia="仿宋_GB2312"/>
          <w:bCs/>
          <w:color w:val="000000"/>
          <w:kern w:val="0"/>
          <w:sz w:val="32"/>
          <w:szCs w:val="32"/>
          <w:lang w:val="en-US" w:eastAsia="zh-CN"/>
        </w:rPr>
      </w:pPr>
      <w:r>
        <w:rPr>
          <w:rFonts w:hint="eastAsia" w:ascii="仿宋_GB2312" w:hAnsi="宋体" w:eastAsia="仿宋_GB2312"/>
          <w:bCs/>
          <w:color w:val="000000" w:themeColor="text1"/>
          <w:kern w:val="0"/>
          <w:sz w:val="32"/>
          <w:szCs w:val="32"/>
          <w:lang w:val="en-US" w:eastAsia="zh-CN"/>
          <w14:textFill>
            <w14:solidFill>
              <w14:schemeClr w14:val="tx1"/>
            </w14:solidFill>
          </w14:textFill>
        </w:rPr>
        <w:t>3.沙埔镇：长隆村、</w:t>
      </w:r>
      <w:r>
        <w:rPr>
          <w:rFonts w:hint="eastAsia" w:ascii="仿宋_GB2312" w:hAnsi="宋体" w:eastAsia="仿宋_GB2312"/>
          <w:bCs/>
          <w:color w:val="000000" w:themeColor="text1"/>
          <w:sz w:val="32"/>
          <w:szCs w:val="32"/>
          <w14:textFill>
            <w14:solidFill>
              <w14:schemeClr w14:val="tx1"/>
            </w14:solidFill>
          </w14:textFill>
        </w:rPr>
        <w:t>大安村、沙埔村。</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仿宋_GB2312" w:hAnsi="宋体" w:eastAsia="仿宋_GB2312"/>
          <w:bCs/>
          <w:color w:val="000000"/>
          <w:kern w:val="0"/>
          <w:sz w:val="32"/>
          <w:szCs w:val="32"/>
          <w:lang w:val="en-US" w:eastAsia="zh-CN"/>
        </w:rPr>
      </w:pPr>
      <w:r>
        <w:rPr>
          <w:rFonts w:hint="eastAsia" w:ascii="仿宋_GB2312" w:hAnsi="宋体" w:eastAsia="仿宋_GB2312"/>
          <w:bCs/>
          <w:color w:val="000000"/>
          <w:kern w:val="0"/>
          <w:sz w:val="32"/>
          <w:szCs w:val="32"/>
          <w:lang w:val="en-US" w:eastAsia="zh-CN"/>
        </w:rPr>
        <w:t>4.东泉镇：雷塘、前屯、碑塘、大樟、永安、对河、高田、尖石、螺田、走马、中段、西安、凉亭、黄塘14个行政村，东泉林场、柳城华侨农场。</w:t>
      </w:r>
    </w:p>
    <w:p>
      <w:pPr>
        <w:pStyle w:val="4"/>
        <w:widowControl/>
        <w:shd w:val="clear" w:color="auto" w:fill="FFFFFF"/>
        <w:spacing w:beforeAutospacing="0" w:afterAutospacing="0"/>
        <w:ind w:firstLine="640" w:firstLineChars="200"/>
        <w:rPr>
          <w:rFonts w:ascii="仿宋_GB2312" w:hAnsi="宋体" w:eastAsia="仿宋_GB2312"/>
          <w:bCs/>
          <w:color w:val="000000"/>
          <w:sz w:val="32"/>
          <w:szCs w:val="32"/>
        </w:rPr>
      </w:pPr>
      <w:r>
        <w:rPr>
          <w:rFonts w:hint="eastAsia" w:ascii="仿宋_GB2312" w:hAnsi="宋体" w:eastAsia="仿宋_GB2312"/>
          <w:bCs/>
          <w:color w:val="000000"/>
          <w:sz w:val="32"/>
          <w:szCs w:val="32"/>
          <w:lang w:val="en-US" w:eastAsia="zh-CN"/>
        </w:rPr>
        <w:t>5.</w:t>
      </w:r>
      <w:r>
        <w:rPr>
          <w:rFonts w:hint="eastAsia" w:ascii="仿宋_GB2312" w:hAnsi="宋体" w:eastAsia="仿宋_GB2312"/>
          <w:bCs/>
          <w:color w:val="000000"/>
          <w:sz w:val="32"/>
          <w:szCs w:val="32"/>
        </w:rPr>
        <w:t>凤山镇：头塘村、二塘村、旧县村、对河村。</w:t>
      </w:r>
    </w:p>
    <w:p>
      <w:pPr>
        <w:pStyle w:val="4"/>
        <w:widowControl/>
        <w:shd w:val="clear" w:color="auto" w:fill="FFFFFF"/>
        <w:spacing w:beforeAutospacing="0" w:afterAutospacing="0"/>
        <w:rPr>
          <w:rFonts w:hint="eastAsia" w:ascii="仿宋_GB2312" w:hAnsi="宋体" w:eastAsia="仿宋_GB2312"/>
          <w:bCs/>
          <w:color w:val="000000"/>
          <w:kern w:val="0"/>
          <w:sz w:val="32"/>
          <w:szCs w:val="32"/>
          <w:lang w:val="en-US" w:eastAsia="zh-CN"/>
        </w:rPr>
      </w:pPr>
      <w:r>
        <w:rPr>
          <w:rFonts w:hint="eastAsia" w:ascii="仿宋_GB2312" w:hAnsi="宋体" w:eastAsia="仿宋_GB2312"/>
          <w:bCs/>
          <w:color w:val="000000"/>
          <w:sz w:val="32"/>
          <w:szCs w:val="32"/>
        </w:rPr>
        <w:t>　　</w:t>
      </w:r>
      <w:r>
        <w:rPr>
          <w:rFonts w:hint="eastAsia" w:ascii="仿宋_GB2312" w:hAnsi="宋体" w:eastAsia="仿宋_GB2312"/>
          <w:bCs/>
          <w:color w:val="000000"/>
          <w:sz w:val="32"/>
          <w:szCs w:val="32"/>
          <w:lang w:val="en-US" w:eastAsia="zh-CN"/>
        </w:rPr>
        <w:t>6.</w:t>
      </w:r>
      <w:r>
        <w:rPr>
          <w:rFonts w:hint="eastAsia" w:ascii="仿宋_GB2312" w:hAnsi="宋体" w:eastAsia="仿宋_GB2312"/>
          <w:bCs/>
          <w:color w:val="000000"/>
          <w:sz w:val="32"/>
          <w:szCs w:val="32"/>
        </w:rPr>
        <w:t>路网禁烧区域：柳城县境内不在上述划定区域内的高速公路、铁路沿线两侧各</w:t>
      </w:r>
      <w:r>
        <w:rPr>
          <w:rFonts w:ascii="仿宋_GB2312" w:hAnsi="宋体" w:eastAsia="仿宋_GB2312"/>
          <w:bCs/>
          <w:color w:val="000000"/>
          <w:sz w:val="32"/>
          <w:szCs w:val="32"/>
        </w:rPr>
        <w:t>2</w:t>
      </w:r>
      <w:r>
        <w:rPr>
          <w:rFonts w:hint="eastAsia" w:ascii="仿宋_GB2312" w:hAnsi="宋体" w:eastAsia="仿宋_GB2312"/>
          <w:bCs/>
          <w:color w:val="000000"/>
          <w:sz w:val="32"/>
          <w:szCs w:val="32"/>
        </w:rPr>
        <w:t>公里，国、省道公路干线两侧各</w:t>
      </w:r>
      <w:r>
        <w:rPr>
          <w:rFonts w:ascii="仿宋_GB2312" w:hAnsi="宋体" w:eastAsia="仿宋_GB2312"/>
          <w:bCs/>
          <w:color w:val="000000"/>
          <w:sz w:val="32"/>
          <w:szCs w:val="32"/>
        </w:rPr>
        <w:t>1</w:t>
      </w:r>
      <w:r>
        <w:rPr>
          <w:rFonts w:hint="eastAsia" w:ascii="仿宋_GB2312" w:hAnsi="宋体" w:eastAsia="仿宋_GB2312"/>
          <w:bCs/>
          <w:color w:val="000000"/>
          <w:sz w:val="32"/>
          <w:szCs w:val="32"/>
        </w:rPr>
        <w:t>公里范围的区域。</w:t>
      </w:r>
      <w:r>
        <w:rPr>
          <w:rFonts w:hint="eastAsia" w:ascii="仿宋_GB2312" w:hAnsi="宋体" w:eastAsia="仿宋_GB2312"/>
          <w:bCs/>
          <w:color w:val="000000"/>
          <w:kern w:val="0"/>
          <w:sz w:val="32"/>
          <w:szCs w:val="32"/>
          <w:lang w:val="en-US" w:eastAsia="zh-CN"/>
        </w:rPr>
        <w:t>（上述行政区划或地名有变更的，以变更后的为准。）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楷体_GB2312" w:hAnsi="楷体_GB2312" w:eastAsia="楷体_GB2312" w:cs="楷体_GB2312"/>
          <w:bCs/>
          <w:color w:val="000000"/>
          <w:kern w:val="0"/>
          <w:sz w:val="32"/>
          <w:szCs w:val="32"/>
          <w:lang w:val="en-US" w:eastAsia="zh-CN"/>
        </w:rPr>
      </w:pPr>
      <w:r>
        <w:rPr>
          <w:rFonts w:hint="eastAsia" w:ascii="仿宋_GB2312" w:hAnsi="宋体" w:eastAsia="仿宋_GB2312"/>
          <w:bCs/>
          <w:color w:val="000000"/>
          <w:kern w:val="0"/>
          <w:sz w:val="32"/>
          <w:szCs w:val="32"/>
          <w:lang w:val="en-US" w:eastAsia="zh-CN"/>
        </w:rPr>
        <w:t>　　</w:t>
      </w:r>
      <w:r>
        <w:rPr>
          <w:rFonts w:hint="eastAsia" w:ascii="楷体_GB2312" w:hAnsi="楷体_GB2312" w:eastAsia="楷体_GB2312" w:cs="楷体_GB2312"/>
          <w:bCs/>
          <w:color w:val="000000"/>
          <w:kern w:val="0"/>
          <w:sz w:val="32"/>
          <w:szCs w:val="32"/>
          <w:lang w:val="en-US" w:eastAsia="zh-CN"/>
        </w:rPr>
        <w:t>（二）限烧区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宋体" w:eastAsia="仿宋_GB2312"/>
          <w:bCs/>
          <w:color w:val="000000"/>
          <w:kern w:val="0"/>
          <w:sz w:val="32"/>
          <w:szCs w:val="32"/>
          <w:lang w:val="en-US" w:eastAsia="zh-CN"/>
        </w:rPr>
      </w:pPr>
      <w:r>
        <w:rPr>
          <w:rFonts w:hint="eastAsia" w:ascii="仿宋_GB2312" w:hAnsi="宋体" w:eastAsia="仿宋_GB2312"/>
          <w:bCs/>
          <w:color w:val="000000"/>
          <w:kern w:val="0"/>
          <w:sz w:val="32"/>
          <w:szCs w:val="32"/>
          <w:lang w:val="en-US" w:eastAsia="zh-CN"/>
        </w:rPr>
        <w:t>　　禁烧区以外的所有区域为限烧区。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jc w:val="left"/>
        <w:rPr>
          <w:rFonts w:hint="eastAsia" w:ascii="黑体" w:hAnsi="黑体" w:eastAsia="黑体" w:cs="黑体"/>
          <w:bCs/>
          <w:color w:val="000000"/>
          <w:kern w:val="0"/>
          <w:sz w:val="32"/>
          <w:szCs w:val="32"/>
          <w:lang w:val="en-US" w:eastAsia="zh-CN"/>
        </w:rPr>
      </w:pPr>
      <w:r>
        <w:rPr>
          <w:rFonts w:hint="eastAsia" w:ascii="黑体" w:hAnsi="黑体" w:eastAsia="黑体" w:cs="黑体"/>
          <w:bCs/>
          <w:color w:val="000000"/>
          <w:kern w:val="0"/>
          <w:sz w:val="32"/>
          <w:szCs w:val="32"/>
          <w:lang w:val="en-US" w:eastAsia="zh-CN"/>
        </w:rPr>
        <w:t>三、禁烧区与限烧区管控要求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楷体_GB2312" w:hAnsi="楷体_GB2312" w:eastAsia="楷体_GB2312" w:cs="楷体_GB2312"/>
          <w:bCs/>
          <w:color w:val="000000"/>
          <w:kern w:val="0"/>
          <w:sz w:val="32"/>
          <w:szCs w:val="32"/>
          <w:lang w:val="en-US" w:eastAsia="zh-CN"/>
        </w:rPr>
      </w:pPr>
      <w:r>
        <w:rPr>
          <w:rFonts w:hint="eastAsia" w:ascii="仿宋_GB2312" w:hAnsi="宋体" w:eastAsia="仿宋_GB2312"/>
          <w:bCs/>
          <w:color w:val="000000"/>
          <w:kern w:val="0"/>
          <w:sz w:val="32"/>
          <w:szCs w:val="32"/>
          <w:lang w:val="en-US" w:eastAsia="zh-CN"/>
        </w:rPr>
        <w:t>　　</w:t>
      </w:r>
      <w:r>
        <w:rPr>
          <w:rFonts w:hint="eastAsia" w:ascii="楷体_GB2312" w:hAnsi="楷体_GB2312" w:eastAsia="楷体_GB2312" w:cs="楷体_GB2312"/>
          <w:bCs/>
          <w:color w:val="000000"/>
          <w:kern w:val="0"/>
          <w:sz w:val="32"/>
          <w:szCs w:val="32"/>
          <w:lang w:val="en-US" w:eastAsia="zh-CN"/>
        </w:rPr>
        <w:t>（一）禁烧区管控要求执行最严厉的强制性禁烧政策，在任何时间段该区域都不允许进行秸秆露天焚烧。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宋体" w:eastAsia="仿宋_GB2312"/>
          <w:bCs/>
          <w:color w:val="000000"/>
          <w:kern w:val="0"/>
          <w:sz w:val="32"/>
          <w:szCs w:val="32"/>
          <w:lang w:val="en-US" w:eastAsia="zh-CN"/>
        </w:rPr>
      </w:pPr>
      <w:r>
        <w:rPr>
          <w:rFonts w:hint="eastAsia" w:ascii="楷体_GB2312" w:hAnsi="楷体_GB2312" w:eastAsia="楷体_GB2312" w:cs="楷体_GB2312"/>
          <w:bCs/>
          <w:color w:val="000000"/>
          <w:kern w:val="0"/>
          <w:sz w:val="32"/>
          <w:szCs w:val="32"/>
          <w:lang w:val="en-US" w:eastAsia="zh-CN"/>
        </w:rPr>
        <w:t>　　（二）限烧区管控要求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宋体" w:eastAsia="仿宋_GB2312"/>
          <w:bCs/>
          <w:color w:val="000000"/>
          <w:kern w:val="0"/>
          <w:sz w:val="32"/>
          <w:szCs w:val="32"/>
          <w:lang w:val="en-US" w:eastAsia="zh-CN"/>
        </w:rPr>
      </w:pPr>
      <w:r>
        <w:rPr>
          <w:rFonts w:hint="eastAsia" w:ascii="仿宋_GB2312" w:hAnsi="宋体" w:eastAsia="仿宋_GB2312"/>
          <w:bCs/>
          <w:color w:val="000000"/>
          <w:kern w:val="0"/>
          <w:sz w:val="32"/>
          <w:szCs w:val="32"/>
          <w:lang w:val="en-US" w:eastAsia="zh-CN"/>
        </w:rPr>
        <w:t>　　1.符合以下环境条件之一的情况，限烧区内可根据规定有序进行秸秆焚烧：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宋体" w:eastAsia="仿宋_GB2312"/>
          <w:bCs/>
          <w:color w:val="000000"/>
          <w:kern w:val="0"/>
          <w:sz w:val="32"/>
          <w:szCs w:val="32"/>
          <w:lang w:val="en-US" w:eastAsia="zh-CN"/>
        </w:rPr>
      </w:pPr>
      <w:r>
        <w:rPr>
          <w:rFonts w:hint="eastAsia" w:ascii="仿宋_GB2312" w:hAnsi="宋体" w:eastAsia="仿宋_GB2312"/>
          <w:bCs/>
          <w:color w:val="000000"/>
          <w:kern w:val="0"/>
          <w:sz w:val="32"/>
          <w:szCs w:val="32"/>
          <w:lang w:val="en-US" w:eastAsia="zh-CN"/>
        </w:rPr>
        <w:t>　　（1）风速条件合适（大于2级，且小于5级），且空气质量较好（空气质量为优或者良）。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宋体" w:eastAsia="仿宋_GB2312"/>
          <w:bCs/>
          <w:color w:val="000000"/>
          <w:kern w:val="0"/>
          <w:sz w:val="32"/>
          <w:szCs w:val="32"/>
          <w:lang w:val="en-US" w:eastAsia="zh-CN"/>
        </w:rPr>
      </w:pPr>
      <w:r>
        <w:rPr>
          <w:rFonts w:hint="eastAsia" w:ascii="仿宋_GB2312" w:hAnsi="宋体" w:eastAsia="仿宋_GB2312"/>
          <w:bCs/>
          <w:color w:val="000000"/>
          <w:kern w:val="0"/>
          <w:sz w:val="32"/>
          <w:szCs w:val="32"/>
          <w:lang w:val="en-US" w:eastAsia="zh-CN"/>
        </w:rPr>
        <w:t>　　（2）未来一天有冷空气或未来8小时后有降雨的大气有利扩散条件。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宋体" w:eastAsia="仿宋_GB2312"/>
          <w:bCs/>
          <w:color w:val="000000"/>
          <w:kern w:val="0"/>
          <w:sz w:val="32"/>
          <w:szCs w:val="32"/>
          <w:lang w:val="en-US" w:eastAsia="zh-CN"/>
        </w:rPr>
      </w:pPr>
      <w:r>
        <w:rPr>
          <w:rFonts w:hint="eastAsia" w:ascii="仿宋_GB2312" w:hAnsi="宋体" w:eastAsia="仿宋_GB2312"/>
          <w:bCs/>
          <w:color w:val="000000"/>
          <w:kern w:val="0"/>
          <w:sz w:val="32"/>
          <w:szCs w:val="32"/>
          <w:lang w:val="en-US" w:eastAsia="zh-CN"/>
        </w:rPr>
        <w:t>　　（3）受强冷空气影响的当日或第二天（日降温幅度在6℃以上）。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宋体" w:eastAsia="仿宋_GB2312"/>
          <w:bCs/>
          <w:color w:val="000000"/>
          <w:kern w:val="0"/>
          <w:sz w:val="32"/>
          <w:szCs w:val="32"/>
          <w:lang w:val="en-US" w:eastAsia="zh-CN"/>
        </w:rPr>
      </w:pPr>
      <w:r>
        <w:rPr>
          <w:rFonts w:hint="eastAsia" w:ascii="仿宋_GB2312" w:hAnsi="宋体" w:eastAsia="仿宋_GB2312"/>
          <w:bCs/>
          <w:color w:val="000000"/>
          <w:kern w:val="0"/>
          <w:sz w:val="32"/>
          <w:szCs w:val="32"/>
          <w:lang w:val="en-US" w:eastAsia="zh-CN"/>
        </w:rPr>
        <w:t>　　（4）生态环境和气象部门确定的有利于秸秆焚烧烟气扩散和清除的天气。</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宋体" w:eastAsia="仿宋_GB2312"/>
          <w:bCs/>
          <w:color w:val="000000"/>
          <w:kern w:val="0"/>
          <w:sz w:val="32"/>
          <w:szCs w:val="32"/>
          <w:lang w:val="en-US" w:eastAsia="zh-CN"/>
        </w:rPr>
      </w:pPr>
      <w:r>
        <w:rPr>
          <w:rFonts w:hint="eastAsia" w:ascii="仿宋_GB2312" w:hAnsi="宋体" w:eastAsia="仿宋_GB2312"/>
          <w:bCs/>
          <w:color w:val="000000"/>
          <w:kern w:val="0"/>
          <w:sz w:val="32"/>
          <w:szCs w:val="32"/>
          <w:lang w:val="en-US" w:eastAsia="zh-CN"/>
        </w:rPr>
        <w:t>　　2.分区域分时段进行露天焚烧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宋体" w:eastAsia="仿宋_GB2312"/>
          <w:bCs/>
          <w:color w:val="000000"/>
          <w:kern w:val="0"/>
          <w:sz w:val="32"/>
          <w:szCs w:val="32"/>
          <w:lang w:val="en-US" w:eastAsia="zh-CN"/>
        </w:rPr>
      </w:pPr>
      <w:r>
        <w:rPr>
          <w:rFonts w:hint="eastAsia" w:ascii="仿宋_GB2312" w:hAnsi="宋体" w:eastAsia="仿宋_GB2312"/>
          <w:bCs/>
          <w:color w:val="000000"/>
          <w:kern w:val="0"/>
          <w:sz w:val="32"/>
          <w:szCs w:val="32"/>
          <w:lang w:val="en-US" w:eastAsia="zh-CN"/>
        </w:rPr>
        <w:t>　　（1）以行政村为单位组织进行有序焚烧，防止大面积集中焚烧带来区域大气污染。</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宋体" w:eastAsia="仿宋_GB2312"/>
          <w:bCs/>
          <w:color w:val="000000"/>
          <w:kern w:val="0"/>
          <w:sz w:val="32"/>
          <w:szCs w:val="32"/>
          <w:lang w:val="en-US" w:eastAsia="zh-CN"/>
        </w:rPr>
      </w:pPr>
      <w:r>
        <w:rPr>
          <w:rFonts w:hint="eastAsia" w:ascii="仿宋_GB2312" w:hAnsi="宋体" w:eastAsia="仿宋_GB2312"/>
          <w:bCs/>
          <w:color w:val="000000"/>
          <w:kern w:val="0"/>
          <w:sz w:val="32"/>
          <w:szCs w:val="32"/>
          <w:lang w:val="en-US" w:eastAsia="zh-CN"/>
        </w:rPr>
        <w:t>　　（2）秸秆焚烧时段应根据当地气象部门提供的气象条件研究确定。一般选择在上午10点到下午3点之间大气边界层较高（500米以上）的情况下进行焚烧，不在大气边界层较低的清晨、傍晚及夜间禁烧。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宋体" w:eastAsia="仿宋_GB2312"/>
          <w:bCs/>
          <w:color w:val="000000"/>
          <w:kern w:val="0"/>
          <w:sz w:val="32"/>
          <w:szCs w:val="32"/>
          <w:lang w:val="en-US" w:eastAsia="zh-CN"/>
        </w:rPr>
      </w:pPr>
      <w:r>
        <w:rPr>
          <w:rFonts w:hint="eastAsia" w:ascii="仿宋_GB2312" w:hAnsi="宋体" w:eastAsia="仿宋_GB2312"/>
          <w:bCs/>
          <w:color w:val="000000"/>
          <w:kern w:val="0"/>
          <w:sz w:val="32"/>
          <w:szCs w:val="32"/>
          <w:lang w:val="en-US" w:eastAsia="zh-CN"/>
        </w:rPr>
        <w:t>　　（3）在柳州市启动污染天气预警期间，限烧区全面禁止露天秸秆焚烧。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黑体" w:hAnsi="黑体" w:eastAsia="黑体" w:cs="黑体"/>
          <w:bCs/>
          <w:color w:val="000000"/>
          <w:kern w:val="0"/>
          <w:sz w:val="32"/>
          <w:szCs w:val="32"/>
          <w:lang w:val="en-US" w:eastAsia="zh-CN"/>
        </w:rPr>
      </w:pPr>
      <w:r>
        <w:rPr>
          <w:rFonts w:hint="eastAsia" w:ascii="黑体" w:hAnsi="黑体" w:eastAsia="黑体" w:cs="黑体"/>
          <w:bCs/>
          <w:color w:val="000000"/>
          <w:kern w:val="0"/>
          <w:sz w:val="32"/>
          <w:szCs w:val="32"/>
          <w:lang w:val="en-US" w:eastAsia="zh-CN"/>
        </w:rPr>
        <w:t>四、对违反本通告规定，在秸秆禁烧区内露天焚烧秸秆的行为，由县城市管理行政执法局依据《中华人民共和国大气污染防治法》第一百一十九条规定责令改正，并处五百元以上二千元以下的罚款。各乡镇（华侨管理区）人民政府负责本辖区内秸秆焚烧管控工作及污染天气时段秸秆焚烧行为的查处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黑体" w:hAnsi="黑体" w:eastAsia="黑体" w:cs="黑体"/>
          <w:bCs/>
          <w:color w:val="000000"/>
          <w:kern w:val="0"/>
          <w:sz w:val="32"/>
          <w:szCs w:val="32"/>
          <w:lang w:val="en-US" w:eastAsia="zh-CN"/>
        </w:rPr>
      </w:pPr>
      <w:r>
        <w:rPr>
          <w:rFonts w:hint="eastAsia" w:ascii="黑体" w:hAnsi="黑体" w:eastAsia="黑体" w:cs="黑体"/>
          <w:bCs/>
          <w:color w:val="000000"/>
          <w:kern w:val="0"/>
          <w:sz w:val="32"/>
          <w:szCs w:val="32"/>
          <w:lang w:val="en-US" w:eastAsia="zh-CN"/>
        </w:rPr>
        <w:t>　  五、柳城生态环境局、县委宣传部、县发展和改革局、县教育局、县科技工贸和信息化局、县财政局、县自然资源和规划局、县农业农村局、县城市管理行政执法局、县气象局和县消防大队等部门按照职责，加强对本通告划定区域内秸秆露天禁烧管控，共同推进秸秆禁烧和综合利用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jc w:val="left"/>
        <w:rPr>
          <w:rFonts w:hint="eastAsia" w:ascii="黑体" w:hAnsi="黑体" w:eastAsia="黑体" w:cs="黑体"/>
          <w:bCs/>
          <w:color w:val="000000"/>
          <w:kern w:val="0"/>
          <w:sz w:val="32"/>
          <w:szCs w:val="32"/>
          <w:lang w:val="en-US" w:eastAsia="zh-CN"/>
        </w:rPr>
      </w:pPr>
      <w:r>
        <w:rPr>
          <w:rFonts w:hint="eastAsia" w:ascii="黑体" w:hAnsi="黑体" w:eastAsia="黑体" w:cs="黑体"/>
          <w:bCs/>
          <w:color w:val="000000"/>
          <w:kern w:val="0"/>
          <w:sz w:val="32"/>
          <w:szCs w:val="32"/>
          <w:lang w:val="en-US" w:eastAsia="zh-CN"/>
        </w:rPr>
        <w:t>六、本通告按照属地管理原则，由各乡镇（华侨管理区）人民政府具体组织实施。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jc w:val="left"/>
        <w:rPr>
          <w:rFonts w:hint="eastAsia" w:ascii="黑体" w:hAnsi="黑体" w:eastAsia="黑体" w:cs="黑体"/>
          <w:bCs/>
          <w:color w:val="000000"/>
          <w:kern w:val="0"/>
          <w:sz w:val="32"/>
          <w:szCs w:val="32"/>
          <w:lang w:val="en-US" w:eastAsia="zh-CN"/>
        </w:rPr>
      </w:pPr>
      <w:r>
        <w:rPr>
          <w:rFonts w:hint="eastAsia" w:ascii="黑体" w:hAnsi="黑体" w:eastAsia="黑体" w:cs="黑体"/>
          <w:bCs/>
          <w:color w:val="000000"/>
          <w:kern w:val="0"/>
          <w:sz w:val="32"/>
          <w:szCs w:val="32"/>
          <w:lang w:val="en-US" w:eastAsia="zh-CN"/>
        </w:rPr>
        <w:t>七、本通告自2020年x月xx日起执行，有效期5年。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jc w:val="left"/>
        <w:rPr>
          <w:rFonts w:hint="eastAsia" w:ascii="仿宋_GB2312" w:hAnsi="宋体" w:eastAsia="仿宋_GB2312"/>
          <w:bCs/>
          <w:color w:val="000000"/>
          <w:kern w:val="0"/>
          <w:sz w:val="32"/>
          <w:szCs w:val="32"/>
          <w:lang w:val="en-US"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jc w:val="left"/>
        <w:rPr>
          <w:rFonts w:hint="eastAsia" w:ascii="仿宋_GB2312" w:hAnsi="宋体" w:eastAsia="仿宋_GB2312"/>
          <w:bCs/>
          <w:color w:val="000000"/>
          <w:kern w:val="0"/>
          <w:sz w:val="32"/>
          <w:szCs w:val="32"/>
          <w:lang w:val="en-US"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jc w:val="left"/>
        <w:rPr>
          <w:rFonts w:hint="eastAsia" w:ascii="仿宋_GB2312" w:hAnsi="宋体" w:eastAsia="仿宋_GB2312"/>
          <w:bCs/>
          <w:color w:val="000000"/>
          <w:kern w:val="0"/>
          <w:sz w:val="32"/>
          <w:szCs w:val="32"/>
          <w:lang w:val="en-US" w:eastAsia="zh-CN"/>
        </w:rPr>
      </w:pPr>
    </w:p>
    <w:p>
      <w:pPr>
        <w:spacing w:line="560" w:lineRule="exact"/>
        <w:ind w:firstLine="200"/>
        <w:rPr>
          <w:rFonts w:hint="eastAsia" w:ascii="仿宋_GB2312" w:hAnsi="仿宋_GB2312" w:eastAsia="仿宋_GB2312" w:cs="仿宋_GB2312"/>
          <w:sz w:val="32"/>
          <w:szCs w:val="32"/>
        </w:rPr>
      </w:pPr>
      <w:r>
        <w:rPr>
          <w:rFonts w:hint="eastAsia" w:ascii="仿宋_GB2312" w:hAnsi="宋体" w:eastAsia="仿宋_GB2312"/>
          <w:bCs/>
          <w:color w:val="000000"/>
          <w:kern w:val="0"/>
          <w:sz w:val="32"/>
          <w:szCs w:val="32"/>
          <w:lang w:val="en-US" w:eastAsia="zh-CN"/>
        </w:rPr>
        <w:t xml:space="preserve">                          </w:t>
      </w:r>
      <w:r>
        <w:rPr>
          <w:rFonts w:hint="eastAsia" w:ascii="仿宋_GB2312" w:hAnsi="仿宋_GB2312" w:eastAsia="仿宋_GB2312" w:cs="仿宋_GB2312"/>
          <w:sz w:val="32"/>
          <w:szCs w:val="32"/>
        </w:rPr>
        <w:t xml:space="preserve">     </w:t>
      </w:r>
    </w:p>
    <w:p>
      <w:pPr>
        <w:spacing w:line="560" w:lineRule="exact"/>
        <w:ind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柳城县人民政府</w:t>
      </w:r>
    </w:p>
    <w:p>
      <w:pPr>
        <w:spacing w:line="560" w:lineRule="exact"/>
        <w:ind w:firstLine="5760" w:firstLineChars="1800"/>
        <w:rPr>
          <w:rFonts w:ascii="仿宋_GB2312" w:hAnsi="仿宋_GB2312" w:eastAsia="仿宋_GB2312" w:cs="仿宋_GB2312"/>
          <w:sz w:val="32"/>
          <w:szCs w:val="32"/>
        </w:rPr>
      </w:pP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x</w:t>
      </w:r>
      <w:r>
        <w:rPr>
          <w:rFonts w:hint="eastAsia" w:ascii="仿宋_GB2312" w:hAnsi="仿宋_GB2312" w:eastAsia="仿宋_GB2312" w:cs="仿宋_GB2312"/>
          <w:sz w:val="32"/>
          <w:szCs w:val="32"/>
        </w:rPr>
        <w:t>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jc w:val="left"/>
        <w:rPr>
          <w:rFonts w:hint="eastAsia" w:ascii="仿宋_GB2312" w:hAnsi="宋体" w:eastAsia="仿宋_GB2312"/>
          <w:bCs/>
          <w:color w:val="000000"/>
          <w:kern w:val="0"/>
          <w:sz w:val="32"/>
          <w:szCs w:val="32"/>
          <w:lang w:val="en-US" w:eastAsia="zh-CN"/>
        </w:rPr>
      </w:pPr>
      <w:r>
        <w:rPr>
          <w:rFonts w:hint="eastAsia" w:ascii="方正小标宋简体" w:hAnsi="方正小标宋简体" w:eastAsia="方正小标宋简体" w:cs="方正小标宋简体"/>
          <w:sz w:val="32"/>
          <w:szCs w:val="32"/>
        </w:rPr>
        <w:t>（公开方式：</w:t>
      </w:r>
      <w:r>
        <w:rPr>
          <w:rFonts w:hint="eastAsia" w:ascii="仿宋_GB2312" w:hAnsi="仿宋_GB2312" w:eastAsia="仿宋_GB2312" w:cs="仿宋_GB2312"/>
          <w:sz w:val="32"/>
          <w:szCs w:val="32"/>
        </w:rPr>
        <w:t>主动公开）</w:t>
      </w:r>
      <w:r>
        <w:rPr>
          <w:rFonts w:ascii="仿宋_GB2312" w:hAnsi="仿宋_GB2312" w:eastAsia="仿宋_GB2312" w:cs="仿宋_GB2312"/>
          <w:sz w:val="32"/>
          <w:szCs w:val="32"/>
        </w:rPr>
        <w:br w:type="page"/>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jc w:val="left"/>
        <w:rPr>
          <w:rFonts w:hint="eastAsia" w:ascii="仿宋_GB2312" w:hAnsi="宋体" w:eastAsia="仿宋_GB2312"/>
          <w:bCs/>
          <w:color w:val="000000"/>
          <w:kern w:val="0"/>
          <w:sz w:val="32"/>
          <w:szCs w:val="32"/>
          <w:lang w:val="en-US"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jc w:val="left"/>
        <w:rPr>
          <w:rFonts w:hint="eastAsia" w:ascii="仿宋_GB2312" w:hAnsi="宋体" w:eastAsia="仿宋_GB2312"/>
          <w:bCs/>
          <w:color w:val="000000"/>
          <w:kern w:val="0"/>
          <w:sz w:val="32"/>
          <w:szCs w:val="32"/>
          <w:lang w:val="en-US"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jc w:val="left"/>
        <w:rPr>
          <w:rFonts w:hint="eastAsia" w:ascii="仿宋_GB2312" w:hAnsi="宋体" w:eastAsia="仿宋_GB2312"/>
          <w:bCs/>
          <w:color w:val="000000"/>
          <w:kern w:val="0"/>
          <w:sz w:val="32"/>
          <w:szCs w:val="32"/>
          <w:lang w:val="en-US"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jc w:val="left"/>
        <w:rPr>
          <w:rFonts w:hint="eastAsia" w:ascii="仿宋_GB2312" w:hAnsi="宋体" w:eastAsia="仿宋_GB2312"/>
          <w:bCs/>
          <w:color w:val="000000"/>
          <w:kern w:val="0"/>
          <w:sz w:val="32"/>
          <w:szCs w:val="32"/>
          <w:lang w:val="en-US"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jc w:val="left"/>
        <w:rPr>
          <w:rFonts w:hint="eastAsia" w:ascii="仿宋_GB2312" w:hAnsi="宋体" w:eastAsia="仿宋_GB2312"/>
          <w:bCs/>
          <w:color w:val="000000"/>
          <w:kern w:val="0"/>
          <w:sz w:val="32"/>
          <w:szCs w:val="32"/>
          <w:lang w:val="en-US"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jc w:val="left"/>
        <w:rPr>
          <w:rFonts w:hint="eastAsia" w:ascii="仿宋_GB2312" w:hAnsi="宋体" w:eastAsia="仿宋_GB2312"/>
          <w:bCs/>
          <w:color w:val="000000"/>
          <w:kern w:val="0"/>
          <w:sz w:val="32"/>
          <w:szCs w:val="32"/>
          <w:lang w:val="en-US"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jc w:val="left"/>
        <w:rPr>
          <w:rFonts w:hint="eastAsia" w:ascii="仿宋_GB2312" w:hAnsi="宋体" w:eastAsia="仿宋_GB2312"/>
          <w:bCs/>
          <w:color w:val="000000"/>
          <w:kern w:val="0"/>
          <w:sz w:val="32"/>
          <w:szCs w:val="32"/>
          <w:lang w:val="en-US"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jc w:val="left"/>
        <w:rPr>
          <w:rFonts w:hint="eastAsia" w:ascii="仿宋_GB2312" w:hAnsi="宋体" w:eastAsia="仿宋_GB2312"/>
          <w:bCs/>
          <w:color w:val="000000"/>
          <w:kern w:val="0"/>
          <w:sz w:val="32"/>
          <w:szCs w:val="32"/>
          <w:lang w:val="en-US"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jc w:val="left"/>
        <w:rPr>
          <w:rFonts w:hint="eastAsia" w:ascii="仿宋_GB2312" w:hAnsi="宋体" w:eastAsia="仿宋_GB2312"/>
          <w:bCs/>
          <w:color w:val="000000"/>
          <w:kern w:val="0"/>
          <w:sz w:val="32"/>
          <w:szCs w:val="32"/>
          <w:lang w:val="en-US"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jc w:val="left"/>
        <w:rPr>
          <w:rFonts w:hint="eastAsia" w:ascii="仿宋_GB2312" w:hAnsi="宋体" w:eastAsia="仿宋_GB2312"/>
          <w:bCs/>
          <w:color w:val="000000"/>
          <w:kern w:val="0"/>
          <w:sz w:val="32"/>
          <w:szCs w:val="32"/>
          <w:lang w:val="en-US"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jc w:val="left"/>
        <w:rPr>
          <w:rFonts w:hint="eastAsia" w:ascii="仿宋_GB2312" w:hAnsi="宋体" w:eastAsia="仿宋_GB2312"/>
          <w:bCs/>
          <w:color w:val="000000"/>
          <w:kern w:val="0"/>
          <w:sz w:val="32"/>
          <w:szCs w:val="32"/>
          <w:lang w:val="en-US"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jc w:val="left"/>
        <w:rPr>
          <w:rFonts w:hint="eastAsia" w:ascii="仿宋_GB2312" w:hAnsi="宋体" w:eastAsia="仿宋_GB2312"/>
          <w:bCs/>
          <w:color w:val="000000"/>
          <w:kern w:val="0"/>
          <w:sz w:val="32"/>
          <w:szCs w:val="32"/>
          <w:lang w:val="en-US"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jc w:val="left"/>
        <w:rPr>
          <w:rFonts w:hint="eastAsia" w:ascii="仿宋_GB2312" w:hAnsi="宋体" w:eastAsia="仿宋_GB2312"/>
          <w:bCs/>
          <w:color w:val="000000"/>
          <w:kern w:val="0"/>
          <w:sz w:val="32"/>
          <w:szCs w:val="32"/>
          <w:lang w:val="en-US"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jc w:val="left"/>
        <w:rPr>
          <w:rFonts w:hint="eastAsia" w:ascii="仿宋_GB2312" w:hAnsi="宋体" w:eastAsia="仿宋_GB2312"/>
          <w:bCs/>
          <w:color w:val="000000"/>
          <w:kern w:val="0"/>
          <w:sz w:val="32"/>
          <w:szCs w:val="32"/>
          <w:lang w:val="en-US"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jc w:val="left"/>
        <w:rPr>
          <w:rFonts w:hint="eastAsia" w:ascii="仿宋_GB2312" w:hAnsi="宋体" w:eastAsia="仿宋_GB2312"/>
          <w:bCs/>
          <w:color w:val="000000"/>
          <w:kern w:val="0"/>
          <w:sz w:val="32"/>
          <w:szCs w:val="32"/>
          <w:lang w:val="en-US"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jc w:val="left"/>
        <w:rPr>
          <w:rFonts w:hint="eastAsia" w:ascii="仿宋_GB2312" w:hAnsi="宋体" w:eastAsia="仿宋_GB2312"/>
          <w:bCs/>
          <w:color w:val="000000"/>
          <w:kern w:val="0"/>
          <w:sz w:val="32"/>
          <w:szCs w:val="32"/>
          <w:lang w:val="en-US"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jc w:val="left"/>
        <w:rPr>
          <w:rFonts w:hint="eastAsia" w:ascii="仿宋_GB2312" w:hAnsi="宋体" w:eastAsia="仿宋_GB2312"/>
          <w:bCs/>
          <w:color w:val="000000"/>
          <w:kern w:val="0"/>
          <w:sz w:val="32"/>
          <w:szCs w:val="32"/>
          <w:lang w:val="en-US"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jc w:val="left"/>
        <w:rPr>
          <w:rFonts w:hint="eastAsia" w:ascii="仿宋_GB2312" w:hAnsi="宋体" w:eastAsia="仿宋_GB2312"/>
          <w:bCs/>
          <w:color w:val="000000"/>
          <w:kern w:val="0"/>
          <w:sz w:val="32"/>
          <w:szCs w:val="32"/>
          <w:lang w:val="en-US"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0" w:firstLineChars="1500"/>
        <w:jc w:val="left"/>
        <w:rPr>
          <w:rFonts w:hint="default" w:ascii="仿宋_GB2312" w:hAnsi="宋体" w:eastAsia="仿宋_GB2312"/>
          <w:bCs/>
          <w:color w:val="000000"/>
          <w:kern w:val="0"/>
          <w:sz w:val="32"/>
          <w:szCs w:val="32"/>
          <w:lang w:val="en-US" w:eastAsia="zh-CN"/>
        </w:rPr>
      </w:pPr>
    </w:p>
    <w:p>
      <w:pPr>
        <w:spacing w:line="560" w:lineRule="exact"/>
        <w:ind w:firstLine="300" w:firstLineChars="100"/>
        <w:rPr>
          <w:rFonts w:hint="eastAsia" w:ascii="仿宋_GB2312" w:hAnsi="Calibri" w:eastAsia="仿宋_GB2312" w:cs="Times New Roman"/>
          <w:sz w:val="30"/>
          <w:szCs w:val="30"/>
        </w:rPr>
      </w:pPr>
      <w:r>
        <w:rPr>
          <w:rFonts w:hint="eastAsia" w:ascii="仿宋_GB2312" w:hAnsi="Calibri" w:eastAsia="仿宋_GB2312" w:cs="Times New Roman"/>
          <w:sz w:val="30"/>
          <w:szCs w:val="30"/>
        </w:rPr>
        <mc:AlternateContent>
          <mc:Choice Requires="wps">
            <w:drawing>
              <wp:anchor distT="0" distB="0" distL="114300" distR="114300" simplePos="0" relativeHeight="251662336" behindDoc="0" locked="1" layoutInCell="1" allowOverlap="0">
                <wp:simplePos x="0" y="0"/>
                <wp:positionH relativeFrom="column">
                  <wp:posOffset>0</wp:posOffset>
                </wp:positionH>
                <wp:positionV relativeFrom="paragraph">
                  <wp:posOffset>0</wp:posOffset>
                </wp:positionV>
                <wp:extent cx="5615940" cy="0"/>
                <wp:effectExtent l="0" t="9525" r="3810" b="9525"/>
                <wp:wrapNone/>
                <wp:docPr id="6" name="直接连接符 6"/>
                <wp:cNvGraphicFramePr/>
                <a:graphic xmlns:a="http://schemas.openxmlformats.org/drawingml/2006/main">
                  <a:graphicData uri="http://schemas.microsoft.com/office/word/2010/wordprocessingShape">
                    <wps:wsp>
                      <wps:cNvCnPr/>
                      <wps:spPr>
                        <a:xfrm>
                          <a:off x="0" y="0"/>
                          <a:ext cx="5615940" cy="0"/>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0pt;height:0pt;width:442.2pt;z-index:251662336;mso-width-relative:page;mso-height-relative:page;" filled="f" stroked="t" coordsize="21600,21600" o:allowoverlap="f" o:gfxdata="UEsDBAoAAAAAAIdO4kAAAAAAAAAAAAAAAAAEAAAAZHJzL1BLAwQUAAAACACHTuJAia8pPdAAAAAC&#10;AQAADwAAAGRycy9kb3ducmV2LnhtbE2PwU7DMAyG70i8Q2QkbiwdKiiUppOYxGU3yjQ4ek3WVkuc&#10;qsm69e3xuMDF0q/f+vy5XF28E5MdYx9Iw3KRgbDUBNNTq2H7+f6gQMSEZNAFshpmG2FV3d6UWJhw&#10;pg871akVDKFYoIYupaGQMjad9RgXYbDE3SGMHhPHsZVmxDPDvZOPWfYsPfbEFzoc7LqzzbE+eaY8&#10;fam3DartPLv6+yVf7zYTea3v75bZK4hkL+lvGa76rA4VO+3DiUwUTgM/kn4nd0rlOYj9NcqqlP/V&#10;qx9QSwMEFAAAAAgAh07iQByrRX7bAQAAlwMAAA4AAABkcnMvZTJvRG9jLnhtbK1TzW4TMRC+I/EO&#10;lu9kNxWJ6CqbHhrKBUEk4AEmtnfXkv/kcbPJS/ACSNzgxJE7b0P7GIydNIX2ghA5TMae8ef5Pn+7&#10;uNhZw7Yqovau5dNJzZlywkvt+pZ/eH/17AVnmMBJMN6plu8V8ovl0yeLMTTqzA/eSBUZgThsxtDy&#10;IaXQVBWKQVnAiQ/KUbHz0UKiZewrGWEkdGuqs7qeV6OPMkQvFCLtrg5Fviz4XadEett1qBIzLafZ&#10;UomxxE2O1XIBTR8hDFocx4B/mMKCdnTpCWoFCdh11I+grBbRo+/SRHhb+a7TQhUOxGZaP2DzboCg&#10;ChcSB8NJJvx/sOLNdh2Zli2fc+bA0hPdfPr+8+OX2x+fKd58+8rmWaQxYEO9l24djysM65gZ77po&#10;8z9xYbsi7P4krNolJmhzNp/Ozp+T/uKuVt0fDBHTK+Uty0nLjXaZMzSwfY2JLqPWu5a8bRwbyWnn&#10;9SzjAXmmM5AotYFYoOvLYfRGyyttTD6Csd9cmsi2kF1QfpkTAf/Rlm9ZAQ6HvlI6+GNQIF86ydI+&#10;kD6OjMzzDFZJzowi3+eMAKFJoM3fdNLVxtEEWdaDkDnbeLmn17gOUfcDSTEtU+YKvX6Z9+jUbK/f&#10;1wXp/nta/g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Jryk90AAAAAIBAAAPAAAAAAAAAAEAIAAA&#10;ACIAAABkcnMvZG93bnJldi54bWxQSwECFAAUAAAACACHTuJAHKtFftsBAACXAwAADgAAAAAAAAAB&#10;ACAAAAAfAQAAZHJzL2Uyb0RvYy54bWxQSwUGAAAAAAYABgBZAQAAbAUAAAAA&#10;">
                <v:fill on="f" focussize="0,0"/>
                <v:stroke weight="1.5pt" color="#000000" joinstyle="round"/>
                <v:imagedata o:title=""/>
                <o:lock v:ext="edit" aspectratio="f"/>
                <w10:anchorlock/>
              </v:line>
            </w:pict>
          </mc:Fallback>
        </mc:AlternateContent>
      </w:r>
      <w:r>
        <w:rPr>
          <w:rFonts w:hint="eastAsia" w:ascii="仿宋_GB2312" w:hAnsi="Calibri" w:eastAsia="仿宋_GB2312" w:cs="Times New Roman"/>
          <w:sz w:val="30"/>
          <w:szCs w:val="30"/>
        </w:rPr>
        <w:t>抄送：县委各部门，各人民团体。</w:t>
      </w:r>
    </w:p>
    <w:p>
      <w:pPr>
        <w:spacing w:line="560" w:lineRule="exact"/>
        <w:ind w:firstLine="294" w:firstLineChars="98"/>
        <w:rPr>
          <w:rFonts w:hint="eastAsia" w:ascii="仿宋_GB2312" w:hAnsi="Calibri" w:eastAsia="仿宋_GB2312" w:cs="Times New Roman"/>
          <w:sz w:val="30"/>
          <w:szCs w:val="30"/>
        </w:rPr>
      </w:pPr>
      <w:r>
        <w:rPr>
          <w:rFonts w:hint="eastAsia" w:ascii="仿宋_GB2312" w:hAnsi="Calibri" w:eastAsia="仿宋_GB2312" w:cs="Times New Roman"/>
          <w:sz w:val="30"/>
          <w:szCs w:val="30"/>
        </w:rPr>
        <w:t xml:space="preserve">    县人大常委会办公室，县政协办公室，县法院，县检察院。</w:t>
      </w:r>
    </w:p>
    <w:p>
      <w:pPr>
        <w:spacing w:line="560" w:lineRule="exact"/>
        <w:ind w:firstLine="294" w:firstLineChars="98"/>
        <w:rPr>
          <w:rFonts w:hint="eastAsia" w:ascii="仿宋_GB2312" w:hAnsi="Calibri" w:eastAsia="仿宋_GB2312" w:cs="Times New Roman"/>
          <w:sz w:val="30"/>
          <w:szCs w:val="30"/>
        </w:rPr>
      </w:pPr>
      <w:r>
        <w:rPr>
          <w:rFonts w:hint="eastAsia" w:ascii="仿宋_GB2312" w:hAnsi="Calibri" w:eastAsia="仿宋_GB2312" w:cs="Times New Roman"/>
          <w:sz w:val="30"/>
          <w:szCs w:val="30"/>
        </w:rPr>
        <mc:AlternateContent>
          <mc:Choice Requires="wps">
            <w:drawing>
              <wp:anchor distT="0" distB="0" distL="114300" distR="114300" simplePos="0" relativeHeight="251660288" behindDoc="0" locked="1" layoutInCell="1" allowOverlap="0">
                <wp:simplePos x="0" y="0"/>
                <wp:positionH relativeFrom="column">
                  <wp:posOffset>0</wp:posOffset>
                </wp:positionH>
                <wp:positionV relativeFrom="paragraph">
                  <wp:posOffset>0</wp:posOffset>
                </wp:positionV>
                <wp:extent cx="5615940" cy="0"/>
                <wp:effectExtent l="0" t="0" r="0" b="0"/>
                <wp:wrapNone/>
                <wp:docPr id="7" name="直接连接符 7"/>
                <wp:cNvGraphicFramePr/>
                <a:graphic xmlns:a="http://schemas.openxmlformats.org/drawingml/2006/main">
                  <a:graphicData uri="http://schemas.microsoft.com/office/word/2010/wordprocessingShape">
                    <wps:wsp>
                      <wps:cNvCnPr/>
                      <wps:spPr>
                        <a:xfrm>
                          <a:off x="0" y="0"/>
                          <a:ext cx="5615940"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0pt;height:0pt;width:442.2pt;z-index:251660288;mso-width-relative:page;mso-height-relative:page;" filled="f" stroked="t" coordsize="21600,21600" o:allowoverlap="f" o:gfxdata="UEsDBAoAAAAAAIdO4kAAAAAAAAAAAAAAAAAEAAAAZHJzL1BLAwQUAAAACACHTuJArAJtO9MAAAAC&#10;AQAADwAAAGRycy9kb3ducmV2LnhtbE2PzW7CMBCE75V4B2sr9VYcECpWGodDEUKtegEq9brE2zgQ&#10;r0Nsfvr2Nb3AZaTRrGa+LWYX14oT9aHxrGE0zEAQV940XGv42iyeFYgQkQ22nknDLwWYlYOHAnPj&#10;z7yi0zrWIpVwyFGDjbHLpQyVJYdh6DvilP343mFMtq+l6fGcyl0rx1n2Ih02nBYsdvRmqdqvj04D&#10;zper+K3GH9Pm3X7uNovD0qqD1k+Po+wVRKRLvB3DFT+hQ5mYtv7IJohWQ3ok/mvKlJpMQGyvVpaF&#10;vEcv/wBQSwMEFAAAAAgAh07iQLUuSj/bAQAAlwMAAA4AAABkcnMvZTJvRG9jLnhtbK1TS44TMRDd&#10;I3EHy3vSnYiZMK10ZjFh2CCIBHOAiu3utuSfXJ50cgkugMQOVizZcxuGY1B2Mhk+G4TIolJ2lZ/r&#10;Pb9eXO6sYVsVUXvX8umk5kw54aV2fctv3l4/ecYZJnASjHeq5XuF/HL5+NFiDI2a+cEbqSIjEIfN&#10;GFo+pBSaqkIxKAs48UE5KnY+Wki0jH0lI4yEbk01q+vzavRRhuiFQqTd1aHIlwW/65RIr7sOVWKm&#10;5TRbKjGWuMmxWi6g6SOEQYvjGPAPU1jQji49Qa0gAbuN+g8oq0X06Ls0Ed5Wvuu0UIUDsZnWv7F5&#10;M0BQhQuJg+EkE/4/WPFqu45My5bPOXNg6Ynu3n/59u7j968fKN59/sTmWaQxYEO9V24djysM65gZ&#10;77po8z9xYbsi7P4krNolJmjz7Hx6dvGU9Bf3terhYIiYXihvWU5abrTLnKGB7UtMdBm13rfkbePY&#10;SE6bzeuMB+SZzkCi1AZiga4vh9EbLa+1MfkIxn5zZSLbQnZB+WVOBPxLW75lBTgc+krp4I9BgXzu&#10;JEv7QPo4MjLPM1glOTOKfJ8zAoQmgTZ/00lXG0cTZFkPQuZs4+WeXuM2RN0PJMW0TJkr9Ppl3qNT&#10;s71+Xhekh+9p+Q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CsAm070wAAAAIBAAAPAAAAAAAAAAEA&#10;IAAAACIAAABkcnMvZG93bnJldi54bWxQSwECFAAUAAAACACHTuJAtS5KP9sBAACXAwAADgAAAAAA&#10;AAABACAAAAAiAQAAZHJzL2Uyb0RvYy54bWxQSwUGAAAAAAYABgBZAQAAbwUAAAAA&#10;">
                <v:fill on="f" focussize="0,0"/>
                <v:stroke weight="1pt" color="#000000" joinstyle="round"/>
                <v:imagedata o:title=""/>
                <o:lock v:ext="edit" aspectratio="f"/>
                <w10:anchorlock/>
              </v:line>
            </w:pict>
          </mc:Fallback>
        </mc:AlternateContent>
      </w:r>
      <w:r>
        <w:rPr>
          <w:rFonts w:hint="eastAsia" w:ascii="仿宋_GB2312" w:hAnsi="Calibri" w:eastAsia="仿宋_GB2312" w:cs="Times New Roman"/>
          <w:sz w:val="30"/>
          <w:szCs w:val="30"/>
        </w:rPr>
        <w:t>柳城县人民政府办公室             2020年</w:t>
      </w:r>
      <w:r>
        <w:rPr>
          <w:rFonts w:hint="eastAsia" w:ascii="仿宋_GB2312" w:hAnsi="Calibri" w:eastAsia="仿宋_GB2312" w:cs="Times New Roman"/>
          <w:sz w:val="30"/>
          <w:szCs w:val="30"/>
          <w:lang w:val="en-US" w:eastAsia="zh-CN"/>
        </w:rPr>
        <w:t>7</w:t>
      </w:r>
      <w:r>
        <w:rPr>
          <w:rFonts w:hint="eastAsia" w:ascii="仿宋_GB2312" w:hAnsi="Calibri" w:eastAsia="仿宋_GB2312" w:cs="Times New Roman"/>
          <w:sz w:val="30"/>
          <w:szCs w:val="30"/>
        </w:rPr>
        <w:t>月</w:t>
      </w:r>
      <w:r>
        <w:rPr>
          <w:rFonts w:hint="eastAsia" w:ascii="仿宋_GB2312" w:hAnsi="Calibri" w:eastAsia="仿宋_GB2312" w:cs="Times New Roman"/>
          <w:sz w:val="30"/>
          <w:szCs w:val="30"/>
          <w:lang w:val="en-US" w:eastAsia="zh-CN"/>
        </w:rPr>
        <w:t>xx</w:t>
      </w:r>
      <w:r>
        <w:rPr>
          <w:rFonts w:hint="eastAsia" w:ascii="仿宋_GB2312" w:hAnsi="Calibri" w:eastAsia="仿宋_GB2312" w:cs="Times New Roman"/>
          <w:sz w:val="30"/>
          <w:szCs w:val="30"/>
        </w:rPr>
        <w:t>日印发</w:t>
      </w:r>
      <w:r>
        <w:rPr>
          <w:rFonts w:hint="eastAsia" w:ascii="仿宋_GB2312" w:hAnsi="Calibri" w:eastAsia="仿宋_GB2312" w:cs="Times New Roman"/>
          <w:sz w:val="30"/>
          <w:szCs w:val="30"/>
        </w:rPr>
        <mc:AlternateContent>
          <mc:Choice Requires="wps">
            <w:drawing>
              <wp:anchor distT="0" distB="0" distL="114300" distR="114300" simplePos="0" relativeHeight="251661312" behindDoc="0" locked="1" layoutInCell="1" allowOverlap="0">
                <wp:simplePos x="0" y="0"/>
                <wp:positionH relativeFrom="column">
                  <wp:posOffset>0</wp:posOffset>
                </wp:positionH>
                <wp:positionV relativeFrom="paragraph">
                  <wp:posOffset>400685</wp:posOffset>
                </wp:positionV>
                <wp:extent cx="5615940" cy="0"/>
                <wp:effectExtent l="0" t="9525" r="3810" b="9525"/>
                <wp:wrapNone/>
                <wp:docPr id="5" name="直接连接符 5"/>
                <wp:cNvGraphicFramePr/>
                <a:graphic xmlns:a="http://schemas.openxmlformats.org/drawingml/2006/main">
                  <a:graphicData uri="http://schemas.microsoft.com/office/word/2010/wordprocessingShape">
                    <wps:wsp>
                      <wps:cNvCnPr/>
                      <wps:spPr>
                        <a:xfrm>
                          <a:off x="0" y="0"/>
                          <a:ext cx="5615940" cy="0"/>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31.55pt;height:0pt;width:442.2pt;z-index:251661312;mso-width-relative:page;mso-height-relative:page;" filled="f" stroked="t" coordsize="21600,21600" o:allowoverlap="f" o:gfxdata="UEsDBAoAAAAAAIdO4kAAAAAAAAAAAAAAAAAEAAAAZHJzL1BLAwQUAAAACACHTuJAj71zrdMAAAAG&#10;AQAADwAAAGRycy9kb3ducmV2LnhtbE2PwU7DMAyG70i8Q2QkbiwtlCmUppOYxGU3ygQcvSa0FYlT&#10;NVm3vj1GHOBo/78+f642Z+/EbKc4BNKQrzIQltpgBuo07F+fbxSImJAMukBWw2IjbOrLiwpLE070&#10;YucmdYIhFEvU0Kc0llLGtrce4yqMljj7DJPHxOPUSTPhieHeydssW0uPA/GFHke77W371Rw9U+7f&#10;1dMO1X5ZXPPxUGzfdjN5ra+v8uwRRLLn9FeGH31Wh5qdDuFIJgqngR9JGtZ3OQhOlSoKEIffhawr&#10;+V+//gZQSwMEFAAAAAgAh07iQLdmIsHbAQAAlwMAAA4AAABkcnMvZTJvRG9jLnhtbK1TS44TMRDd&#10;I3EHy3vSnRE9YlrpzGLCsEEQCThAxXZ3W/JPLk86uQQXQGIHK5bsuQ0zx6DsZDJ8NgiRRaXsKj/X&#10;e369uNxZw7Yqovau4/NZzZlywkvtho6/e3v95BlnmMBJMN6pju8V8svl40eLKbTqzI/eSBUZgThs&#10;p9DxMaXQVhWKUVnAmQ/KUbH30UKiZRwqGWEidGuqs7o+ryYfZYheKETaXR2KfFnw+16J9LrvUSVm&#10;Ok6zpRJjiZscq+UC2iFCGLU4jgH/MIUF7ejSE9QKErCbqP+AslpEj75PM+Ft5fteC1U4EJt5/Rub&#10;NyMEVbiQOBhOMuH/gxWvtuvItOx4w5kDS090++Hr9/ef7r59pHj75TNrskhTwJZ6r9w6HlcY1jEz&#10;3vXR5n/iwnZF2P1JWLVLTNBmcz5vLp6S/uK+Vj0cDBHTC+Uty0nHjXaZM7SwfYmJLqPW+5a8bRyb&#10;yGkXdZPxgDzTG0iU2kAs0A3lMHqj5bU2Jh/BOGyuTGRbyC4ov8yJgH9py7esAMdDXykd/DEqkM+d&#10;ZGkfSB9HRuZ5BqskZ0aR73NGgNAm0OZvOulq42iCLOtByJxtvNzTa9yEqIeRpJiXKXOFXr/Me3Rq&#10;ttfP64L08D0t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CPvXOt0wAAAAYBAAAPAAAAAAAAAAEA&#10;IAAAACIAAABkcnMvZG93bnJldi54bWxQSwECFAAUAAAACACHTuJAt2YiwdsBAACXAwAADgAAAAAA&#10;AAABACAAAAAiAQAAZHJzL2Uyb0RvYy54bWxQSwUGAAAAAAYABgBZAQAAbwUAAAAA&#10;">
                <v:fill on="f" focussize="0,0"/>
                <v:stroke weight="1.5pt" color="#000000" joinstyle="round"/>
                <v:imagedata o:title=""/>
                <o:lock v:ext="edit" aspectratio="f"/>
                <w10:anchorlock/>
              </v:line>
            </w:pict>
          </mc:Fallback>
        </mc:AlternateConten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宋体" w:eastAsia="仿宋_GB2312"/>
          <w:bCs/>
          <w:color w:val="000000"/>
          <w:kern w:val="0"/>
          <w:sz w:val="32"/>
          <w:szCs w:val="32"/>
          <w:lang w:val="en-US" w:eastAsia="zh-CN"/>
        </w:rPr>
      </w:pPr>
      <w:r>
        <w:rPr>
          <w:rFonts w:hint="eastAsia" w:ascii="仿宋_GB2312" w:eastAsia="仿宋_GB2312"/>
          <w:sz w:val="30"/>
          <w:szCs w:val="30"/>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17EED"/>
    <w:multiLevelType w:val="singleLevel"/>
    <w:tmpl w:val="09C17EED"/>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19C056A"/>
    <w:rsid w:val="120D4E78"/>
    <w:rsid w:val="19957BAE"/>
    <w:rsid w:val="1B045AB8"/>
    <w:rsid w:val="1BF87463"/>
    <w:rsid w:val="259F4C18"/>
    <w:rsid w:val="292D7301"/>
    <w:rsid w:val="29906431"/>
    <w:rsid w:val="2B9B690F"/>
    <w:rsid w:val="30AC5FB8"/>
    <w:rsid w:val="321E30DA"/>
    <w:rsid w:val="35755845"/>
    <w:rsid w:val="458165AA"/>
    <w:rsid w:val="4A260A75"/>
    <w:rsid w:val="4EB41622"/>
    <w:rsid w:val="51085DA7"/>
    <w:rsid w:val="51376FA3"/>
    <w:rsid w:val="5C982BAA"/>
    <w:rsid w:val="5E674549"/>
    <w:rsid w:val="69B54E1B"/>
    <w:rsid w:val="6AE96132"/>
    <w:rsid w:val="718C07E7"/>
    <w:rsid w:val="72C339EC"/>
    <w:rsid w:val="74216BF1"/>
    <w:rsid w:val="74872CCF"/>
    <w:rsid w:val="775944B9"/>
    <w:rsid w:val="79911D42"/>
    <w:rsid w:val="7B216688"/>
    <w:rsid w:val="7E4650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黑体" w:hAnsi="Calibri" w:eastAsia="黑体" w:cs="黑体"/>
      <w:color w:val="000000"/>
      <w:sz w:val="24"/>
      <w:szCs w:val="24"/>
      <w:lang w:val="en-US" w:eastAsia="zh-CN" w:bidi="ar-SA"/>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page number"/>
    <w:basedOn w:val="6"/>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2020-07-03T01:11:00Z</dcterms:created>
  <dc:creator>Administrator</dc:creator>
  <cp:lastModifiedBy>环保局业务股</cp:lastModifiedBy>
  <cp:lastPrinted>2020-07-03T03:38:00Z</cp:lastPrinted>
  <dcterms:modified xsi:type="dcterms:W3CDTF">2020-07-08T00:52:24Z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