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A0EA9">
      <w:pPr>
        <w:pStyle w:val="35"/>
      </w:pPr>
    </w:p>
    <w:p w14:paraId="24EB69BE">
      <w:pPr>
        <w:pStyle w:val="35"/>
      </w:pPr>
      <w:r>
        <w:rPr>
          <w:rFonts w:hint="eastAsia"/>
        </w:rPr>
        <w:t>柳城县行政审批局文件</w:t>
      </w:r>
    </w:p>
    <w:p w14:paraId="1952C7F4">
      <w:pPr>
        <w:pStyle w:val="36"/>
        <w:spacing w:before="624"/>
        <w:rPr>
          <w:rFonts w:ascii="Times New Roman" w:hAnsi="Times New Roman" w:eastAsia="楷体_GB2312"/>
          <w:color w:val="000000"/>
          <w:sz w:val="32"/>
          <w:szCs w:val="32"/>
        </w:rPr>
      </w:pPr>
      <w:r>
        <w:rPr>
          <w:rFonts w:hint="eastAsia" w:ascii="Times New Roman" w:hAnsi="Times New Roman" w:eastAsia="仿宋_GB2312" w:cs="仿宋_GB2312"/>
        </w:rPr>
        <w:t>柳城审批项投审字</w:t>
      </w:r>
      <w:r>
        <w:rPr>
          <w:rFonts w:ascii="Times New Roman" w:hAnsi="Times New Roman" w:eastAsia="仿宋_GB2312"/>
        </w:rPr>
        <w:t>〔202</w:t>
      </w:r>
      <w:r>
        <w:rPr>
          <w:rFonts w:hint="eastAsia" w:ascii="Times New Roman" w:hAnsi="Times New Roman" w:eastAsia="仿宋_GB2312"/>
          <w:lang w:val="en-US" w:eastAsia="zh-CN"/>
        </w:rPr>
        <w:t>6</w:t>
      </w:r>
      <w:r>
        <w:rPr>
          <w:rFonts w:ascii="Times New Roman" w:hAnsi="Times New Roman" w:eastAsia="仿宋_GB2312"/>
        </w:rPr>
        <w:t>〕</w:t>
      </w:r>
      <w:r>
        <w:rPr>
          <w:rFonts w:hint="eastAsia" w:ascii="Times New Roman" w:hAnsi="Times New Roman" w:eastAsia="仿宋_GB2312"/>
          <w:lang w:val="en-US" w:eastAsia="zh-CN"/>
        </w:rPr>
        <w:t>35</w:t>
      </w:r>
      <w:bookmarkStart w:id="2" w:name="_GoBack"/>
      <w:bookmarkEnd w:id="2"/>
      <w:r>
        <w:rPr>
          <w:rFonts w:ascii="Times New Roman" w:hAnsi="Times New Roman" w:eastAsia="仿宋_GB2312"/>
        </w:rPr>
        <w:t>号</w:t>
      </w:r>
    </w:p>
    <w:p w14:paraId="4BAC4154">
      <w:pPr>
        <w:spacing w:line="640" w:lineRule="exact"/>
        <w:rPr>
          <w:sz w:val="28"/>
          <w:szCs w:val="28"/>
        </w:rPr>
      </w:pPr>
      <w:r>
        <w:rPr>
          <w:rFonts w:eastAsia="黑体"/>
          <w:color w:val="FF0000"/>
          <w:sz w:val="96"/>
          <w:szCs w:val="20"/>
          <w:u w:val="single"/>
        </w:rPr>
        <w:t xml:space="preserve">      </w:t>
      </w:r>
      <w:r>
        <w:rPr>
          <w:rFonts w:hint="eastAsia" w:eastAsia="黑体"/>
          <w:color w:val="FF0000"/>
          <w:sz w:val="96"/>
          <w:szCs w:val="20"/>
          <w:u w:val="single"/>
        </w:rPr>
        <w:t xml:space="preserve">  </w:t>
      </w:r>
      <w:r>
        <w:rPr>
          <w:rFonts w:eastAsia="黑体"/>
          <w:color w:val="FF0000"/>
          <w:sz w:val="96"/>
          <w:szCs w:val="20"/>
          <w:u w:val="single"/>
        </w:rPr>
        <w:t xml:space="preserve">            </w:t>
      </w:r>
    </w:p>
    <w:p w14:paraId="7EF4B1FA">
      <w:pPr>
        <w:pStyle w:val="37"/>
        <w:spacing w:line="240" w:lineRule="auto"/>
        <w:rPr>
          <w:rFonts w:hint="eastAsia" w:cs="宋体"/>
          <w:lang w:val="en-US" w:eastAsia="zh-CN"/>
        </w:rPr>
      </w:pPr>
      <w:r>
        <w:rPr>
          <w:rFonts w:hint="eastAsia" w:cs="宋体"/>
        </w:rPr>
        <w:t>关于</w:t>
      </w:r>
      <w:r>
        <w:rPr>
          <w:rFonts w:hint="eastAsia" w:cs="宋体"/>
          <w:lang w:val="en-US" w:eastAsia="zh-CN"/>
        </w:rPr>
        <w:t>广西盛创新型材料科技有限公司</w:t>
      </w:r>
    </w:p>
    <w:p w14:paraId="01DBBDFF">
      <w:pPr>
        <w:pStyle w:val="37"/>
        <w:spacing w:line="240" w:lineRule="auto"/>
        <w:rPr>
          <w:rFonts w:hint="eastAsia" w:cs="宋体"/>
          <w:lang w:val="en-US" w:eastAsia="zh-CN"/>
        </w:rPr>
      </w:pPr>
      <w:r>
        <w:rPr>
          <w:rFonts w:hint="eastAsia" w:cs="宋体"/>
          <w:lang w:val="en-US" w:eastAsia="zh-CN"/>
        </w:rPr>
        <w:t>年产5万立方米胶合板项目</w:t>
      </w:r>
    </w:p>
    <w:p w14:paraId="7038CADE">
      <w:pPr>
        <w:pStyle w:val="37"/>
        <w:spacing w:line="240" w:lineRule="auto"/>
        <w:rPr>
          <w:rFonts w:cs="宋体"/>
        </w:rPr>
      </w:pPr>
      <w:r>
        <w:rPr>
          <w:rFonts w:hint="eastAsia" w:cs="宋体"/>
        </w:rPr>
        <w:t>环境影响报告表的批复</w:t>
      </w:r>
    </w:p>
    <w:p w14:paraId="13A60381">
      <w:pPr>
        <w:pStyle w:val="38"/>
        <w:keepNext w:val="0"/>
        <w:keepLines w:val="0"/>
        <w:pageBreakBefore w:val="0"/>
        <w:widowControl w:val="0"/>
        <w:kinsoku/>
        <w:wordWrap/>
        <w:overflowPunct/>
        <w:topLinePunct w:val="0"/>
        <w:autoSpaceDE/>
        <w:autoSpaceDN/>
        <w:bidi w:val="0"/>
        <w:adjustRightInd/>
        <w:snapToGrid/>
        <w:spacing w:before="312" w:line="520" w:lineRule="exact"/>
        <w:textAlignment w:val="auto"/>
        <w:rPr>
          <w:rFonts w:ascii="Times New Roman" w:hAnsi="Times New Roman" w:eastAsia="仿宋_GB2312" w:cs="仿宋_GB2312"/>
          <w:color w:val="000000"/>
        </w:rPr>
      </w:pPr>
      <w:r>
        <w:rPr>
          <w:rFonts w:hint="eastAsia"/>
        </w:rPr>
        <w:t>广西盛创新型材料科技有限公司</w:t>
      </w:r>
      <w:r>
        <w:rPr>
          <w:rFonts w:hint="eastAsia" w:ascii="Times New Roman" w:hAnsi="Times New Roman" w:eastAsia="仿宋_GB2312" w:cs="仿宋_GB2312"/>
          <w:color w:val="000000"/>
        </w:rPr>
        <w:t>：</w:t>
      </w:r>
    </w:p>
    <w:p w14:paraId="34CB166F">
      <w:pPr>
        <w:pStyle w:val="39"/>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eastAsia="仿宋_GB2312" w:cs="仿宋_GB2312"/>
          <w:color w:val="000000"/>
        </w:rPr>
      </w:pPr>
      <w:r>
        <w:rPr>
          <w:rFonts w:hint="eastAsia" w:eastAsia="仿宋_GB2312" w:cs="仿宋_GB2312"/>
          <w:color w:val="000000"/>
        </w:rPr>
        <w:t>你公司报来《</w:t>
      </w:r>
      <w:r>
        <w:rPr>
          <w:rFonts w:hint="eastAsia"/>
          <w:color w:val="auto"/>
        </w:rPr>
        <w:t>广西盛创新型材料科技有限公司年产5万立方米胶合板项目</w:t>
      </w:r>
      <w:r>
        <w:rPr>
          <w:rFonts w:hint="eastAsia" w:eastAsia="仿宋_GB2312" w:cs="仿宋_GB2312"/>
          <w:color w:val="000000"/>
          <w:lang w:val="en-US" w:eastAsia="zh-CN"/>
        </w:rPr>
        <w:t>环境影响评价报告表</w:t>
      </w:r>
      <w:r>
        <w:rPr>
          <w:rFonts w:hint="eastAsia" w:eastAsia="仿宋_GB2312" w:cs="仿宋_GB2312"/>
          <w:color w:val="000000"/>
        </w:rPr>
        <w:t>》（以下简称《报告表》）收悉。经我局审核，现批复如下：</w:t>
      </w:r>
    </w:p>
    <w:p w14:paraId="0214F612">
      <w:pPr>
        <w:pStyle w:val="39"/>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textAlignment w:val="auto"/>
        <w:rPr>
          <w:rFonts w:hint="eastAsia" w:ascii="Times New Roman" w:hAnsi="Times New Roman" w:eastAsia="仿宋_GB2312" w:cs="仿宋_GB2312"/>
        </w:rPr>
      </w:pPr>
      <w:r>
        <w:rPr>
          <w:rFonts w:hint="eastAsia" w:eastAsia="仿宋_GB2312" w:cs="仿宋_GB2312"/>
          <w:color w:val="000000"/>
        </w:rPr>
        <w:t>本项目为</w:t>
      </w:r>
      <w:r>
        <w:rPr>
          <w:rFonts w:hint="eastAsia" w:eastAsia="仿宋_GB2312" w:cs="仿宋_GB2312"/>
          <w:color w:val="000000"/>
          <w:lang w:val="en-US" w:eastAsia="zh-CN"/>
        </w:rPr>
        <w:t>新建</w:t>
      </w:r>
      <w:r>
        <w:rPr>
          <w:rFonts w:hint="eastAsia" w:eastAsia="仿宋_GB2312" w:cs="仿宋_GB2312"/>
          <w:color w:val="000000"/>
        </w:rPr>
        <w:t>工程，位于</w:t>
      </w:r>
      <w:r>
        <w:rPr>
          <w:rFonts w:hint="eastAsia" w:eastAsia="仿宋_GB2312" w:cs="仿宋_GB2312"/>
          <w:color w:val="000000"/>
          <w:lang w:val="en-US" w:eastAsia="zh-CN"/>
        </w:rPr>
        <w:t>广西壮族自治区柳州市柳城县沙埔镇工业区兴达路8号</w:t>
      </w:r>
      <w:r>
        <w:rPr>
          <w:rFonts w:hint="eastAsia" w:eastAsia="仿宋_GB2312" w:cs="仿宋_GB2312"/>
          <w:lang w:val="en-US" w:eastAsia="zh-CN"/>
        </w:rPr>
        <w:t>，占地面积12000平方米，</w:t>
      </w:r>
      <w:r>
        <w:rPr>
          <w:rFonts w:hint="eastAsia" w:eastAsia="仿宋_GB2312" w:cs="仿宋_GB2312"/>
        </w:rPr>
        <w:t>建设规模：</w:t>
      </w:r>
      <w:r>
        <w:rPr>
          <w:rFonts w:hint="eastAsia" w:eastAsia="仿宋_GB2312" w:cs="仿宋_GB2312"/>
          <w:lang w:val="en-US" w:eastAsia="zh-CN"/>
        </w:rPr>
        <w:t>建设人造板</w:t>
      </w:r>
      <w:r>
        <w:rPr>
          <w:rFonts w:hint="eastAsia" w:eastAsia="仿宋_GB2312" w:cs="仿宋_GB2312"/>
        </w:rPr>
        <w:t>生产线</w:t>
      </w:r>
      <w:r>
        <w:rPr>
          <w:rFonts w:hint="eastAsia" w:eastAsia="仿宋_GB2312" w:cs="仿宋_GB2312"/>
          <w:lang w:eastAsia="zh-CN"/>
        </w:rPr>
        <w:t>，</w:t>
      </w:r>
      <w:r>
        <w:rPr>
          <w:rFonts w:hint="eastAsia" w:eastAsia="仿宋_GB2312" w:cs="仿宋_GB2312"/>
          <w:lang w:val="en-US" w:eastAsia="zh-CN"/>
        </w:rPr>
        <w:t>年产5万立方米人造板</w:t>
      </w:r>
      <w:r>
        <w:rPr>
          <w:rFonts w:hint="eastAsia" w:ascii="Times New Roman" w:hAnsi="Times New Roman" w:eastAsia="仿宋_GB2312" w:cs="仿宋_GB2312"/>
        </w:rPr>
        <w:t>。</w:t>
      </w:r>
    </w:p>
    <w:p w14:paraId="502DC679">
      <w:pPr>
        <w:pStyle w:val="39"/>
        <w:keepNext w:val="0"/>
        <w:keepLines w:val="0"/>
        <w:pageBreakBefore w:val="0"/>
        <w:widowControl w:val="0"/>
        <w:tabs>
          <w:tab w:val="left" w:pos="6720"/>
        </w:tabs>
        <w:kinsoku/>
        <w:wordWrap/>
        <w:overflowPunct/>
        <w:topLinePunct w:val="0"/>
        <w:autoSpaceDE/>
        <w:autoSpaceDN/>
        <w:bidi w:val="0"/>
        <w:adjustRightInd/>
        <w:snapToGrid/>
        <w:spacing w:line="520" w:lineRule="exact"/>
        <w:ind w:firstLine="640"/>
        <w:textAlignment w:val="auto"/>
        <w:rPr>
          <w:rFonts w:hint="eastAsia" w:ascii="Times New Roman" w:hAnsi="Times New Roman" w:eastAsia="仿宋_GB2312" w:cs="仿宋_GB2312"/>
        </w:rPr>
      </w:pPr>
      <w:r>
        <w:rPr>
          <w:rFonts w:hint="eastAsia" w:eastAsia="仿宋_GB2312" w:cs="仿宋_GB2312"/>
        </w:rPr>
        <w:t>项目建设内容包括</w:t>
      </w:r>
      <w:r>
        <w:rPr>
          <w:rFonts w:hint="eastAsia" w:ascii="Times New Roman" w:hAnsi="Times New Roman" w:eastAsia="仿宋_GB2312" w:cs="仿宋_GB2312"/>
          <w:lang w:val="en-US" w:eastAsia="zh-CN"/>
        </w:rPr>
        <w:t>主</w:t>
      </w:r>
      <w:r>
        <w:rPr>
          <w:rFonts w:hint="eastAsia" w:eastAsia="仿宋_GB2312" w:cs="仿宋_GB2312"/>
        </w:rPr>
        <w:t>体工程（</w:t>
      </w:r>
      <w:r>
        <w:rPr>
          <w:rFonts w:hint="eastAsia" w:eastAsia="仿宋_GB2312" w:cs="仿宋_GB2312"/>
          <w:lang w:val="en-US" w:eastAsia="zh-CN"/>
        </w:rPr>
        <w:t>生产车间等</w:t>
      </w:r>
      <w:r>
        <w:rPr>
          <w:rFonts w:hint="eastAsia" w:ascii="Times New Roman" w:hAnsi="Times New Roman" w:eastAsia="仿宋_GB2312" w:cs="仿宋_GB2312"/>
        </w:rPr>
        <w:t>）、储运工程（</w:t>
      </w:r>
      <w:r>
        <w:rPr>
          <w:rFonts w:hint="eastAsia" w:ascii="Times New Roman" w:hAnsi="Times New Roman" w:eastAsia="仿宋_GB2312" w:cs="仿宋_GB2312"/>
          <w:lang w:val="en-US" w:eastAsia="zh-CN"/>
        </w:rPr>
        <w:t>原料仓库</w:t>
      </w:r>
      <w:r>
        <w:rPr>
          <w:rFonts w:hint="eastAsia" w:eastAsia="仿宋_GB2312" w:cs="仿宋_GB2312"/>
          <w:lang w:val="en-US" w:eastAsia="zh-CN"/>
        </w:rPr>
        <w:t>、</w:t>
      </w:r>
      <w:r>
        <w:rPr>
          <w:rFonts w:hint="eastAsia" w:ascii="Times New Roman" w:hAnsi="Times New Roman" w:eastAsia="仿宋_GB2312" w:cs="仿宋_GB2312"/>
          <w:lang w:val="en-US" w:eastAsia="zh-CN"/>
        </w:rPr>
        <w:t>半成品区</w:t>
      </w:r>
      <w:r>
        <w:rPr>
          <w:rFonts w:hint="eastAsia" w:eastAsia="仿宋_GB2312" w:cs="仿宋_GB2312"/>
          <w:lang w:val="en-US" w:eastAsia="zh-CN"/>
        </w:rPr>
        <w:t>、</w:t>
      </w:r>
      <w:r>
        <w:rPr>
          <w:rFonts w:hint="eastAsia" w:ascii="Times New Roman" w:hAnsi="Times New Roman" w:eastAsia="仿宋_GB2312" w:cs="仿宋_GB2312"/>
          <w:lang w:val="en-US" w:eastAsia="zh-CN"/>
        </w:rPr>
        <w:t>成品区</w:t>
      </w:r>
      <w:r>
        <w:rPr>
          <w:rFonts w:hint="eastAsia" w:eastAsia="仿宋_GB2312" w:cs="仿宋_GB2312"/>
          <w:lang w:val="en-US" w:eastAsia="zh-CN"/>
        </w:rPr>
        <w:t>等</w:t>
      </w:r>
      <w:r>
        <w:rPr>
          <w:rFonts w:hint="eastAsia" w:ascii="Times New Roman" w:hAnsi="Times New Roman" w:eastAsia="仿宋_GB2312" w:cs="仿宋_GB2312"/>
        </w:rPr>
        <w:t>）</w:t>
      </w:r>
      <w:r>
        <w:rPr>
          <w:rFonts w:hint="eastAsia" w:eastAsia="仿宋_GB2312" w:cs="仿宋_GB2312"/>
          <w:lang w:val="en-US" w:eastAsia="zh-CN"/>
        </w:rPr>
        <w:t>、</w:t>
      </w:r>
      <w:r>
        <w:rPr>
          <w:rFonts w:hint="eastAsia" w:ascii="Times New Roman" w:hAnsi="Times New Roman" w:eastAsia="仿宋_GB2312" w:cs="仿宋_GB2312"/>
          <w:lang w:val="en-US" w:eastAsia="zh-CN"/>
        </w:rPr>
        <w:t>辅助工程（办公</w:t>
      </w:r>
      <w:r>
        <w:rPr>
          <w:rFonts w:hint="eastAsia" w:eastAsia="仿宋_GB2312" w:cs="仿宋_GB2312"/>
          <w:lang w:val="en-US" w:eastAsia="zh-CN"/>
        </w:rPr>
        <w:t>室、宿舍楼等</w:t>
      </w:r>
      <w:r>
        <w:rPr>
          <w:rFonts w:hint="eastAsia" w:ascii="Times New Roman" w:hAnsi="Times New Roman" w:eastAsia="仿宋_GB2312" w:cs="仿宋_GB2312"/>
          <w:lang w:val="en-US" w:eastAsia="zh-CN"/>
        </w:rPr>
        <w:t>）</w:t>
      </w:r>
      <w:r>
        <w:rPr>
          <w:rFonts w:hint="eastAsia" w:eastAsia="仿宋_GB2312" w:cs="仿宋_GB2312"/>
          <w:lang w:val="en-US" w:eastAsia="zh-CN"/>
        </w:rPr>
        <w:t>、</w:t>
      </w:r>
      <w:r>
        <w:rPr>
          <w:rFonts w:hint="eastAsia" w:ascii="Times New Roman" w:hAnsi="Times New Roman" w:eastAsia="仿宋_GB2312" w:cs="仿宋_GB2312"/>
          <w:lang w:val="en-US" w:eastAsia="zh-CN"/>
        </w:rPr>
        <w:t>公用工程（给水</w:t>
      </w:r>
      <w:r>
        <w:rPr>
          <w:rFonts w:hint="eastAsia" w:eastAsia="仿宋_GB2312" w:cs="仿宋_GB2312"/>
          <w:lang w:val="en-US" w:eastAsia="zh-CN"/>
        </w:rPr>
        <w:t>、</w:t>
      </w:r>
      <w:r>
        <w:rPr>
          <w:rFonts w:hint="eastAsia" w:ascii="Times New Roman" w:hAnsi="Times New Roman" w:eastAsia="仿宋_GB2312" w:cs="仿宋_GB2312"/>
          <w:lang w:val="en-US" w:eastAsia="zh-CN"/>
        </w:rPr>
        <w:t>排水</w:t>
      </w:r>
      <w:r>
        <w:rPr>
          <w:rFonts w:hint="eastAsia" w:eastAsia="仿宋_GB2312" w:cs="仿宋_GB2312"/>
          <w:lang w:val="en-US" w:eastAsia="zh-CN"/>
        </w:rPr>
        <w:t>、</w:t>
      </w:r>
      <w:r>
        <w:rPr>
          <w:rFonts w:hint="eastAsia" w:ascii="Times New Roman" w:hAnsi="Times New Roman" w:eastAsia="仿宋_GB2312" w:cs="仿宋_GB2312"/>
          <w:lang w:val="en-US" w:eastAsia="zh-CN"/>
        </w:rPr>
        <w:t>供电</w:t>
      </w:r>
      <w:r>
        <w:rPr>
          <w:rFonts w:hint="eastAsia" w:eastAsia="仿宋_GB2312" w:cs="仿宋_GB2312"/>
          <w:lang w:val="en-US" w:eastAsia="zh-CN"/>
        </w:rPr>
        <w:t>、</w:t>
      </w:r>
      <w:r>
        <w:rPr>
          <w:rFonts w:hint="eastAsia" w:ascii="Times New Roman" w:hAnsi="Times New Roman" w:eastAsia="仿宋_GB2312" w:cs="仿宋_GB2312"/>
          <w:lang w:val="en-US" w:eastAsia="zh-CN"/>
        </w:rPr>
        <w:t>供热</w:t>
      </w:r>
      <w:r>
        <w:rPr>
          <w:rFonts w:hint="eastAsia" w:eastAsia="仿宋_GB2312" w:cs="仿宋_GB2312"/>
          <w:lang w:val="en-US" w:eastAsia="zh-CN"/>
        </w:rPr>
        <w:t>等</w:t>
      </w:r>
      <w:r>
        <w:rPr>
          <w:rFonts w:hint="eastAsia" w:ascii="Times New Roman" w:hAnsi="Times New Roman" w:eastAsia="仿宋_GB2312" w:cs="仿宋_GB2312"/>
          <w:lang w:val="en-US" w:eastAsia="zh-CN"/>
        </w:rPr>
        <w:t>）</w:t>
      </w:r>
      <w:r>
        <w:rPr>
          <w:rFonts w:hint="eastAsia" w:eastAsia="仿宋_GB2312" w:cs="仿宋_GB2312"/>
          <w:lang w:val="en-US" w:eastAsia="zh-CN"/>
        </w:rPr>
        <w:t>；</w:t>
      </w:r>
      <w:r>
        <w:rPr>
          <w:rFonts w:hint="eastAsia" w:ascii="Times New Roman" w:hAnsi="Times New Roman" w:eastAsia="仿宋_GB2312" w:cs="仿宋_GB2312"/>
          <w:lang w:val="en-US" w:eastAsia="zh-CN"/>
        </w:rPr>
        <w:t>环保工程（</w:t>
      </w:r>
      <w:r>
        <w:rPr>
          <w:rFonts w:hint="eastAsia" w:eastAsia="仿宋_GB2312" w:cs="仿宋_GB2312"/>
          <w:lang w:val="en-US" w:eastAsia="zh-CN"/>
        </w:rPr>
        <w:t>3</w:t>
      </w:r>
      <w:r>
        <w:rPr>
          <w:rFonts w:hint="eastAsia" w:ascii="Times New Roman" w:hAnsi="Times New Roman" w:eastAsia="仿宋_GB2312" w:cs="仿宋_GB2312"/>
          <w:lang w:val="en-US" w:eastAsia="zh-CN"/>
        </w:rPr>
        <w:t>根</w:t>
      </w:r>
      <w:r>
        <w:rPr>
          <w:rFonts w:hint="eastAsia" w:eastAsia="仿宋_GB2312" w:cs="仿宋_GB2312"/>
          <w:lang w:val="en-US" w:eastAsia="zh-CN"/>
        </w:rPr>
        <w:t>20</w:t>
      </w:r>
      <w:r>
        <w:rPr>
          <w:rFonts w:hint="eastAsia" w:ascii="Times New Roman" w:hAnsi="Times New Roman" w:eastAsia="仿宋_GB2312" w:cs="仿宋_GB2312"/>
          <w:lang w:val="en-US" w:eastAsia="zh-CN"/>
        </w:rPr>
        <w:t>米高的排气筒、1根35米高的排气筒、1套二级活性炭吸附装置、</w:t>
      </w:r>
      <w:r>
        <w:rPr>
          <w:rFonts w:hint="eastAsia" w:eastAsia="仿宋_GB2312" w:cs="仿宋_GB2312"/>
          <w:lang w:val="en-US" w:eastAsia="zh-CN"/>
        </w:rPr>
        <w:t>3</w:t>
      </w:r>
      <w:r>
        <w:rPr>
          <w:rFonts w:hint="eastAsia" w:ascii="Times New Roman" w:hAnsi="Times New Roman" w:eastAsia="仿宋_GB2312" w:cs="仿宋_GB2312"/>
          <w:lang w:val="en-US" w:eastAsia="zh-CN"/>
        </w:rPr>
        <w:t>套布袋除尘器</w:t>
      </w:r>
      <w:r>
        <w:rPr>
          <w:rFonts w:hint="eastAsia" w:eastAsia="仿宋_GB2312" w:cs="仿宋_GB2312"/>
          <w:lang w:val="en-US" w:eastAsia="zh-CN"/>
        </w:rPr>
        <w:t>，1</w:t>
      </w:r>
      <w:r>
        <w:rPr>
          <w:rFonts w:hint="eastAsia" w:ascii="Times New Roman" w:hAnsi="Times New Roman" w:eastAsia="仿宋_GB2312" w:cs="仿宋_GB2312"/>
          <w:lang w:val="en-US" w:eastAsia="zh-CN"/>
        </w:rPr>
        <w:t>套</w:t>
      </w:r>
      <w:r>
        <w:rPr>
          <w:rFonts w:hint="eastAsia" w:eastAsia="仿宋_GB2312" w:cs="仿宋_GB2312"/>
          <w:lang w:val="en-US" w:eastAsia="zh-CN"/>
        </w:rPr>
        <w:t>“</w:t>
      </w:r>
      <w:r>
        <w:rPr>
          <w:rFonts w:hint="eastAsia" w:ascii="Times New Roman" w:hAnsi="Times New Roman" w:eastAsia="仿宋_GB2312" w:cs="仿宋_GB2312"/>
          <w:lang w:val="en-US" w:eastAsia="zh-CN"/>
        </w:rPr>
        <w:t>旋风+布袋除尘器</w:t>
      </w:r>
      <w:r>
        <w:rPr>
          <w:rFonts w:hint="eastAsia" w:eastAsia="仿宋_GB2312" w:cs="仿宋_GB2312"/>
          <w:lang w:val="en-US" w:eastAsia="zh-CN"/>
        </w:rPr>
        <w:t>”装置</w:t>
      </w:r>
      <w:r>
        <w:rPr>
          <w:rFonts w:hint="eastAsia" w:ascii="Times New Roman" w:hAnsi="Times New Roman" w:eastAsia="仿宋_GB2312" w:cs="仿宋_GB2312"/>
          <w:lang w:val="en-US" w:eastAsia="zh-CN"/>
        </w:rPr>
        <w:t>、1个20平方米一般固体废物</w:t>
      </w:r>
      <w:r>
        <w:rPr>
          <w:rFonts w:hint="eastAsia" w:eastAsia="仿宋_GB2312" w:cs="仿宋_GB2312"/>
          <w:lang w:val="en-US" w:eastAsia="zh-CN"/>
        </w:rPr>
        <w:t>暂存</w:t>
      </w:r>
      <w:r>
        <w:rPr>
          <w:rFonts w:hint="eastAsia" w:ascii="Times New Roman" w:hAnsi="Times New Roman" w:eastAsia="仿宋_GB2312" w:cs="仿宋_GB2312"/>
          <w:lang w:val="en-US" w:eastAsia="zh-CN"/>
        </w:rPr>
        <w:t>区、1个10平方米危险废物暂存间等）；详见《报告表》。</w:t>
      </w:r>
    </w:p>
    <w:p w14:paraId="4BC08BC1">
      <w:pPr>
        <w:pStyle w:val="39"/>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eastAsia="仿宋_GB2312" w:cs="仿宋_GB2312"/>
        </w:rPr>
      </w:pPr>
      <w:r>
        <w:rPr>
          <w:rFonts w:hint="eastAsia" w:eastAsia="仿宋_GB2312" w:cs="仿宋_GB2312"/>
        </w:rPr>
        <w:t>项目不涉及自然保护区、饮用水源保护区、文物保护单位、地质公园、风景名胜区、基本农田等特殊保护对象。项目总投资</w:t>
      </w:r>
      <w:r>
        <w:rPr>
          <w:rFonts w:hint="eastAsia" w:eastAsia="仿宋_GB2312"/>
          <w:lang w:val="en-US" w:eastAsia="zh-CN"/>
        </w:rPr>
        <w:t>2922</w:t>
      </w:r>
      <w:r>
        <w:rPr>
          <w:rFonts w:hint="eastAsia" w:eastAsia="仿宋_GB2312"/>
        </w:rPr>
        <w:t>.00</w:t>
      </w:r>
      <w:r>
        <w:rPr>
          <w:rFonts w:hint="eastAsia" w:eastAsia="仿宋_GB2312" w:cs="仿宋_GB2312"/>
        </w:rPr>
        <w:t>万元，其中环保投资</w:t>
      </w:r>
      <w:r>
        <w:rPr>
          <w:rFonts w:hint="eastAsia" w:eastAsia="仿宋_GB2312"/>
          <w:lang w:val="en-US" w:eastAsia="zh-CN"/>
        </w:rPr>
        <w:t>132</w:t>
      </w:r>
      <w:r>
        <w:rPr>
          <w:rFonts w:hint="eastAsia" w:eastAsia="仿宋_GB2312"/>
        </w:rPr>
        <w:t>.</w:t>
      </w:r>
      <w:r>
        <w:rPr>
          <w:rFonts w:hint="eastAsia" w:eastAsia="仿宋_GB2312"/>
          <w:lang w:val="en-US" w:eastAsia="zh-CN"/>
        </w:rPr>
        <w:t>0</w:t>
      </w:r>
      <w:r>
        <w:rPr>
          <w:rFonts w:hint="eastAsia" w:eastAsia="仿宋_GB2312"/>
        </w:rPr>
        <w:t>0</w:t>
      </w:r>
      <w:r>
        <w:rPr>
          <w:rFonts w:hint="eastAsia" w:eastAsia="仿宋_GB2312" w:cs="仿宋_GB2312"/>
        </w:rPr>
        <w:t>万元，占比</w:t>
      </w:r>
      <w:r>
        <w:rPr>
          <w:rFonts w:hint="eastAsia" w:eastAsia="仿宋_GB2312" w:cs="仿宋_GB2312"/>
          <w:lang w:val="en-US" w:eastAsia="zh-CN"/>
        </w:rPr>
        <w:t>4.52</w:t>
      </w:r>
      <w:r>
        <w:rPr>
          <w:rFonts w:hint="eastAsia" w:eastAsia="仿宋_GB2312" w:cs="仿宋_GB2312"/>
        </w:rPr>
        <w:t>%。</w:t>
      </w:r>
    </w:p>
    <w:p w14:paraId="6F8B22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cs="仿宋_GB2312"/>
          <w:sz w:val="32"/>
          <w:szCs w:val="32"/>
        </w:rPr>
      </w:pPr>
      <w:r>
        <w:rPr>
          <w:rFonts w:hint="eastAsia" w:eastAsia="仿宋_GB2312" w:cs="仿宋_GB2312"/>
          <w:sz w:val="32"/>
          <w:szCs w:val="32"/>
        </w:rPr>
        <w:t>项目已获得广西壮族自治区投资项目备案证明</w:t>
      </w:r>
      <w:r>
        <w:rPr>
          <w:rFonts w:hint="eastAsia" w:eastAsia="仿宋_GB2312" w:cs="仿宋_GB2312"/>
          <w:sz w:val="32"/>
          <w:szCs w:val="32"/>
          <w:lang w:val="en-US" w:eastAsia="zh-CN"/>
        </w:rPr>
        <w:t>及柳城县工业区管理委员会的入园证明</w:t>
      </w:r>
      <w:r>
        <w:rPr>
          <w:rFonts w:hint="eastAsia" w:eastAsia="仿宋_GB2312" w:cs="仿宋_GB2312"/>
          <w:sz w:val="32"/>
          <w:szCs w:val="32"/>
        </w:rPr>
        <w:t>。从环境影响角度考虑，同意你公司按照《报告表》所列的建设项目的地点、性质、规模、采取的环境保护对策措施及下述要求进行项目建设。</w:t>
      </w:r>
    </w:p>
    <w:p w14:paraId="2F77293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eastAsia="仿宋_GB2312" w:cs="仿宋_GB2312"/>
          <w:sz w:val="32"/>
          <w:szCs w:val="32"/>
        </w:rPr>
      </w:pPr>
      <w:r>
        <w:rPr>
          <w:rFonts w:hint="eastAsia" w:eastAsia="仿宋_GB2312" w:cs="仿宋_GB2312"/>
          <w:sz w:val="32"/>
          <w:szCs w:val="32"/>
        </w:rPr>
        <w:t>项目须落实《报告表》提出的各项环保要求，重点抓好以下环保工作：</w:t>
      </w:r>
    </w:p>
    <w:p w14:paraId="4DA3F443">
      <w:pPr>
        <w:pStyle w:val="57"/>
        <w:keepNext w:val="0"/>
        <w:keepLines w:val="0"/>
        <w:pageBreakBefore w:val="0"/>
        <w:widowControl w:val="0"/>
        <w:numPr>
          <w:ilvl w:val="2"/>
          <w:numId w:val="2"/>
        </w:numPr>
        <w:kinsoku/>
        <w:wordWrap/>
        <w:overflowPunct/>
        <w:topLinePunct w:val="0"/>
        <w:autoSpaceDE/>
        <w:autoSpaceDN/>
        <w:bidi w:val="0"/>
        <w:adjustRightInd/>
        <w:snapToGrid/>
        <w:spacing w:line="520" w:lineRule="exact"/>
        <w:ind w:left="0" w:firstLine="420" w:firstLineChars="0"/>
        <w:textAlignment w:val="auto"/>
        <w:rPr>
          <w:rFonts w:eastAsia="仿宋_GB2312" w:cs="仿宋_GB2312"/>
          <w:sz w:val="32"/>
          <w:szCs w:val="32"/>
        </w:rPr>
      </w:pPr>
      <w:r>
        <w:rPr>
          <w:rFonts w:hint="eastAsia" w:eastAsia="仿宋_GB2312" w:cs="仿宋_GB2312"/>
          <w:sz w:val="32"/>
          <w:szCs w:val="32"/>
        </w:rPr>
        <w:t>项目</w:t>
      </w:r>
      <w:r>
        <w:rPr>
          <w:rFonts w:hint="eastAsia" w:eastAsia="仿宋_GB2312" w:cs="仿宋_GB2312"/>
          <w:sz w:val="32"/>
          <w:szCs w:val="32"/>
          <w:lang w:val="en-US" w:eastAsia="zh-CN"/>
        </w:rPr>
        <w:t>调（涂）胶、热压</w:t>
      </w:r>
      <w:r>
        <w:rPr>
          <w:rFonts w:hint="eastAsia" w:eastAsia="仿宋_GB2312" w:cs="仿宋_GB2312"/>
          <w:sz w:val="32"/>
          <w:szCs w:val="32"/>
        </w:rPr>
        <w:t>工序产生的废气经集气罩（含软帘）收集后通过</w:t>
      </w:r>
      <w:r>
        <w:rPr>
          <w:rFonts w:hint="eastAsia" w:eastAsia="仿宋_GB2312" w:cs="仿宋_GB2312"/>
          <w:sz w:val="32"/>
          <w:szCs w:val="32"/>
          <w:lang w:val="en-US" w:eastAsia="zh-CN"/>
        </w:rPr>
        <w:t>二级活性炭吸</w:t>
      </w:r>
      <w:r>
        <w:rPr>
          <w:rFonts w:hint="eastAsia" w:ascii="Times New Roman" w:hAnsi="Times New Roman" w:eastAsia="仿宋_GB2312" w:cs="仿宋_GB2312"/>
          <w:sz w:val="32"/>
          <w:szCs w:val="32"/>
          <w:lang w:val="en-US" w:eastAsia="zh-CN"/>
        </w:rPr>
        <w:t>附装置</w:t>
      </w:r>
      <w:r>
        <w:rPr>
          <w:rFonts w:hint="eastAsia" w:ascii="Times New Roman" w:hAnsi="Times New Roman" w:eastAsia="仿宋_GB2312" w:cs="仿宋_GB2312"/>
          <w:sz w:val="32"/>
          <w:szCs w:val="32"/>
        </w:rPr>
        <w:t>处理，经</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根</w:t>
      </w:r>
      <w:r>
        <w:rPr>
          <w:rFonts w:hint="eastAsia" w:eastAsia="仿宋_GB2312" w:cs="仿宋_GB2312"/>
          <w:sz w:val="32"/>
          <w:szCs w:val="32"/>
          <w:lang w:val="en-US" w:eastAsia="zh-CN"/>
        </w:rPr>
        <w:t>20</w:t>
      </w:r>
      <w:r>
        <w:rPr>
          <w:rFonts w:hint="eastAsia" w:ascii="Times New Roman" w:hAnsi="Times New Roman" w:eastAsia="仿宋_GB2312" w:cs="仿宋_GB2312"/>
          <w:sz w:val="32"/>
          <w:szCs w:val="32"/>
        </w:rPr>
        <w:t>米高排气筒（DA001）排放，须确保有组织外排的甲醛、非甲烷总烃、</w:t>
      </w:r>
      <w:r>
        <w:rPr>
          <w:rFonts w:hint="eastAsia" w:ascii="Times New Roman" w:hAnsi="Times New Roman" w:eastAsia="仿宋_GB2312" w:cs="仿宋_GB2312"/>
          <w:sz w:val="32"/>
          <w:szCs w:val="32"/>
          <w:lang w:val="en-US" w:eastAsia="zh-CN"/>
        </w:rPr>
        <w:t>颗粒物</w:t>
      </w:r>
      <w:r>
        <w:rPr>
          <w:rFonts w:hint="eastAsia" w:ascii="Times New Roman" w:hAnsi="Times New Roman" w:eastAsia="仿宋_GB2312" w:cs="仿宋_GB2312"/>
          <w:sz w:val="32"/>
          <w:szCs w:val="32"/>
        </w:rPr>
        <w:t>排放</w:t>
      </w:r>
      <w:r>
        <w:rPr>
          <w:rFonts w:hint="eastAsia" w:ascii="Times New Roman" w:hAnsi="Times New Roman" w:eastAsia="仿宋_GB2312" w:cs="仿宋_GB2312"/>
          <w:sz w:val="32"/>
          <w:szCs w:val="32"/>
          <w:lang w:val="en-US" w:eastAsia="zh-CN"/>
        </w:rPr>
        <w:t>速率和</w:t>
      </w:r>
      <w:r>
        <w:rPr>
          <w:rFonts w:hint="eastAsia" w:ascii="Times New Roman" w:hAnsi="Times New Roman" w:eastAsia="仿宋_GB2312" w:cs="仿宋_GB2312"/>
          <w:sz w:val="32"/>
          <w:szCs w:val="32"/>
        </w:rPr>
        <w:t>浓度能够</w:t>
      </w:r>
      <w:r>
        <w:rPr>
          <w:rFonts w:hint="eastAsia" w:ascii="Times New Roman" w:hAnsi="Times New Roman" w:eastAsia="仿宋_GB2312" w:cs="仿宋_GB2312"/>
          <w:sz w:val="32"/>
          <w:szCs w:val="32"/>
          <w:lang w:val="en-US" w:eastAsia="zh-CN"/>
        </w:rPr>
        <w:t>达到GB 16297-1996《</w:t>
      </w:r>
      <w:bookmarkStart w:id="0" w:name="OLE_LINK20"/>
      <w:r>
        <w:rPr>
          <w:rFonts w:hint="eastAsia" w:ascii="Times New Roman" w:hAnsi="Times New Roman" w:eastAsia="仿宋_GB2312" w:cs="仿宋_GB2312"/>
          <w:sz w:val="32"/>
          <w:szCs w:val="32"/>
          <w:lang w:val="en-US" w:eastAsia="zh-CN"/>
        </w:rPr>
        <w:t>大气污</w:t>
      </w:r>
      <w:r>
        <w:rPr>
          <w:rFonts w:hint="eastAsia" w:ascii="Times New Roman" w:hAnsi="Times New Roman" w:eastAsia="仿宋_GB2312" w:cs="仿宋_GB2312"/>
          <w:sz w:val="32"/>
          <w:szCs w:val="32"/>
        </w:rPr>
        <w:t>染物综合排放标准</w:t>
      </w:r>
      <w:bookmarkEnd w:id="0"/>
      <w:r>
        <w:rPr>
          <w:rFonts w:hint="eastAsia" w:ascii="Times New Roman" w:hAnsi="Times New Roman" w:eastAsia="仿宋_GB2312" w:cs="仿宋_GB2312"/>
          <w:sz w:val="32"/>
          <w:szCs w:val="32"/>
        </w:rPr>
        <w:t>》中表2新污染源大气污染物排放限值</w:t>
      </w:r>
      <w:r>
        <w:rPr>
          <w:rFonts w:hint="eastAsia" w:ascii="Times New Roman" w:hAnsi="Times New Roman" w:eastAsia="仿宋_GB2312" w:cs="仿宋_GB2312"/>
          <w:sz w:val="32"/>
          <w:szCs w:val="32"/>
          <w:lang w:val="en-US" w:eastAsia="zh-CN"/>
        </w:rPr>
        <w:t>要求</w:t>
      </w:r>
      <w:r>
        <w:rPr>
          <w:rFonts w:hint="eastAsia" w:ascii="Times New Roman" w:hAnsi="Times New Roman" w:eastAsia="仿宋_GB2312" w:cs="仿宋_GB2312"/>
          <w:sz w:val="32"/>
          <w:szCs w:val="32"/>
        </w:rPr>
        <w:t>。</w:t>
      </w:r>
    </w:p>
    <w:p w14:paraId="1FAAF871">
      <w:pPr>
        <w:pStyle w:val="57"/>
        <w:keepNext w:val="0"/>
        <w:keepLines w:val="0"/>
        <w:pageBreakBefore w:val="0"/>
        <w:widowControl w:val="0"/>
        <w:numPr>
          <w:ilvl w:val="2"/>
          <w:numId w:val="2"/>
        </w:numPr>
        <w:kinsoku/>
        <w:wordWrap/>
        <w:overflowPunct/>
        <w:topLinePunct w:val="0"/>
        <w:autoSpaceDE/>
        <w:autoSpaceDN/>
        <w:bidi w:val="0"/>
        <w:adjustRightInd/>
        <w:snapToGrid/>
        <w:spacing w:line="520" w:lineRule="exact"/>
        <w:ind w:left="0" w:firstLine="420" w:firstLineChars="0"/>
        <w:textAlignment w:val="auto"/>
        <w:rPr>
          <w:rFonts w:eastAsia="仿宋_GB2312" w:cs="仿宋_GB2312"/>
          <w:sz w:val="32"/>
          <w:szCs w:val="32"/>
        </w:rPr>
      </w:pPr>
      <w:r>
        <w:rPr>
          <w:rFonts w:hint="eastAsia" w:eastAsia="仿宋_GB2312" w:cs="仿宋_GB2312"/>
          <w:sz w:val="32"/>
          <w:szCs w:val="32"/>
        </w:rPr>
        <w:t>项目</w:t>
      </w:r>
      <w:r>
        <w:rPr>
          <w:rFonts w:hint="eastAsia" w:eastAsia="仿宋_GB2312" w:cs="仿宋_GB2312"/>
          <w:sz w:val="32"/>
          <w:szCs w:val="32"/>
          <w:lang w:val="en-US" w:eastAsia="zh-CN"/>
        </w:rPr>
        <w:t>砂光</w:t>
      </w:r>
      <w:r>
        <w:rPr>
          <w:rFonts w:hint="eastAsia" w:eastAsia="仿宋_GB2312" w:cs="仿宋_GB2312"/>
          <w:sz w:val="32"/>
          <w:szCs w:val="32"/>
        </w:rPr>
        <w:t>工序产生的废气经</w:t>
      </w:r>
      <w:r>
        <w:rPr>
          <w:rFonts w:hint="eastAsia" w:eastAsia="仿宋_GB2312" w:cs="仿宋_GB2312"/>
          <w:sz w:val="32"/>
          <w:szCs w:val="32"/>
          <w:lang w:val="en-US" w:eastAsia="zh-CN"/>
        </w:rPr>
        <w:t>集尘管</w:t>
      </w:r>
      <w:r>
        <w:rPr>
          <w:rFonts w:hint="eastAsia" w:eastAsia="仿宋_GB2312" w:cs="仿宋_GB2312"/>
          <w:sz w:val="32"/>
          <w:szCs w:val="32"/>
        </w:rPr>
        <w:t>收集后通过</w:t>
      </w:r>
      <w:r>
        <w:rPr>
          <w:rFonts w:hint="eastAsia" w:eastAsia="仿宋_GB2312" w:cs="仿宋_GB2312"/>
          <w:sz w:val="32"/>
          <w:szCs w:val="32"/>
          <w:lang w:val="en-US" w:eastAsia="zh-CN"/>
        </w:rPr>
        <w:t>2套布袋除尘器</w:t>
      </w:r>
      <w:r>
        <w:rPr>
          <w:rFonts w:hint="eastAsia" w:eastAsia="仿宋_GB2312" w:cs="仿宋_GB2312"/>
          <w:sz w:val="32"/>
          <w:szCs w:val="32"/>
        </w:rPr>
        <w:t>处理</w:t>
      </w:r>
      <w:r>
        <w:rPr>
          <w:rFonts w:hint="eastAsia" w:eastAsia="仿宋_GB2312" w:cs="仿宋_GB2312"/>
          <w:sz w:val="32"/>
          <w:szCs w:val="32"/>
          <w:lang w:val="en-US" w:eastAsia="zh-CN"/>
        </w:rPr>
        <w:t>，合并进入1</w:t>
      </w:r>
      <w:r>
        <w:rPr>
          <w:rFonts w:hint="eastAsia" w:eastAsia="仿宋_GB2312" w:cs="仿宋_GB2312"/>
          <w:sz w:val="32"/>
          <w:szCs w:val="32"/>
        </w:rPr>
        <w:t>根</w:t>
      </w:r>
      <w:r>
        <w:rPr>
          <w:rFonts w:hint="eastAsia" w:eastAsia="仿宋_GB2312" w:cs="仿宋_GB2312"/>
          <w:sz w:val="32"/>
          <w:szCs w:val="32"/>
          <w:lang w:val="en-US" w:eastAsia="zh-CN"/>
        </w:rPr>
        <w:t>20</w:t>
      </w:r>
      <w:r>
        <w:rPr>
          <w:rFonts w:hint="eastAsia" w:eastAsia="仿宋_GB2312" w:cs="仿宋_GB2312"/>
          <w:sz w:val="32"/>
          <w:szCs w:val="32"/>
        </w:rPr>
        <w:t>米高排气筒（DA00</w:t>
      </w:r>
      <w:r>
        <w:rPr>
          <w:rFonts w:hint="eastAsia" w:eastAsia="仿宋_GB2312" w:cs="仿宋_GB2312"/>
          <w:sz w:val="32"/>
          <w:szCs w:val="32"/>
          <w:lang w:val="en-US" w:eastAsia="zh-CN"/>
        </w:rPr>
        <w:t>2</w:t>
      </w:r>
      <w:r>
        <w:rPr>
          <w:rFonts w:hint="eastAsia" w:eastAsia="仿宋_GB2312" w:cs="仿宋_GB2312"/>
          <w:sz w:val="32"/>
          <w:szCs w:val="32"/>
        </w:rPr>
        <w:t>）排放</w:t>
      </w:r>
      <w:r>
        <w:rPr>
          <w:rFonts w:hint="eastAsia" w:eastAsia="仿宋_GB2312" w:cs="仿宋_GB2312"/>
          <w:sz w:val="32"/>
          <w:szCs w:val="32"/>
          <w:lang w:val="en-US" w:eastAsia="zh-CN"/>
        </w:rPr>
        <w:t>；锯边</w:t>
      </w:r>
      <w:r>
        <w:rPr>
          <w:rFonts w:hint="eastAsia" w:eastAsia="仿宋_GB2312" w:cs="仿宋_GB2312"/>
          <w:sz w:val="32"/>
          <w:szCs w:val="32"/>
        </w:rPr>
        <w:t>工序产生的废气经</w:t>
      </w:r>
      <w:r>
        <w:rPr>
          <w:rFonts w:hint="eastAsia" w:eastAsia="仿宋_GB2312" w:cs="仿宋_GB2312"/>
          <w:sz w:val="32"/>
          <w:szCs w:val="32"/>
          <w:lang w:val="en-US" w:eastAsia="zh-CN"/>
        </w:rPr>
        <w:t>集尘管</w:t>
      </w:r>
      <w:r>
        <w:rPr>
          <w:rFonts w:hint="eastAsia" w:eastAsia="仿宋_GB2312" w:cs="仿宋_GB2312"/>
          <w:sz w:val="32"/>
          <w:szCs w:val="32"/>
        </w:rPr>
        <w:t>收集后通过</w:t>
      </w:r>
      <w:r>
        <w:rPr>
          <w:rFonts w:hint="eastAsia" w:eastAsia="仿宋_GB2312" w:cs="仿宋_GB2312"/>
          <w:sz w:val="32"/>
          <w:szCs w:val="32"/>
          <w:lang w:val="en-US" w:eastAsia="zh-CN"/>
        </w:rPr>
        <w:t>布袋除尘器</w:t>
      </w:r>
      <w:r>
        <w:rPr>
          <w:rFonts w:hint="eastAsia" w:eastAsia="仿宋_GB2312" w:cs="仿宋_GB2312"/>
          <w:sz w:val="32"/>
          <w:szCs w:val="32"/>
        </w:rPr>
        <w:t>处理，经</w:t>
      </w:r>
      <w:r>
        <w:rPr>
          <w:rFonts w:hint="eastAsia" w:eastAsia="仿宋_GB2312" w:cs="仿宋_GB2312"/>
          <w:sz w:val="32"/>
          <w:szCs w:val="32"/>
          <w:lang w:val="en-US" w:eastAsia="zh-CN"/>
        </w:rPr>
        <w:t>1</w:t>
      </w:r>
      <w:r>
        <w:rPr>
          <w:rFonts w:hint="eastAsia" w:eastAsia="仿宋_GB2312" w:cs="仿宋_GB2312"/>
          <w:sz w:val="32"/>
          <w:szCs w:val="32"/>
        </w:rPr>
        <w:t>根</w:t>
      </w:r>
      <w:r>
        <w:rPr>
          <w:rFonts w:hint="eastAsia" w:eastAsia="仿宋_GB2312" w:cs="仿宋_GB2312"/>
          <w:sz w:val="32"/>
          <w:szCs w:val="32"/>
          <w:lang w:val="en-US" w:eastAsia="zh-CN"/>
        </w:rPr>
        <w:t>20</w:t>
      </w:r>
      <w:r>
        <w:rPr>
          <w:rFonts w:hint="eastAsia" w:eastAsia="仿宋_GB2312" w:cs="仿宋_GB2312"/>
          <w:sz w:val="32"/>
          <w:szCs w:val="32"/>
        </w:rPr>
        <w:t>米高排气筒（DA00</w:t>
      </w:r>
      <w:r>
        <w:rPr>
          <w:rFonts w:hint="eastAsia" w:eastAsia="仿宋_GB2312" w:cs="仿宋_GB2312"/>
          <w:sz w:val="32"/>
          <w:szCs w:val="32"/>
          <w:lang w:val="en-US" w:eastAsia="zh-CN"/>
        </w:rPr>
        <w:t>3</w:t>
      </w:r>
      <w:r>
        <w:rPr>
          <w:rFonts w:hint="eastAsia" w:eastAsia="仿宋_GB2312" w:cs="仿宋_GB2312"/>
          <w:sz w:val="32"/>
          <w:szCs w:val="32"/>
        </w:rPr>
        <w:t>）排放</w:t>
      </w:r>
      <w:r>
        <w:rPr>
          <w:rFonts w:hint="eastAsia" w:ascii="Times New Roman" w:hAnsi="Times New Roman" w:eastAsia="仿宋_GB2312" w:cs="仿宋_GB2312"/>
          <w:sz w:val="32"/>
          <w:szCs w:val="32"/>
          <w:lang w:val="en-US" w:eastAsia="zh-CN"/>
        </w:rPr>
        <w:t>，须确保有组织外排的颗粒物排放浓度和</w:t>
      </w:r>
      <w:r>
        <w:rPr>
          <w:rFonts w:hint="eastAsia" w:eastAsia="仿宋_GB2312" w:cs="仿宋_GB2312"/>
          <w:sz w:val="32"/>
          <w:szCs w:val="32"/>
          <w:lang w:val="en-US" w:eastAsia="zh-CN"/>
        </w:rPr>
        <w:t>排放</w:t>
      </w:r>
      <w:r>
        <w:rPr>
          <w:rFonts w:hint="eastAsia" w:ascii="Times New Roman" w:hAnsi="Times New Roman" w:eastAsia="仿宋_GB2312" w:cs="仿宋_GB2312"/>
          <w:sz w:val="32"/>
          <w:szCs w:val="32"/>
          <w:lang w:val="en-US" w:eastAsia="zh-CN"/>
        </w:rPr>
        <w:t>速率能够达到GB</w:t>
      </w:r>
      <w:r>
        <w:rPr>
          <w:rFonts w:hint="default" w:eastAsia="仿宋_GB2312" w:cs="仿宋_GB2312"/>
          <w:sz w:val="32"/>
          <w:szCs w:val="32"/>
          <w:lang w:eastAsia="zh-CN"/>
        </w:rPr>
        <w:t xml:space="preserve"> </w:t>
      </w:r>
      <w:r>
        <w:rPr>
          <w:rFonts w:hint="eastAsia" w:ascii="Times New Roman" w:hAnsi="Times New Roman" w:eastAsia="仿宋_GB2312" w:cs="仿宋_GB2312"/>
          <w:sz w:val="32"/>
          <w:szCs w:val="32"/>
          <w:lang w:val="en-US" w:eastAsia="zh-CN"/>
        </w:rPr>
        <w:t>16297-1996《大气污染物综合排放标准》中表2新污染源大气污染物排放限值要求</w:t>
      </w:r>
      <w:r>
        <w:rPr>
          <w:rFonts w:hint="eastAsia" w:eastAsia="仿宋_GB2312" w:cs="仿宋_GB2312"/>
          <w:sz w:val="32"/>
          <w:szCs w:val="32"/>
          <w:lang w:val="en-US" w:eastAsia="zh-CN"/>
        </w:rPr>
        <w:t>。</w:t>
      </w:r>
    </w:p>
    <w:p w14:paraId="0D84FC2D">
      <w:pPr>
        <w:pStyle w:val="57"/>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eastAsia="仿宋_GB2312" w:cs="仿宋_GB2312"/>
          <w:sz w:val="32"/>
          <w:szCs w:val="32"/>
        </w:rPr>
      </w:pPr>
      <w:r>
        <w:rPr>
          <w:rFonts w:hint="eastAsia" w:eastAsia="仿宋_GB2312" w:cs="仿宋_GB2312"/>
          <w:sz w:val="32"/>
          <w:szCs w:val="32"/>
          <w:lang w:val="en-US" w:eastAsia="zh-CN"/>
        </w:rPr>
        <w:t>项目DA002与DA003视为1根等效排气筒，等效高度为20米，须确保颗粒物等效排放速率能够达到GB 16297-1996《大气污染物综合排放标准》中表2新污染源大气污染物排放限值要求</w:t>
      </w:r>
      <w:r>
        <w:rPr>
          <w:rFonts w:hint="eastAsia" w:ascii="Times New Roman" w:hAnsi="Times New Roman" w:eastAsia="仿宋_GB2312" w:cs="仿宋_GB2312"/>
          <w:sz w:val="32"/>
          <w:szCs w:val="32"/>
          <w:lang w:val="en-US" w:eastAsia="zh-CN"/>
        </w:rPr>
        <w:t>。</w:t>
      </w:r>
    </w:p>
    <w:p w14:paraId="53A05FC0">
      <w:pPr>
        <w:pStyle w:val="57"/>
        <w:keepNext w:val="0"/>
        <w:keepLines w:val="0"/>
        <w:pageBreakBefore w:val="0"/>
        <w:widowControl w:val="0"/>
        <w:numPr>
          <w:ilvl w:val="2"/>
          <w:numId w:val="2"/>
        </w:numPr>
        <w:kinsoku/>
        <w:wordWrap/>
        <w:overflowPunct/>
        <w:topLinePunct w:val="0"/>
        <w:autoSpaceDE/>
        <w:autoSpaceDN/>
        <w:bidi w:val="0"/>
        <w:adjustRightInd/>
        <w:snapToGrid/>
        <w:spacing w:line="520" w:lineRule="exact"/>
        <w:ind w:left="0" w:firstLine="420" w:firstLineChars="0"/>
        <w:jc w:val="left"/>
        <w:textAlignment w:val="auto"/>
        <w:rPr>
          <w:rFonts w:eastAsia="仿宋_GB2312" w:cs="仿宋_GB2312"/>
          <w:sz w:val="32"/>
          <w:szCs w:val="32"/>
        </w:rPr>
      </w:pPr>
      <w:r>
        <w:rPr>
          <w:rFonts w:hint="eastAsia" w:eastAsia="仿宋_GB2312" w:cs="仿宋_GB2312"/>
          <w:sz w:val="32"/>
          <w:szCs w:val="32"/>
        </w:rPr>
        <w:t>项目拟建设一台</w:t>
      </w:r>
      <w:r>
        <w:rPr>
          <w:rFonts w:hint="default" w:eastAsia="仿宋_GB2312" w:cs="仿宋_GB2312"/>
          <w:sz w:val="32"/>
          <w:szCs w:val="32"/>
        </w:rPr>
        <w:t>额定蒸发量为</w:t>
      </w:r>
      <w:r>
        <w:rPr>
          <w:rFonts w:hint="eastAsia" w:eastAsia="仿宋_GB2312" w:cs="仿宋_GB2312"/>
          <w:sz w:val="32"/>
          <w:szCs w:val="32"/>
          <w:lang w:val="en-US" w:eastAsia="zh-CN"/>
        </w:rPr>
        <w:t>5</w:t>
      </w:r>
      <w:r>
        <w:rPr>
          <w:rFonts w:hint="default" w:eastAsia="仿宋_GB2312" w:cs="仿宋_GB2312"/>
          <w:sz w:val="32"/>
          <w:szCs w:val="32"/>
          <w:lang w:eastAsia="zh-CN"/>
        </w:rPr>
        <w:t>吨</w:t>
      </w:r>
      <w:r>
        <w:rPr>
          <w:rFonts w:hint="eastAsia" w:eastAsia="仿宋_GB2312" w:cs="仿宋_GB2312"/>
          <w:sz w:val="32"/>
          <w:szCs w:val="32"/>
          <w:lang w:val="en-US" w:eastAsia="zh-CN"/>
        </w:rPr>
        <w:t>/</w:t>
      </w:r>
      <w:r>
        <w:rPr>
          <w:rFonts w:hint="default" w:eastAsia="仿宋_GB2312" w:cs="仿宋_GB2312"/>
          <w:sz w:val="32"/>
          <w:szCs w:val="32"/>
          <w:lang w:eastAsia="zh-CN"/>
        </w:rPr>
        <w:t>小时的</w:t>
      </w:r>
      <w:r>
        <w:rPr>
          <w:rFonts w:hint="eastAsia" w:eastAsia="仿宋_GB2312" w:cs="仿宋_GB2312"/>
          <w:sz w:val="32"/>
          <w:szCs w:val="32"/>
        </w:rPr>
        <w:t>燃生物质</w:t>
      </w:r>
      <w:r>
        <w:rPr>
          <w:rFonts w:hint="eastAsia" w:eastAsia="仿宋_GB2312" w:cs="仿宋_GB2312"/>
          <w:sz w:val="32"/>
          <w:szCs w:val="32"/>
          <w:lang w:val="en-US" w:eastAsia="zh-CN"/>
        </w:rPr>
        <w:t>锅炉</w:t>
      </w:r>
      <w:r>
        <w:rPr>
          <w:rFonts w:hint="eastAsia" w:eastAsia="仿宋_GB2312" w:cs="仿宋_GB2312"/>
          <w:sz w:val="32"/>
          <w:szCs w:val="32"/>
        </w:rPr>
        <w:t>，产生的</w:t>
      </w:r>
      <w:r>
        <w:rPr>
          <w:rFonts w:hint="default" w:eastAsia="仿宋_GB2312" w:cs="仿宋_GB2312"/>
          <w:sz w:val="32"/>
          <w:szCs w:val="32"/>
        </w:rPr>
        <w:t>锅炉</w:t>
      </w:r>
      <w:r>
        <w:rPr>
          <w:rFonts w:hint="eastAsia" w:eastAsia="仿宋_GB2312" w:cs="仿宋_GB2312"/>
          <w:sz w:val="32"/>
          <w:szCs w:val="32"/>
        </w:rPr>
        <w:t>废气通过</w:t>
      </w:r>
      <w:r>
        <w:rPr>
          <w:rFonts w:hint="default" w:eastAsia="仿宋_GB2312" w:cs="仿宋_GB2312"/>
          <w:sz w:val="32"/>
          <w:szCs w:val="32"/>
        </w:rPr>
        <w:t>“</w:t>
      </w:r>
      <w:r>
        <w:rPr>
          <w:rFonts w:hint="eastAsia" w:ascii="Times New Roman" w:hAnsi="Times New Roman" w:eastAsia="仿宋_GB2312" w:cs="仿宋_GB2312"/>
          <w:sz w:val="32"/>
          <w:szCs w:val="32"/>
          <w:lang w:val="en-US" w:eastAsia="zh-CN"/>
        </w:rPr>
        <w:t>旋风+布袋除尘器</w:t>
      </w:r>
      <w:r>
        <w:rPr>
          <w:rFonts w:hint="default" w:eastAsia="仿宋_GB2312" w:cs="仿宋_GB2312"/>
          <w:sz w:val="32"/>
          <w:szCs w:val="32"/>
        </w:rPr>
        <w:t>”</w:t>
      </w:r>
      <w:r>
        <w:rPr>
          <w:rFonts w:hint="eastAsia" w:ascii="Times New Roman" w:hAnsi="Times New Roman" w:eastAsia="仿宋_GB2312" w:cs="仿宋_GB2312"/>
          <w:sz w:val="32"/>
          <w:szCs w:val="32"/>
          <w:lang w:val="en-US" w:eastAsia="zh-CN"/>
        </w:rPr>
        <w:t>处理</w:t>
      </w:r>
      <w:r>
        <w:rPr>
          <w:rFonts w:hint="eastAsia" w:ascii="Times New Roman" w:hAnsi="Times New Roman" w:eastAsia="仿宋_GB2312" w:cs="仿宋_GB2312"/>
          <w:sz w:val="32"/>
          <w:szCs w:val="32"/>
        </w:rPr>
        <w:t>，经</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根</w:t>
      </w:r>
      <w:r>
        <w:rPr>
          <w:rFonts w:hint="eastAsia" w:eastAsia="仿宋_GB2312" w:cs="仿宋_GB2312"/>
          <w:sz w:val="32"/>
          <w:szCs w:val="32"/>
          <w:lang w:val="en-US" w:eastAsia="zh-CN"/>
        </w:rPr>
        <w:t>35</w:t>
      </w:r>
      <w:r>
        <w:rPr>
          <w:rFonts w:hint="eastAsia" w:eastAsia="仿宋_GB2312" w:cs="仿宋_GB2312"/>
          <w:sz w:val="32"/>
          <w:szCs w:val="32"/>
        </w:rPr>
        <w:t>米高排气筒（DA00</w:t>
      </w:r>
      <w:r>
        <w:rPr>
          <w:rFonts w:hint="eastAsia" w:eastAsia="仿宋_GB2312" w:cs="仿宋_GB2312"/>
          <w:sz w:val="32"/>
          <w:szCs w:val="32"/>
          <w:lang w:val="en-US" w:eastAsia="zh-CN"/>
        </w:rPr>
        <w:t>4</w:t>
      </w:r>
      <w:r>
        <w:rPr>
          <w:rFonts w:hint="eastAsia" w:eastAsia="仿宋_GB2312" w:cs="仿宋_GB2312"/>
          <w:sz w:val="32"/>
          <w:szCs w:val="32"/>
        </w:rPr>
        <w:t>）排放，须确保有组织外排的颗粒物、二氧化硫、氮氧化物排放浓度</w:t>
      </w:r>
      <w:r>
        <w:rPr>
          <w:rFonts w:hint="eastAsia" w:eastAsia="仿宋_GB2312" w:cs="仿宋_GB2312"/>
          <w:sz w:val="32"/>
          <w:szCs w:val="32"/>
          <w:lang w:val="en-US" w:eastAsia="zh-CN"/>
        </w:rPr>
        <w:t>和烟气黑度</w:t>
      </w:r>
      <w:r>
        <w:rPr>
          <w:rFonts w:hint="eastAsia" w:eastAsia="仿宋_GB2312" w:cs="仿宋_GB2312"/>
          <w:sz w:val="32"/>
          <w:szCs w:val="32"/>
        </w:rPr>
        <w:t>能够</w:t>
      </w:r>
      <w:r>
        <w:rPr>
          <w:rFonts w:hint="eastAsia" w:eastAsia="仿宋_GB2312" w:cs="仿宋_GB2312"/>
          <w:sz w:val="32"/>
          <w:szCs w:val="32"/>
          <w:lang w:val="en-US" w:eastAsia="zh-CN"/>
        </w:rPr>
        <w:t>达到</w:t>
      </w:r>
      <w:r>
        <w:rPr>
          <w:rFonts w:hint="eastAsia" w:eastAsia="仿宋_GB2312" w:cs="仿宋_GB2312"/>
          <w:sz w:val="32"/>
          <w:szCs w:val="32"/>
        </w:rPr>
        <w:t>GB</w:t>
      </w:r>
      <w:r>
        <w:rPr>
          <w:rFonts w:hint="eastAsia" w:eastAsia="仿宋_GB2312" w:cs="仿宋_GB2312"/>
          <w:sz w:val="32"/>
          <w:szCs w:val="32"/>
          <w:lang w:val="en-US" w:eastAsia="zh-CN"/>
        </w:rPr>
        <w:t xml:space="preserve"> </w:t>
      </w:r>
      <w:r>
        <w:rPr>
          <w:rFonts w:hint="eastAsia" w:eastAsia="仿宋_GB2312" w:cs="仿宋_GB2312"/>
          <w:sz w:val="32"/>
          <w:szCs w:val="32"/>
        </w:rPr>
        <w:t>13271-2014《</w:t>
      </w:r>
      <w:bookmarkStart w:id="1" w:name="OLE_LINK13"/>
      <w:r>
        <w:rPr>
          <w:rFonts w:hint="eastAsia" w:eastAsia="仿宋_GB2312" w:cs="仿宋_GB2312"/>
          <w:sz w:val="32"/>
          <w:szCs w:val="32"/>
        </w:rPr>
        <w:t>锅炉大气污染物排放标准</w:t>
      </w:r>
      <w:bookmarkEnd w:id="1"/>
      <w:r>
        <w:rPr>
          <w:rFonts w:hint="eastAsia" w:eastAsia="仿宋_GB2312" w:cs="仿宋_GB2312"/>
          <w:sz w:val="32"/>
          <w:szCs w:val="32"/>
        </w:rPr>
        <w:t>》表2新建锅炉大气污染物排放浓度限值</w:t>
      </w:r>
      <w:r>
        <w:rPr>
          <w:rFonts w:hint="eastAsia" w:eastAsia="仿宋_GB2312" w:cs="仿宋_GB2312"/>
          <w:sz w:val="32"/>
          <w:szCs w:val="32"/>
          <w:lang w:val="en-US" w:eastAsia="zh-CN"/>
        </w:rPr>
        <w:t>中燃煤锅炉</w:t>
      </w:r>
      <w:r>
        <w:rPr>
          <w:rFonts w:hint="eastAsia" w:eastAsia="仿宋_GB2312" w:cs="仿宋_GB2312"/>
          <w:sz w:val="32"/>
          <w:szCs w:val="32"/>
        </w:rPr>
        <w:t>排放浓度限值</w:t>
      </w:r>
      <w:r>
        <w:rPr>
          <w:rFonts w:hint="eastAsia" w:eastAsia="仿宋_GB2312" w:cs="仿宋_GB2312"/>
          <w:sz w:val="32"/>
          <w:szCs w:val="32"/>
          <w:lang w:val="en-US" w:eastAsia="zh-CN"/>
        </w:rPr>
        <w:t>要求</w:t>
      </w:r>
      <w:r>
        <w:rPr>
          <w:rFonts w:hint="eastAsia" w:eastAsia="仿宋_GB2312" w:cs="仿宋_GB2312"/>
          <w:sz w:val="32"/>
          <w:szCs w:val="32"/>
        </w:rPr>
        <w:t>。</w:t>
      </w:r>
    </w:p>
    <w:p w14:paraId="21C9C3BD">
      <w:pPr>
        <w:pStyle w:val="57"/>
        <w:keepNext w:val="0"/>
        <w:keepLines w:val="0"/>
        <w:pageBreakBefore w:val="0"/>
        <w:widowControl w:val="0"/>
        <w:numPr>
          <w:ilvl w:val="2"/>
          <w:numId w:val="2"/>
        </w:numPr>
        <w:kinsoku/>
        <w:wordWrap/>
        <w:overflowPunct/>
        <w:topLinePunct w:val="0"/>
        <w:autoSpaceDE/>
        <w:autoSpaceDN/>
        <w:bidi w:val="0"/>
        <w:adjustRightInd/>
        <w:snapToGrid/>
        <w:spacing w:line="520" w:lineRule="exact"/>
        <w:ind w:left="0" w:firstLine="420" w:firstLineChars="0"/>
        <w:jc w:val="left"/>
        <w:textAlignment w:val="auto"/>
        <w:rPr>
          <w:rFonts w:hint="eastAsia" w:eastAsia="仿宋_GB2312" w:cs="仿宋_GB2312"/>
          <w:color w:val="000000"/>
          <w:sz w:val="32"/>
          <w:szCs w:val="32"/>
          <w:lang w:val="en-US" w:eastAsia="zh-CN"/>
        </w:rPr>
      </w:pPr>
      <w:r>
        <w:rPr>
          <w:rFonts w:hint="eastAsia" w:eastAsia="仿宋_GB2312" w:cs="仿宋_GB2312"/>
          <w:sz w:val="32"/>
          <w:szCs w:val="32"/>
        </w:rPr>
        <w:t>项目</w:t>
      </w:r>
      <w:r>
        <w:rPr>
          <w:rFonts w:hint="eastAsia" w:eastAsia="仿宋_GB2312" w:cs="仿宋_GB2312"/>
          <w:sz w:val="32"/>
          <w:szCs w:val="32"/>
          <w:lang w:val="en-US" w:eastAsia="zh-CN"/>
        </w:rPr>
        <w:t>旋切、</w:t>
      </w:r>
      <w:r>
        <w:rPr>
          <w:rFonts w:hint="eastAsia" w:eastAsia="仿宋_GB2312" w:cs="仿宋_GB2312"/>
          <w:sz w:val="32"/>
          <w:szCs w:val="32"/>
        </w:rPr>
        <w:t>涂胶、热压</w:t>
      </w:r>
      <w:r>
        <w:rPr>
          <w:rFonts w:hint="eastAsia" w:eastAsia="仿宋_GB2312" w:cs="仿宋_GB2312"/>
          <w:sz w:val="32"/>
          <w:szCs w:val="32"/>
          <w:lang w:eastAsia="zh-CN"/>
        </w:rPr>
        <w:t>、</w:t>
      </w:r>
      <w:r>
        <w:rPr>
          <w:rFonts w:hint="eastAsia" w:eastAsia="仿宋_GB2312" w:cs="仿宋_GB2312"/>
          <w:sz w:val="32"/>
          <w:szCs w:val="32"/>
          <w:lang w:val="en-US" w:eastAsia="zh-CN"/>
        </w:rPr>
        <w:t>砂光、锯边、腻子调配、印字工序未收集的废气</w:t>
      </w:r>
      <w:r>
        <w:rPr>
          <w:rFonts w:hint="eastAsia" w:eastAsia="仿宋_GB2312" w:cs="仿宋_GB2312"/>
          <w:sz w:val="32"/>
          <w:szCs w:val="32"/>
        </w:rPr>
        <w:t>无组织排放。须</w:t>
      </w:r>
      <w:r>
        <w:rPr>
          <w:rFonts w:hint="eastAsia" w:eastAsia="仿宋_GB2312" w:cs="仿宋_GB2312"/>
          <w:sz w:val="32"/>
          <w:szCs w:val="32"/>
          <w:lang w:val="en-US" w:eastAsia="zh-CN"/>
        </w:rPr>
        <w:t>设置抽排风系统、加强车间通风，</w:t>
      </w:r>
      <w:r>
        <w:rPr>
          <w:rFonts w:hint="eastAsia" w:eastAsia="仿宋_GB2312" w:cs="仿宋_GB2312"/>
          <w:sz w:val="32"/>
          <w:szCs w:val="32"/>
        </w:rPr>
        <w:t>确保</w:t>
      </w:r>
      <w:r>
        <w:rPr>
          <w:rFonts w:hint="eastAsia" w:eastAsia="仿宋_GB2312" w:cs="仿宋_GB2312"/>
          <w:sz w:val="32"/>
          <w:szCs w:val="32"/>
          <w:lang w:val="en-US" w:eastAsia="zh-CN"/>
        </w:rPr>
        <w:t>厂界</w:t>
      </w:r>
      <w:r>
        <w:rPr>
          <w:rFonts w:hint="eastAsia" w:eastAsia="仿宋_GB2312" w:cs="仿宋_GB2312"/>
          <w:sz w:val="32"/>
          <w:szCs w:val="32"/>
        </w:rPr>
        <w:t>无组织外排的</w:t>
      </w:r>
      <w:r>
        <w:rPr>
          <w:rFonts w:hint="eastAsia" w:eastAsia="仿宋_GB2312" w:cs="仿宋_GB2312"/>
          <w:sz w:val="32"/>
          <w:szCs w:val="32"/>
          <w:lang w:val="en-US" w:eastAsia="zh-CN"/>
        </w:rPr>
        <w:t>颗粒物、甲醛、非甲烷总烃排放浓度</w:t>
      </w:r>
      <w:r>
        <w:rPr>
          <w:rFonts w:hint="eastAsia" w:eastAsia="仿宋_GB2312" w:cs="仿宋_GB2312"/>
          <w:sz w:val="32"/>
          <w:szCs w:val="32"/>
        </w:rPr>
        <w:t>能够达到</w:t>
      </w:r>
      <w:r>
        <w:rPr>
          <w:rFonts w:hint="eastAsia" w:eastAsia="仿宋_GB2312" w:cs="仿宋_GB2312"/>
          <w:sz w:val="32"/>
          <w:szCs w:val="32"/>
          <w:lang w:val="en-US" w:eastAsia="zh-CN"/>
        </w:rPr>
        <w:t>GB 16297-1996《大气污染物综合排放标准》表2新污染源大气污染物排放限值中无组织排放监控浓度限值标准要求；厂区内非甲烷总烃无组织排放浓度达到GB 37822-2019《挥发性有机物无组织排放控制标准》中表A.1厂区内VOCs无组织排放限值要求。</w:t>
      </w:r>
    </w:p>
    <w:p w14:paraId="175D8A95">
      <w:pPr>
        <w:pStyle w:val="57"/>
        <w:keepNext w:val="0"/>
        <w:keepLines w:val="0"/>
        <w:pageBreakBefore w:val="0"/>
        <w:widowControl w:val="0"/>
        <w:numPr>
          <w:ilvl w:val="2"/>
          <w:numId w:val="2"/>
        </w:numPr>
        <w:kinsoku/>
        <w:wordWrap/>
        <w:overflowPunct/>
        <w:topLinePunct w:val="0"/>
        <w:autoSpaceDE/>
        <w:autoSpaceDN/>
        <w:bidi w:val="0"/>
        <w:adjustRightInd/>
        <w:snapToGrid/>
        <w:spacing w:line="520" w:lineRule="exact"/>
        <w:ind w:left="0" w:firstLine="420" w:firstLineChars="0"/>
        <w:jc w:val="distribute"/>
        <w:textAlignment w:val="auto"/>
        <w:rPr>
          <w:rFonts w:hint="eastAsia" w:eastAsia="仿宋_GB2312" w:cs="仿宋_GB2312"/>
          <w:color w:val="000000"/>
          <w:sz w:val="32"/>
          <w:szCs w:val="32"/>
          <w:lang w:val="en-US" w:eastAsia="zh-CN"/>
        </w:rPr>
      </w:pPr>
      <w:r>
        <w:rPr>
          <w:rFonts w:hint="eastAsia" w:eastAsia="仿宋_GB2312" w:cs="仿宋_GB2312"/>
          <w:color w:val="000000"/>
          <w:sz w:val="32"/>
          <w:szCs w:val="32"/>
        </w:rPr>
        <w:t>项目无生产废水</w:t>
      </w:r>
      <w:r>
        <w:rPr>
          <w:rFonts w:hint="eastAsia" w:eastAsia="仿宋_GB2312" w:cs="仿宋_GB2312"/>
          <w:color w:val="000000"/>
          <w:sz w:val="32"/>
          <w:szCs w:val="32"/>
          <w:lang w:val="en-US" w:eastAsia="zh-CN"/>
        </w:rPr>
        <w:t>外排</w:t>
      </w:r>
      <w:r>
        <w:rPr>
          <w:rFonts w:hint="eastAsia" w:eastAsia="仿宋_GB2312" w:cs="仿宋_GB2312"/>
          <w:color w:val="000000"/>
          <w:sz w:val="32"/>
          <w:szCs w:val="32"/>
          <w:lang w:eastAsia="zh-CN"/>
        </w:rPr>
        <w:t>，</w:t>
      </w:r>
      <w:r>
        <w:rPr>
          <w:rFonts w:hint="eastAsia" w:eastAsia="仿宋_GB2312" w:cs="仿宋_GB2312"/>
          <w:color w:val="000000"/>
          <w:sz w:val="32"/>
          <w:szCs w:val="32"/>
          <w:lang w:val="en-US" w:eastAsia="zh-CN"/>
        </w:rPr>
        <w:t>蒸汽发生器排污水用于厂区洒水降尘后全部蒸发损耗；项目生活污水经化粪池处理达到</w:t>
      </w:r>
    </w:p>
    <w:p w14:paraId="546307BA">
      <w:pPr>
        <w:pStyle w:val="57"/>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eastAsia="仿宋_GB2312" w:cs="仿宋_GB2312"/>
          <w:color w:val="000000"/>
          <w:sz w:val="32"/>
          <w:szCs w:val="32"/>
          <w:lang w:val="en-US" w:eastAsia="zh-CN"/>
        </w:rPr>
      </w:pPr>
      <w:r>
        <w:rPr>
          <w:rFonts w:hint="eastAsia" w:eastAsia="仿宋_GB2312" w:cs="仿宋_GB2312"/>
          <w:color w:val="000000"/>
          <w:sz w:val="32"/>
          <w:szCs w:val="32"/>
          <w:lang w:val="en-US" w:eastAsia="zh-CN"/>
        </w:rPr>
        <w:t>GB 8978-1996《污水综合排放标准》三级标准后通过市政污水管网排入沙埔污水处理厂处理。</w:t>
      </w:r>
    </w:p>
    <w:p w14:paraId="142E1DAA">
      <w:pPr>
        <w:pStyle w:val="57"/>
        <w:keepNext w:val="0"/>
        <w:keepLines w:val="0"/>
        <w:pageBreakBefore w:val="0"/>
        <w:widowControl w:val="0"/>
        <w:numPr>
          <w:ilvl w:val="2"/>
          <w:numId w:val="2"/>
        </w:numPr>
        <w:kinsoku/>
        <w:wordWrap/>
        <w:overflowPunct/>
        <w:topLinePunct w:val="0"/>
        <w:autoSpaceDE/>
        <w:autoSpaceDN/>
        <w:bidi w:val="0"/>
        <w:adjustRightInd/>
        <w:snapToGrid/>
        <w:spacing w:line="520" w:lineRule="exact"/>
        <w:ind w:left="0" w:firstLine="420" w:firstLineChars="0"/>
        <w:jc w:val="both"/>
        <w:textAlignment w:val="auto"/>
        <w:rPr>
          <w:rFonts w:eastAsia="仿宋_GB2312" w:cs="仿宋_GB2312"/>
          <w:color w:val="000000"/>
          <w:sz w:val="32"/>
          <w:szCs w:val="32"/>
        </w:rPr>
      </w:pPr>
      <w:r>
        <w:rPr>
          <w:rFonts w:hint="eastAsia" w:eastAsia="仿宋_GB2312" w:cs="仿宋_GB2312"/>
          <w:color w:val="000000"/>
          <w:sz w:val="32"/>
          <w:szCs w:val="32"/>
        </w:rPr>
        <w:t>优化总平面布置，选择低噪先进的设备。</w:t>
      </w:r>
      <w:r>
        <w:rPr>
          <w:rFonts w:hint="eastAsia" w:eastAsia="仿宋_GB2312" w:cs="仿宋_GB2312"/>
          <w:color w:val="000000"/>
          <w:sz w:val="32"/>
          <w:szCs w:val="32"/>
          <w:lang w:val="en-US" w:eastAsia="zh-CN"/>
        </w:rPr>
        <w:t>对噪声源较大的锯边机、抛光机、排板机、冷压机、热压机、风机等高噪声设备采取消声、减振措施后，</w:t>
      </w:r>
      <w:r>
        <w:rPr>
          <w:rFonts w:hint="eastAsia" w:eastAsia="仿宋_GB2312" w:cs="仿宋_GB2312"/>
          <w:color w:val="000000"/>
          <w:sz w:val="32"/>
          <w:szCs w:val="32"/>
        </w:rPr>
        <w:t>确保厂界噪声达到GB</w:t>
      </w:r>
      <w:r>
        <w:rPr>
          <w:rFonts w:hint="eastAsia" w:eastAsia="仿宋_GB2312" w:cs="仿宋_GB2312"/>
          <w:color w:val="000000"/>
          <w:sz w:val="32"/>
          <w:szCs w:val="32"/>
          <w:lang w:val="en-US" w:eastAsia="zh-CN"/>
        </w:rPr>
        <w:t xml:space="preserve"> </w:t>
      </w:r>
      <w:r>
        <w:rPr>
          <w:rFonts w:hint="eastAsia" w:eastAsia="仿宋_GB2312" w:cs="仿宋_GB2312"/>
          <w:color w:val="000000"/>
          <w:sz w:val="32"/>
          <w:szCs w:val="32"/>
        </w:rPr>
        <w:t>12348-2008《工业企业厂界环境噪声排放标准</w:t>
      </w:r>
      <w:r>
        <w:rPr>
          <w:rFonts w:hint="eastAsia" w:eastAsia="仿宋_GB2312" w:cs="仿宋_GB2312"/>
          <w:sz w:val="32"/>
          <w:szCs w:val="32"/>
        </w:rPr>
        <w:t>》3类标准。</w:t>
      </w:r>
    </w:p>
    <w:p w14:paraId="4B04FABA">
      <w:pPr>
        <w:pStyle w:val="57"/>
        <w:keepNext w:val="0"/>
        <w:keepLines w:val="0"/>
        <w:pageBreakBefore w:val="0"/>
        <w:widowControl w:val="0"/>
        <w:numPr>
          <w:ilvl w:val="2"/>
          <w:numId w:val="2"/>
        </w:numPr>
        <w:kinsoku/>
        <w:wordWrap/>
        <w:overflowPunct/>
        <w:topLinePunct w:val="0"/>
        <w:autoSpaceDE/>
        <w:autoSpaceDN/>
        <w:bidi w:val="0"/>
        <w:adjustRightInd/>
        <w:snapToGrid/>
        <w:spacing w:line="520" w:lineRule="exact"/>
        <w:ind w:left="0" w:firstLine="420" w:firstLineChars="0"/>
        <w:textAlignment w:val="auto"/>
        <w:rPr>
          <w:rFonts w:hint="eastAsia" w:eastAsia="仿宋_GB2312" w:cs="仿宋_GB2312"/>
          <w:color w:val="000000"/>
          <w:sz w:val="32"/>
          <w:szCs w:val="32"/>
          <w:lang w:val="en-US" w:eastAsia="zh-CN"/>
        </w:rPr>
      </w:pPr>
      <w:r>
        <w:rPr>
          <w:rFonts w:hint="eastAsia" w:eastAsia="仿宋_GB2312" w:cs="仿宋_GB2312"/>
          <w:color w:val="000000"/>
          <w:sz w:val="32"/>
          <w:szCs w:val="32"/>
        </w:rPr>
        <w:t>做好一般固体废物的综合利用和妥善处置工作。</w:t>
      </w:r>
      <w:r>
        <w:rPr>
          <w:rFonts w:hint="eastAsia" w:eastAsia="仿宋_GB2312" w:cs="仿宋_GB2312"/>
          <w:color w:val="000000"/>
          <w:sz w:val="32"/>
          <w:szCs w:val="32"/>
          <w:lang w:val="en-US" w:eastAsia="zh-CN"/>
        </w:rPr>
        <w:t>项目边角料用作锅炉燃料燃烧；不合格品经重新修补后作为成品外售；木屑粉尘经收集后外售处置；炉渣、除尘器收集灰经收集后供给周边农户用作农肥；</w:t>
      </w:r>
      <w:r>
        <w:rPr>
          <w:rFonts w:hint="eastAsia" w:eastAsia="仿宋_GB2312" w:cs="仿宋_GB2312"/>
          <w:color w:val="000000" w:themeColor="text1"/>
          <w:sz w:val="32"/>
          <w:szCs w:val="32"/>
          <w:lang w:val="en-US" w:eastAsia="zh-CN"/>
          <w14:textFill>
            <w14:solidFill>
              <w14:schemeClr w14:val="tx1"/>
            </w14:solidFill>
          </w14:textFill>
        </w:rPr>
        <w:t>生活垃圾经分类收集后由环卫部门定期清运处理</w:t>
      </w:r>
      <w:r>
        <w:rPr>
          <w:rFonts w:hint="eastAsia" w:eastAsia="仿宋_GB2312" w:cs="仿宋_GB2312"/>
          <w:color w:val="000000"/>
          <w:sz w:val="32"/>
          <w:szCs w:val="32"/>
        </w:rPr>
        <w:t>。须按GB</w:t>
      </w:r>
      <w:r>
        <w:rPr>
          <w:rFonts w:hint="eastAsia" w:eastAsia="仿宋_GB2312" w:cs="仿宋_GB2312"/>
          <w:color w:val="000000"/>
          <w:sz w:val="32"/>
          <w:szCs w:val="32"/>
          <w:lang w:val="en-US" w:eastAsia="zh-CN"/>
        </w:rPr>
        <w:t xml:space="preserve"> </w:t>
      </w:r>
      <w:r>
        <w:rPr>
          <w:rFonts w:hint="eastAsia" w:eastAsia="仿宋_GB2312" w:cs="仿宋_GB2312"/>
          <w:color w:val="000000"/>
          <w:sz w:val="32"/>
          <w:szCs w:val="32"/>
        </w:rPr>
        <w:t>18599-2020《一般工业固体废物贮存和填埋污染控制标准》要求，建设规范的</w:t>
      </w:r>
      <w:r>
        <w:rPr>
          <w:rFonts w:hint="eastAsia" w:eastAsia="仿宋_GB2312" w:cs="仿宋_GB2312"/>
          <w:color w:val="000000"/>
          <w:sz w:val="32"/>
          <w:szCs w:val="32"/>
          <w:lang w:val="en-US" w:eastAsia="zh-CN"/>
        </w:rPr>
        <w:t>一般固体废物贮存设施。</w:t>
      </w:r>
    </w:p>
    <w:p w14:paraId="5A0EC403">
      <w:pPr>
        <w:pStyle w:val="57"/>
        <w:keepNext w:val="0"/>
        <w:keepLines w:val="0"/>
        <w:pageBreakBefore w:val="0"/>
        <w:widowControl w:val="0"/>
        <w:numPr>
          <w:ilvl w:val="2"/>
          <w:numId w:val="2"/>
        </w:numPr>
        <w:kinsoku/>
        <w:wordWrap/>
        <w:overflowPunct/>
        <w:topLinePunct w:val="0"/>
        <w:autoSpaceDE/>
        <w:autoSpaceDN/>
        <w:bidi w:val="0"/>
        <w:adjustRightInd/>
        <w:snapToGrid/>
        <w:spacing w:line="520" w:lineRule="exact"/>
        <w:ind w:left="0" w:firstLine="420" w:firstLineChars="0"/>
        <w:textAlignment w:val="auto"/>
        <w:rPr>
          <w:rFonts w:hint="eastAsia" w:eastAsia="仿宋_GB2312" w:cs="仿宋_GB2312"/>
          <w:color w:val="000000"/>
          <w:sz w:val="32"/>
          <w:szCs w:val="32"/>
          <w:lang w:val="en-US" w:eastAsia="zh-CN"/>
        </w:rPr>
      </w:pPr>
      <w:r>
        <w:rPr>
          <w:rFonts w:hint="eastAsia" w:eastAsia="仿宋_GB2312" w:cs="仿宋_GB2312"/>
          <w:color w:val="000000"/>
          <w:sz w:val="32"/>
          <w:szCs w:val="32"/>
          <w:lang w:val="en-US" w:eastAsia="zh-CN"/>
        </w:rPr>
        <w:t>须按GB 18597-2023《危险废物贮存污染控制标准》，建设规范的废胶渣、废活性炭、废润滑油、废润滑油桶、废含油抹布和劳保用品等的收集和临时存放设施，并设立明显的危废标志，危险废物须定期收集并交由有危险废物处置资质的单位按规定处理、处置，不得随意堆放、擅自外排。做好危险废物处置及转移联单的台账记录。</w:t>
      </w:r>
    </w:p>
    <w:p w14:paraId="639462C7">
      <w:pPr>
        <w:pStyle w:val="57"/>
        <w:keepNext w:val="0"/>
        <w:keepLines w:val="0"/>
        <w:pageBreakBefore w:val="0"/>
        <w:widowControl w:val="0"/>
        <w:numPr>
          <w:ilvl w:val="2"/>
          <w:numId w:val="2"/>
        </w:numPr>
        <w:kinsoku/>
        <w:wordWrap/>
        <w:overflowPunct/>
        <w:topLinePunct w:val="0"/>
        <w:autoSpaceDE/>
        <w:autoSpaceDN/>
        <w:bidi w:val="0"/>
        <w:adjustRightInd/>
        <w:snapToGrid/>
        <w:spacing w:line="520" w:lineRule="exact"/>
        <w:ind w:left="0" w:firstLine="420" w:firstLineChars="0"/>
        <w:jc w:val="distribute"/>
        <w:textAlignment w:val="auto"/>
        <w:rPr>
          <w:rFonts w:hint="eastAsia" w:eastAsia="仿宋_GB2312" w:cs="仿宋_GB2312"/>
          <w:color w:val="000000"/>
          <w:sz w:val="32"/>
          <w:szCs w:val="32"/>
          <w:lang w:val="en-US" w:eastAsia="zh-CN"/>
        </w:rPr>
      </w:pPr>
      <w:r>
        <w:rPr>
          <w:rFonts w:hint="eastAsia" w:eastAsia="仿宋_GB2312" w:cs="仿宋_GB2312"/>
          <w:color w:val="000000"/>
          <w:sz w:val="32"/>
          <w:szCs w:val="32"/>
          <w:lang w:val="en-US" w:eastAsia="zh-CN"/>
        </w:rPr>
        <w:t>按分区防渗原则落实各项防渗措施。参照HJ 610-2016《环境影响评价技术导则 地下水环境》中建设项目污染防控对策要求和GB 18597-2023《危险废物贮存污染控制标准》中贮存设施污染控制要求，须对工艺、管道、设备、设施采取污染防控措施，将污染物跑、冒、滴、漏降到最低限度；须对原料区（脲醛树脂胶暂存区域）、危险废物暂存间等区域按要求做好重点防渗处理；对化粪池等区域做好一般防渗处理；对除重点、一般防渗区以外的区域按要求做好简单防渗漏处理。按照</w:t>
      </w:r>
    </w:p>
    <w:p w14:paraId="56E8FEEF">
      <w:pPr>
        <w:pStyle w:val="57"/>
        <w:keepNext w:val="0"/>
        <w:keepLines w:val="0"/>
        <w:pageBreakBefore w:val="0"/>
        <w:widowControl w:val="0"/>
        <w:numPr>
          <w:ilvl w:val="0"/>
          <w:numId w:val="0"/>
        </w:numPr>
        <w:kinsoku/>
        <w:wordWrap/>
        <w:overflowPunct/>
        <w:topLinePunct w:val="0"/>
        <w:autoSpaceDE/>
        <w:autoSpaceDN/>
        <w:bidi w:val="0"/>
        <w:adjustRightInd/>
        <w:snapToGrid/>
        <w:spacing w:line="520" w:lineRule="exact"/>
        <w:jc w:val="distribute"/>
        <w:textAlignment w:val="auto"/>
        <w:rPr>
          <w:rFonts w:hint="eastAsia" w:eastAsia="仿宋_GB2312" w:cs="仿宋_GB2312"/>
          <w:color w:val="000000"/>
          <w:sz w:val="32"/>
          <w:szCs w:val="32"/>
          <w:lang w:val="en-US" w:eastAsia="zh-CN"/>
        </w:rPr>
      </w:pPr>
      <w:r>
        <w:rPr>
          <w:rFonts w:hint="eastAsia" w:eastAsia="仿宋_GB2312" w:cs="仿宋_GB2312"/>
          <w:color w:val="000000"/>
          <w:sz w:val="32"/>
          <w:szCs w:val="32"/>
          <w:lang w:val="en-US" w:eastAsia="zh-CN"/>
        </w:rPr>
        <w:t>GB 15562.1-1995《环境保护图形标志—排放口（源）》和原国家环保总局《关于开展排污口规范化整治工作的通知》（环发〔1999〕24号）附件有关规定建设规范化排污口。须按排污许</w:t>
      </w:r>
    </w:p>
    <w:p w14:paraId="32A220C6">
      <w:pPr>
        <w:pStyle w:val="57"/>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eastAsia="仿宋_GB2312" w:cs="仿宋_GB2312"/>
          <w:color w:val="000000"/>
          <w:sz w:val="32"/>
          <w:szCs w:val="32"/>
          <w:lang w:val="en-US" w:eastAsia="zh-CN"/>
        </w:rPr>
      </w:pPr>
      <w:r>
        <w:rPr>
          <w:rFonts w:hint="eastAsia" w:eastAsia="仿宋_GB2312" w:cs="仿宋_GB2312"/>
          <w:color w:val="000000"/>
          <w:sz w:val="32"/>
          <w:szCs w:val="32"/>
          <w:lang w:val="en-US" w:eastAsia="zh-CN"/>
        </w:rPr>
        <w:t>可及《报告表》的相关管理要求定期进行监测。</w:t>
      </w:r>
    </w:p>
    <w:p w14:paraId="7E619DD4">
      <w:pPr>
        <w:pStyle w:val="57"/>
        <w:keepNext w:val="0"/>
        <w:keepLines w:val="0"/>
        <w:pageBreakBefore w:val="0"/>
        <w:widowControl w:val="0"/>
        <w:numPr>
          <w:ilvl w:val="2"/>
          <w:numId w:val="2"/>
        </w:numPr>
        <w:kinsoku/>
        <w:wordWrap/>
        <w:overflowPunct/>
        <w:topLinePunct w:val="0"/>
        <w:autoSpaceDE/>
        <w:autoSpaceDN/>
        <w:bidi w:val="0"/>
        <w:adjustRightInd/>
        <w:snapToGrid/>
        <w:spacing w:line="520" w:lineRule="exact"/>
        <w:ind w:left="0" w:firstLine="420" w:firstLineChars="0"/>
        <w:textAlignment w:val="auto"/>
        <w:rPr>
          <w:rFonts w:hint="eastAsia" w:eastAsia="仿宋_GB2312" w:cs="仿宋_GB2312"/>
          <w:color w:val="000000"/>
          <w:sz w:val="32"/>
          <w:szCs w:val="32"/>
          <w:lang w:val="en-US" w:eastAsia="zh-CN"/>
        </w:rPr>
      </w:pPr>
      <w:r>
        <w:rPr>
          <w:rFonts w:hint="eastAsia" w:eastAsia="仿宋_GB2312" w:cs="仿宋_GB2312"/>
          <w:color w:val="000000"/>
          <w:sz w:val="32"/>
          <w:szCs w:val="32"/>
          <w:lang w:val="en-US" w:eastAsia="zh-CN"/>
        </w:rPr>
        <w:t>加强环境管理，落实环境保护规章制度。确保环保措施的正常运转以及各项污染物稳定达标排放。</w:t>
      </w:r>
    </w:p>
    <w:p w14:paraId="0793EFC8">
      <w:pPr>
        <w:pStyle w:val="57"/>
        <w:keepNext w:val="0"/>
        <w:keepLines w:val="0"/>
        <w:pageBreakBefore w:val="0"/>
        <w:widowControl w:val="0"/>
        <w:numPr>
          <w:ilvl w:val="2"/>
          <w:numId w:val="2"/>
        </w:numPr>
        <w:kinsoku/>
        <w:wordWrap/>
        <w:overflowPunct/>
        <w:topLinePunct w:val="0"/>
        <w:autoSpaceDE/>
        <w:autoSpaceDN/>
        <w:bidi w:val="0"/>
        <w:adjustRightInd/>
        <w:snapToGrid/>
        <w:spacing w:line="520" w:lineRule="exact"/>
        <w:ind w:left="0" w:firstLine="420" w:firstLineChars="0"/>
        <w:textAlignment w:val="auto"/>
        <w:rPr>
          <w:rFonts w:hint="eastAsia" w:eastAsia="仿宋_GB2312" w:cs="仿宋_GB2312"/>
          <w:color w:val="000000"/>
          <w:sz w:val="32"/>
          <w:szCs w:val="32"/>
          <w:lang w:val="en-US" w:eastAsia="zh-CN"/>
        </w:rPr>
      </w:pPr>
      <w:r>
        <w:rPr>
          <w:rFonts w:hint="eastAsia" w:eastAsia="仿宋_GB2312" w:cs="仿宋_GB2312"/>
          <w:color w:val="000000"/>
          <w:sz w:val="32"/>
          <w:szCs w:val="32"/>
          <w:lang w:val="en-US" w:eastAsia="zh-CN"/>
        </w:rPr>
        <w:t>按照《关于印发&lt;企业事业单位突发环境事件应急预案备案管理办法&gt;（试行）》（环发〔2015〕4号）等相关要求，开展企业突发环境事件风险评估，确定风险等级，制订突发环境事件应急预案并报当地生态主管部门备案，定期组织应急演练；按照《突发环境事件应急管理办法（试行）》（环境保护部令第34号）、《企业突发环境事件隐患排查和治理工作指南（试行）》（环境保护部公告2016年第74号）相关要求，制定环境安全隐患排查治理制度，建立隐患排查治理档案，落实相关环境风险防控措施。</w:t>
      </w:r>
    </w:p>
    <w:p w14:paraId="3074E03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eastAsia="仿宋_GB2312" w:cs="仿宋_GB2312"/>
          <w:color w:val="000000"/>
          <w:sz w:val="32"/>
          <w:szCs w:val="32"/>
          <w:lang w:val="en-US" w:eastAsia="zh-CN"/>
        </w:rPr>
      </w:pPr>
      <w:r>
        <w:rPr>
          <w:rFonts w:hint="eastAsia" w:eastAsia="仿宋_GB2312" w:cs="仿宋_GB2312"/>
          <w:color w:val="000000"/>
          <w:sz w:val="32"/>
          <w:szCs w:val="32"/>
          <w:lang w:val="en-US" w:eastAsia="zh-CN"/>
        </w:rPr>
        <w:t>三、该项目建设必须严格执行环境保护设施与主体工程同时设计、同时施工、同时投产使用的环境保护“三同时”制度，并依法申请排污许可证。在落实本批复和《报告表》提出的各项环境保护措施和要求后，建设单位可自行决定投入调试的具体时间并以书面形式向当地生态环境主管部门备案。调试生产前，建设单位应按国家和自治区有关规定进行申报排污许可证。工程建成后，须按《建设项目竣工环境保护验收暂行办法》（国环规环评〔2017〕4号）要求实施竣工环境保护验收。未落实本批复和《报告表》提出的各项环境保护措施、未取得排污许可证擅自投入调试生产、未经竣工环境验收擅自投入生产的、未向社会公开有关信息的，应承担相应的法律责任。</w:t>
      </w:r>
    </w:p>
    <w:p w14:paraId="50A4CFB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eastAsia="仿宋_GB2312" w:cs="仿宋_GB2312"/>
          <w:color w:val="000000"/>
          <w:sz w:val="32"/>
          <w:szCs w:val="32"/>
        </w:rPr>
      </w:pPr>
      <w:r>
        <w:rPr>
          <w:rFonts w:hint="eastAsia" w:eastAsia="仿宋_GB2312" w:cs="仿宋_GB2312"/>
          <w:color w:val="000000"/>
          <w:sz w:val="32"/>
          <w:szCs w:val="32"/>
          <w:lang w:val="en-US" w:eastAsia="zh-CN"/>
        </w:rPr>
        <w:t>四、建设项目的性质、规模、地点、采用的生产工艺或者防治污染、防止生态破坏的措施发生重大变动的，建设单位应当重新报批建设项目的环境影响评价文件。建设项目的环境影响评价文件自批准之日起超过五年，方决定该项目开工建设的，其环境影响评价文件应当报我局重新审核同意后方可建设。</w:t>
      </w:r>
    </w:p>
    <w:p w14:paraId="5153EBC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eastAsia="仿宋_GB2312" w:cs="仿宋_GB2312"/>
          <w:color w:val="000000"/>
          <w:sz w:val="32"/>
          <w:szCs w:val="32"/>
          <w:lang w:val="en-US" w:eastAsia="zh-CN"/>
        </w:rPr>
      </w:pPr>
      <w:r>
        <w:rPr>
          <w:rFonts w:hint="eastAsia" w:eastAsia="仿宋_GB2312" w:cs="仿宋_GB2312"/>
          <w:color w:val="000000"/>
          <w:sz w:val="32"/>
          <w:szCs w:val="32"/>
          <w:lang w:val="en-US" w:eastAsia="zh-CN"/>
        </w:rPr>
        <w:t>五、建设单位自收到本批复之日起5个工作日内，将批复文件及批准后的《报告表》（报批稿）送达柳州市柳城生态环境局，并按规定接受辖区生态环境部门的监管检查。</w:t>
      </w:r>
    </w:p>
    <w:p w14:paraId="0607436F">
      <w:pPr>
        <w:pStyle w:val="5"/>
        <w:rPr>
          <w:rFonts w:hint="eastAsia"/>
        </w:rPr>
      </w:pPr>
    </w:p>
    <w:p w14:paraId="774291FF">
      <w:pPr>
        <w:spacing w:line="560" w:lineRule="exact"/>
        <w:ind w:firstLine="640" w:firstLineChars="200"/>
        <w:jc w:val="right"/>
        <w:rPr>
          <w:rFonts w:eastAsia="仿宋_GB2312" w:cs="仿宋_GB2312"/>
          <w:color w:val="000000"/>
          <w:sz w:val="32"/>
          <w:szCs w:val="32"/>
        </w:rPr>
      </w:pPr>
      <w:r>
        <w:rPr>
          <w:rFonts w:hint="eastAsia" w:eastAsia="仿宋_GB2312" w:cs="仿宋_GB2312"/>
          <w:color w:val="000000"/>
          <w:sz w:val="32"/>
          <w:szCs w:val="32"/>
        </w:rPr>
        <w:t>202</w:t>
      </w:r>
      <w:r>
        <w:rPr>
          <w:rFonts w:hint="eastAsia" w:eastAsia="仿宋_GB2312" w:cs="仿宋_GB2312"/>
          <w:color w:val="000000"/>
          <w:sz w:val="32"/>
          <w:szCs w:val="32"/>
          <w:lang w:val="en-US" w:eastAsia="zh-CN"/>
        </w:rPr>
        <w:t>6</w:t>
      </w:r>
      <w:r>
        <w:rPr>
          <w:rFonts w:hint="eastAsia" w:eastAsia="仿宋_GB2312" w:cs="仿宋_GB2312"/>
          <w:color w:val="000000"/>
          <w:sz w:val="32"/>
          <w:szCs w:val="32"/>
        </w:rPr>
        <w:t>年</w:t>
      </w:r>
      <w:r>
        <w:rPr>
          <w:rFonts w:hint="eastAsia" w:eastAsia="仿宋_GB2312" w:cs="仿宋_GB2312"/>
          <w:color w:val="000000"/>
          <w:sz w:val="32"/>
          <w:szCs w:val="32"/>
          <w:lang w:val="en-US" w:eastAsia="zh-CN"/>
        </w:rPr>
        <w:t>8</w:t>
      </w:r>
      <w:r>
        <w:rPr>
          <w:rFonts w:hint="eastAsia" w:eastAsia="仿宋_GB2312" w:cs="仿宋_GB2312"/>
          <w:color w:val="000000"/>
          <w:sz w:val="32"/>
          <w:szCs w:val="32"/>
        </w:rPr>
        <w:t>月</w:t>
      </w:r>
      <w:r>
        <w:rPr>
          <w:rFonts w:hint="eastAsia" w:eastAsia="仿宋_GB2312" w:cs="仿宋_GB2312"/>
          <w:color w:val="000000"/>
          <w:sz w:val="32"/>
          <w:szCs w:val="32"/>
          <w:lang w:val="en-US" w:eastAsia="zh-CN"/>
        </w:rPr>
        <w:t>31</w:t>
      </w:r>
      <w:r>
        <w:rPr>
          <w:rFonts w:hint="eastAsia" w:eastAsia="仿宋_GB2312" w:cs="仿宋_GB2312"/>
          <w:color w:val="000000"/>
          <w:sz w:val="32"/>
          <w:szCs w:val="32"/>
        </w:rPr>
        <w:t>日</w:t>
      </w:r>
    </w:p>
    <w:p w14:paraId="5F9B7DF8">
      <w:pPr>
        <w:pStyle w:val="40"/>
        <w:spacing w:beforeLines="0" w:line="240" w:lineRule="auto"/>
        <w:ind w:right="0" w:rightChars="0" w:firstLine="640"/>
        <w:jc w:val="both"/>
        <w:rPr>
          <w:rFonts w:hint="eastAsia" w:ascii="Times New Roman" w:hAnsi="Times New Roman" w:eastAsia="仿宋_GB2312" w:cs="仿宋_GB2312"/>
          <w:color w:val="000000"/>
          <w:lang w:eastAsia="zh-CN"/>
        </w:rPr>
      </w:pPr>
      <w:r>
        <w:rPr>
          <w:rFonts w:hint="eastAsia" w:ascii="Times New Roman" w:hAnsi="Times New Roman" w:eastAsia="仿宋_GB2312" w:cs="仿宋_GB2312"/>
          <w:color w:val="000000"/>
        </w:rPr>
        <w:t>（此件公开发布）</w:t>
      </w:r>
    </w:p>
    <w:p w14:paraId="54DEFF16">
      <w:pPr>
        <w:pStyle w:val="40"/>
        <w:spacing w:beforeLines="0" w:line="240" w:lineRule="auto"/>
        <w:ind w:right="0" w:rightChars="0" w:firstLine="0" w:firstLineChars="0"/>
        <w:jc w:val="both"/>
        <w:rPr>
          <w:rFonts w:hint="eastAsia" w:ascii="Times New Roman" w:hAnsi="Times New Roman" w:eastAsia="仿宋_GB2312" w:cs="仿宋_GB2312"/>
          <w:color w:val="000000"/>
          <w:lang w:eastAsia="zh-CN"/>
        </w:rPr>
      </w:pPr>
    </w:p>
    <w:p w14:paraId="578C8404">
      <w:pPr>
        <w:pStyle w:val="40"/>
        <w:spacing w:beforeLines="0" w:line="240" w:lineRule="auto"/>
        <w:ind w:right="0" w:rightChars="0" w:firstLine="0" w:firstLineChars="0"/>
        <w:jc w:val="both"/>
        <w:rPr>
          <w:rFonts w:hint="eastAsia" w:ascii="Times New Roman" w:hAnsi="Times New Roman" w:eastAsia="仿宋_GB2312" w:cs="仿宋_GB2312"/>
          <w:color w:val="000000"/>
          <w:lang w:eastAsia="zh-CN"/>
        </w:rPr>
      </w:pPr>
    </w:p>
    <w:p w14:paraId="645D2E9E">
      <w:pPr>
        <w:pStyle w:val="40"/>
        <w:spacing w:beforeLines="0" w:line="240" w:lineRule="auto"/>
        <w:ind w:right="0" w:rightChars="0" w:firstLine="0" w:firstLineChars="0"/>
        <w:jc w:val="both"/>
        <w:rPr>
          <w:rFonts w:hint="eastAsia" w:ascii="Times New Roman" w:hAnsi="Times New Roman" w:eastAsia="仿宋_GB2312" w:cs="仿宋_GB2312"/>
          <w:color w:val="000000"/>
          <w:lang w:eastAsia="zh-CN"/>
        </w:rPr>
      </w:pPr>
    </w:p>
    <w:p w14:paraId="62DF83D1">
      <w:pPr>
        <w:pStyle w:val="40"/>
        <w:spacing w:beforeLines="0" w:line="240" w:lineRule="auto"/>
        <w:ind w:right="0" w:rightChars="0" w:firstLine="0" w:firstLineChars="0"/>
        <w:jc w:val="both"/>
        <w:rPr>
          <w:rFonts w:hint="eastAsia" w:ascii="Times New Roman" w:hAnsi="Times New Roman" w:eastAsia="仿宋_GB2312" w:cs="仿宋_GB2312"/>
          <w:color w:val="000000"/>
          <w:lang w:eastAsia="zh-CN"/>
        </w:rPr>
      </w:pPr>
    </w:p>
    <w:p w14:paraId="5308F49A">
      <w:pPr>
        <w:pStyle w:val="40"/>
        <w:spacing w:beforeLines="0" w:line="240" w:lineRule="auto"/>
        <w:ind w:right="0" w:rightChars="0" w:firstLine="0" w:firstLineChars="0"/>
        <w:jc w:val="both"/>
        <w:rPr>
          <w:rFonts w:hint="eastAsia" w:ascii="Times New Roman" w:hAnsi="Times New Roman" w:eastAsia="仿宋_GB2312" w:cs="仿宋_GB2312"/>
          <w:color w:val="000000"/>
          <w:lang w:eastAsia="zh-CN"/>
        </w:rPr>
      </w:pPr>
    </w:p>
    <w:p w14:paraId="3FB52E83">
      <w:pPr>
        <w:pStyle w:val="40"/>
        <w:spacing w:beforeLines="0" w:line="240" w:lineRule="auto"/>
        <w:ind w:right="0" w:rightChars="0" w:firstLine="0" w:firstLineChars="0"/>
        <w:jc w:val="both"/>
        <w:rPr>
          <w:rFonts w:hint="eastAsia" w:ascii="Times New Roman" w:hAnsi="Times New Roman" w:eastAsia="仿宋_GB2312" w:cs="仿宋_GB2312"/>
          <w:color w:val="000000"/>
          <w:lang w:eastAsia="zh-CN"/>
        </w:rPr>
      </w:pPr>
    </w:p>
    <w:p w14:paraId="4849EA0E">
      <w:pPr>
        <w:pStyle w:val="40"/>
        <w:spacing w:beforeLines="0" w:line="240" w:lineRule="auto"/>
        <w:ind w:right="0" w:rightChars="0" w:firstLine="0" w:firstLineChars="0"/>
        <w:jc w:val="both"/>
        <w:rPr>
          <w:rFonts w:hint="eastAsia" w:ascii="Times New Roman" w:hAnsi="Times New Roman" w:eastAsia="仿宋_GB2312" w:cs="仿宋_GB2312"/>
          <w:color w:val="000000"/>
          <w:lang w:eastAsia="zh-CN"/>
        </w:rPr>
      </w:pPr>
    </w:p>
    <w:p w14:paraId="366AC170">
      <w:pPr>
        <w:pStyle w:val="40"/>
        <w:spacing w:beforeLines="0" w:line="240" w:lineRule="auto"/>
        <w:ind w:right="0" w:rightChars="0" w:firstLine="0" w:firstLineChars="0"/>
        <w:jc w:val="both"/>
        <w:rPr>
          <w:rFonts w:hint="eastAsia" w:ascii="Times New Roman" w:hAnsi="Times New Roman" w:eastAsia="仿宋_GB2312" w:cs="仿宋_GB2312"/>
          <w:color w:val="000000"/>
          <w:lang w:eastAsia="zh-CN"/>
        </w:rPr>
      </w:pPr>
    </w:p>
    <w:p w14:paraId="2DFAC362">
      <w:pPr>
        <w:pStyle w:val="40"/>
        <w:spacing w:beforeLines="0" w:line="240" w:lineRule="auto"/>
        <w:ind w:right="0" w:rightChars="0" w:firstLine="0" w:firstLineChars="0"/>
        <w:jc w:val="both"/>
        <w:rPr>
          <w:rFonts w:hint="eastAsia" w:ascii="Times New Roman" w:hAnsi="Times New Roman" w:eastAsia="仿宋_GB2312" w:cs="仿宋_GB2312"/>
          <w:color w:val="000000"/>
          <w:lang w:eastAsia="zh-CN"/>
        </w:rPr>
      </w:pPr>
    </w:p>
    <w:p w14:paraId="69509CC7">
      <w:pPr>
        <w:pStyle w:val="40"/>
        <w:spacing w:beforeLines="0" w:line="240" w:lineRule="auto"/>
        <w:ind w:right="0" w:rightChars="0" w:firstLine="0" w:firstLineChars="0"/>
        <w:jc w:val="both"/>
        <w:rPr>
          <w:rFonts w:hint="eastAsia" w:ascii="Times New Roman" w:hAnsi="Times New Roman" w:eastAsia="仿宋_GB2312" w:cs="仿宋_GB2312"/>
          <w:color w:val="000000"/>
          <w:lang w:eastAsia="zh-CN"/>
        </w:rPr>
      </w:pPr>
    </w:p>
    <w:p w14:paraId="23649BEE">
      <w:pPr>
        <w:spacing w:line="480" w:lineRule="exact"/>
        <w:jc w:val="distribute"/>
        <w:rPr>
          <w:rFonts w:eastAsia="仿宋_GB2312" w:cs="仿宋_GB2312"/>
          <w:bCs/>
          <w:color w:val="000000"/>
          <w:sz w:val="28"/>
          <w:szCs w:val="28"/>
          <w:u w:val="single"/>
        </w:rPr>
      </w:pPr>
      <w:r>
        <w:rPr>
          <w:rFonts w:hint="eastAsia" w:eastAsia="仿宋_GB2312" w:cs="仿宋_GB2312"/>
          <w:bCs/>
          <w:color w:val="000000"/>
          <w:sz w:val="28"/>
          <w:szCs w:val="28"/>
          <w:u w:val="single"/>
        </w:rPr>
        <w:t>投资项目在线审批监管平台项目代码：2606-450222-04-01-180777</w:t>
      </w:r>
    </w:p>
    <w:p w14:paraId="10E68079">
      <w:pPr>
        <w:spacing w:line="480" w:lineRule="exact"/>
        <w:rPr>
          <w:rFonts w:eastAsia="仿宋_GB2312" w:cs="仿宋_GB2312"/>
          <w:color w:val="000000"/>
          <w:sz w:val="30"/>
          <w:u w:val="single"/>
        </w:rPr>
      </w:pPr>
      <w:r>
        <w:rPr>
          <w:rFonts w:hint="eastAsia" w:eastAsia="仿宋_GB2312" w:cs="仿宋_GB2312"/>
          <w:color w:val="000000"/>
          <w:sz w:val="32"/>
          <w:szCs w:val="32"/>
          <w:u w:val="single"/>
        </w:rPr>
        <w:t xml:space="preserve">抄送:柳州市柳城生态环境局                               </w:t>
      </w:r>
    </w:p>
    <w:p w14:paraId="0E421231">
      <w:pPr>
        <w:pStyle w:val="39"/>
        <w:ind w:firstLine="0" w:firstLineChars="0"/>
        <w:jc w:val="center"/>
        <w:rPr>
          <w:rFonts w:ascii="仿宋_GB2312" w:hAnsi="仿宋_GB2312" w:eastAsia="仿宋_GB2312" w:cs="仿宋_GB2312"/>
          <w:color w:val="000000"/>
          <w:u w:val="single"/>
        </w:rPr>
      </w:pPr>
      <w:r>
        <w:rPr>
          <w:rFonts w:hint="eastAsia" w:eastAsia="仿宋_GB2312" w:cs="仿宋_GB2312"/>
          <w:color w:val="000000"/>
          <w:u w:val="single"/>
        </w:rPr>
        <w:t xml:space="preserve">柳城县行政审批局       </w:t>
      </w:r>
      <w:r>
        <w:rPr>
          <w:rFonts w:hint="eastAsia" w:eastAsia="仿宋_GB2312" w:cs="仿宋_GB2312"/>
          <w:color w:val="000000"/>
          <w:u w:val="single"/>
          <w:lang w:val="en-US" w:eastAsia="zh-CN"/>
        </w:rPr>
        <w:t xml:space="preserve">  </w:t>
      </w:r>
      <w:r>
        <w:rPr>
          <w:rFonts w:hint="eastAsia" w:eastAsia="仿宋_GB2312" w:cs="仿宋_GB2312"/>
          <w:color w:val="000000"/>
          <w:u w:val="single"/>
        </w:rPr>
        <w:t xml:space="preserve">           202</w:t>
      </w:r>
      <w:r>
        <w:rPr>
          <w:rFonts w:hint="eastAsia" w:eastAsia="仿宋_GB2312" w:cs="仿宋_GB2312"/>
          <w:color w:val="000000"/>
          <w:u w:val="single"/>
          <w:lang w:val="en-US" w:eastAsia="zh-CN"/>
        </w:rPr>
        <w:t>6</w:t>
      </w:r>
      <w:r>
        <w:rPr>
          <w:rFonts w:hint="eastAsia" w:eastAsia="仿宋_GB2312" w:cs="仿宋_GB2312"/>
          <w:color w:val="000000"/>
          <w:u w:val="single"/>
        </w:rPr>
        <w:t>年</w:t>
      </w:r>
      <w:r>
        <w:rPr>
          <w:rFonts w:hint="eastAsia" w:eastAsia="仿宋_GB2312" w:cs="仿宋_GB2312"/>
          <w:color w:val="000000"/>
          <w:u w:val="single"/>
          <w:lang w:val="en-US" w:eastAsia="zh-CN"/>
        </w:rPr>
        <w:t>8</w:t>
      </w:r>
      <w:r>
        <w:rPr>
          <w:rFonts w:hint="eastAsia" w:eastAsia="仿宋_GB2312" w:cs="仿宋_GB2312"/>
          <w:color w:val="000000"/>
          <w:u w:val="single"/>
        </w:rPr>
        <w:t>月</w:t>
      </w:r>
      <w:r>
        <w:rPr>
          <w:rFonts w:hint="eastAsia" w:eastAsia="仿宋_GB2312" w:cs="仿宋_GB2312"/>
          <w:color w:val="000000"/>
          <w:u w:val="single"/>
          <w:lang w:val="en-US" w:eastAsia="zh-CN"/>
        </w:rPr>
        <w:t>31</w:t>
      </w:r>
      <w:r>
        <w:rPr>
          <w:rFonts w:hint="eastAsia" w:eastAsia="仿宋_GB2312" w:cs="仿宋_GB2312"/>
          <w:color w:val="000000"/>
          <w:u w:val="single"/>
        </w:rPr>
        <w:t>日印发</w:t>
      </w:r>
    </w:p>
    <w:sectPr>
      <w:headerReference r:id="rId3" w:type="default"/>
      <w:footerReference r:id="rId4" w:type="default"/>
      <w:footerReference r:id="rId5"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E2C07">
    <w:pPr>
      <w:pStyle w:val="14"/>
      <w:jc w:val="center"/>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lang w:val="zh-CN"/>
      </w:rPr>
      <w:t>1</w:t>
    </w:r>
    <w:r>
      <w:rPr>
        <w:sz w:val="32"/>
        <w:szCs w:val="32"/>
        <w:lang w:val="zh-CN"/>
      </w:rPr>
      <w:fldChar w:fldCharType="end"/>
    </w:r>
  </w:p>
  <w:p w14:paraId="3167E61B">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D47AA">
    <w:pPr>
      <w:pStyle w:val="14"/>
      <w:jc w:val="center"/>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lang w:val="zh-CN"/>
      </w:rPr>
      <w:t>6</w:t>
    </w:r>
    <w:r>
      <w:rPr>
        <w:sz w:val="32"/>
        <w:szCs w:val="32"/>
        <w:lang w:val="zh-CN"/>
      </w:rPr>
      <w:fldChar w:fldCharType="end"/>
    </w:r>
  </w:p>
  <w:p w14:paraId="1D42424F">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10E48">
    <w:pPr>
      <w:pStyle w:val="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97F040"/>
    <w:multiLevelType w:val="singleLevel"/>
    <w:tmpl w:val="EF97F040"/>
    <w:lvl w:ilvl="0" w:tentative="0">
      <w:start w:val="1"/>
      <w:numFmt w:val="chineseCounting"/>
      <w:suff w:val="nothing"/>
      <w:lvlText w:val="%1、"/>
      <w:lvlJc w:val="left"/>
      <w:rPr>
        <w:rFonts w:hint="eastAsia"/>
      </w:rPr>
    </w:lvl>
  </w:abstractNum>
  <w:abstractNum w:abstractNumId="1">
    <w:nsid w:val="67155292"/>
    <w:multiLevelType w:val="multilevel"/>
    <w:tmpl w:val="67155292"/>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chineseCountingThousand"/>
      <w:suff w:val="nothing"/>
      <w:lvlText w:val="（%3）"/>
      <w:lvlJc w:val="lef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NhNDg1MTYwMjY5ZWFjMzhlZmRhZTkzZTY4NzdiMzgifQ=="/>
  </w:docVars>
  <w:rsids>
    <w:rsidRoot w:val="00172A27"/>
    <w:rsid w:val="00172A27"/>
    <w:rsid w:val="001922CC"/>
    <w:rsid w:val="00206813"/>
    <w:rsid w:val="002417E1"/>
    <w:rsid w:val="00255C08"/>
    <w:rsid w:val="00395B51"/>
    <w:rsid w:val="003A481E"/>
    <w:rsid w:val="0051438B"/>
    <w:rsid w:val="005C1AC5"/>
    <w:rsid w:val="005D2033"/>
    <w:rsid w:val="005F72A2"/>
    <w:rsid w:val="00646AD1"/>
    <w:rsid w:val="00663F54"/>
    <w:rsid w:val="007315F5"/>
    <w:rsid w:val="00770B2A"/>
    <w:rsid w:val="009269D4"/>
    <w:rsid w:val="00944E16"/>
    <w:rsid w:val="009F57AD"/>
    <w:rsid w:val="00AC411B"/>
    <w:rsid w:val="00B051A8"/>
    <w:rsid w:val="00B202D5"/>
    <w:rsid w:val="00D1559E"/>
    <w:rsid w:val="00D760D3"/>
    <w:rsid w:val="00FC2277"/>
    <w:rsid w:val="012515C4"/>
    <w:rsid w:val="01EE7C08"/>
    <w:rsid w:val="0252066A"/>
    <w:rsid w:val="03B70064"/>
    <w:rsid w:val="04311444"/>
    <w:rsid w:val="049F2426"/>
    <w:rsid w:val="05A04E96"/>
    <w:rsid w:val="05E05A25"/>
    <w:rsid w:val="06053772"/>
    <w:rsid w:val="077A3D48"/>
    <w:rsid w:val="086E3851"/>
    <w:rsid w:val="095A6639"/>
    <w:rsid w:val="09B41D7B"/>
    <w:rsid w:val="0A410022"/>
    <w:rsid w:val="0A4D58DB"/>
    <w:rsid w:val="0A562A0F"/>
    <w:rsid w:val="0B5A4560"/>
    <w:rsid w:val="0B8B77B4"/>
    <w:rsid w:val="0C0F48D5"/>
    <w:rsid w:val="0CCC4FEA"/>
    <w:rsid w:val="0E7A1DC9"/>
    <w:rsid w:val="0EE77EB9"/>
    <w:rsid w:val="0F3C2D50"/>
    <w:rsid w:val="0FD80215"/>
    <w:rsid w:val="0FE61D4E"/>
    <w:rsid w:val="0FFA73AA"/>
    <w:rsid w:val="10D00A20"/>
    <w:rsid w:val="118218DF"/>
    <w:rsid w:val="126E7D28"/>
    <w:rsid w:val="12AA36D7"/>
    <w:rsid w:val="13BD0334"/>
    <w:rsid w:val="14C20BA7"/>
    <w:rsid w:val="14CC4A81"/>
    <w:rsid w:val="1546136E"/>
    <w:rsid w:val="155D4BD3"/>
    <w:rsid w:val="156839A2"/>
    <w:rsid w:val="16290DB7"/>
    <w:rsid w:val="17214184"/>
    <w:rsid w:val="182757CA"/>
    <w:rsid w:val="18B0569B"/>
    <w:rsid w:val="192B21BE"/>
    <w:rsid w:val="1C5823F6"/>
    <w:rsid w:val="1E056F6B"/>
    <w:rsid w:val="1E4E7B4F"/>
    <w:rsid w:val="1E641526"/>
    <w:rsid w:val="20012DA5"/>
    <w:rsid w:val="21F661EB"/>
    <w:rsid w:val="229F4686"/>
    <w:rsid w:val="22F555B9"/>
    <w:rsid w:val="23A07929"/>
    <w:rsid w:val="246C599D"/>
    <w:rsid w:val="247C6E9E"/>
    <w:rsid w:val="249F2884"/>
    <w:rsid w:val="24D44515"/>
    <w:rsid w:val="261210A3"/>
    <w:rsid w:val="27F21951"/>
    <w:rsid w:val="28DC5364"/>
    <w:rsid w:val="29EE7EF6"/>
    <w:rsid w:val="2B1D7ED3"/>
    <w:rsid w:val="2C5C383D"/>
    <w:rsid w:val="2C641C43"/>
    <w:rsid w:val="2E82647A"/>
    <w:rsid w:val="2EA210B7"/>
    <w:rsid w:val="2ED87595"/>
    <w:rsid w:val="321F6D79"/>
    <w:rsid w:val="322F37A1"/>
    <w:rsid w:val="32F62A82"/>
    <w:rsid w:val="340071A3"/>
    <w:rsid w:val="347033B1"/>
    <w:rsid w:val="362514DE"/>
    <w:rsid w:val="37FD6B8A"/>
    <w:rsid w:val="38E0334C"/>
    <w:rsid w:val="39990C41"/>
    <w:rsid w:val="3B0D21A6"/>
    <w:rsid w:val="3B1B0AD4"/>
    <w:rsid w:val="3B4B3979"/>
    <w:rsid w:val="3B844B5E"/>
    <w:rsid w:val="3C29347A"/>
    <w:rsid w:val="3C356139"/>
    <w:rsid w:val="3E793E15"/>
    <w:rsid w:val="40CA275D"/>
    <w:rsid w:val="40D35433"/>
    <w:rsid w:val="42CD0DF5"/>
    <w:rsid w:val="43000F6E"/>
    <w:rsid w:val="43301127"/>
    <w:rsid w:val="43810201"/>
    <w:rsid w:val="438D657A"/>
    <w:rsid w:val="43FE2FD4"/>
    <w:rsid w:val="44056A46"/>
    <w:rsid w:val="4491418D"/>
    <w:rsid w:val="44AF6A91"/>
    <w:rsid w:val="457E617A"/>
    <w:rsid w:val="45A21C32"/>
    <w:rsid w:val="4715312D"/>
    <w:rsid w:val="477E5958"/>
    <w:rsid w:val="480F6AC9"/>
    <w:rsid w:val="4C9469A0"/>
    <w:rsid w:val="4F0022F6"/>
    <w:rsid w:val="4FFC428F"/>
    <w:rsid w:val="500E27F0"/>
    <w:rsid w:val="50D61560"/>
    <w:rsid w:val="51131FD5"/>
    <w:rsid w:val="5147767D"/>
    <w:rsid w:val="52803030"/>
    <w:rsid w:val="52EB3A90"/>
    <w:rsid w:val="530473CA"/>
    <w:rsid w:val="532F0B32"/>
    <w:rsid w:val="535B5D4C"/>
    <w:rsid w:val="551E5CEB"/>
    <w:rsid w:val="55284354"/>
    <w:rsid w:val="564C1AF9"/>
    <w:rsid w:val="56521D3A"/>
    <w:rsid w:val="57867037"/>
    <w:rsid w:val="57F9079B"/>
    <w:rsid w:val="5A1F7AD4"/>
    <w:rsid w:val="5BDC206C"/>
    <w:rsid w:val="5C252174"/>
    <w:rsid w:val="5E1B3C20"/>
    <w:rsid w:val="60275934"/>
    <w:rsid w:val="619D39D4"/>
    <w:rsid w:val="62A52B40"/>
    <w:rsid w:val="63906BB3"/>
    <w:rsid w:val="639D0223"/>
    <w:rsid w:val="63A57A90"/>
    <w:rsid w:val="643407A7"/>
    <w:rsid w:val="655A7348"/>
    <w:rsid w:val="65F109A9"/>
    <w:rsid w:val="66243797"/>
    <w:rsid w:val="691E364C"/>
    <w:rsid w:val="69A006B2"/>
    <w:rsid w:val="6A044068"/>
    <w:rsid w:val="6AD14E1A"/>
    <w:rsid w:val="6B425392"/>
    <w:rsid w:val="6B453112"/>
    <w:rsid w:val="6C832144"/>
    <w:rsid w:val="6CDD66BA"/>
    <w:rsid w:val="6D3F29A4"/>
    <w:rsid w:val="6E6C6C08"/>
    <w:rsid w:val="6F2C2E9A"/>
    <w:rsid w:val="6F524050"/>
    <w:rsid w:val="6F800BBD"/>
    <w:rsid w:val="709424DD"/>
    <w:rsid w:val="719A33CE"/>
    <w:rsid w:val="72BD5C84"/>
    <w:rsid w:val="73816CB2"/>
    <w:rsid w:val="7577622B"/>
    <w:rsid w:val="75B05D50"/>
    <w:rsid w:val="76683B76"/>
    <w:rsid w:val="797C1F3C"/>
    <w:rsid w:val="79B3410A"/>
    <w:rsid w:val="7B1448AF"/>
    <w:rsid w:val="7B62386D"/>
    <w:rsid w:val="7B7B048A"/>
    <w:rsid w:val="7CB7465C"/>
    <w:rsid w:val="7CF95B0B"/>
    <w:rsid w:val="7E6148BD"/>
    <w:rsid w:val="7F651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iPriority="0" w:name="heading 2"/>
    <w:lsdException w:qFormat="1" w:uiPriority="0" w:name="heading 3"/>
    <w:lsdException w:qFormat="1" w:unhideWhenUsed="0" w:uiPriority="0" w:semiHidden="0" w:name="heading 4"/>
    <w:lsdException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0"/>
    <w:pPr>
      <w:keepNext/>
      <w:keepLines/>
      <w:spacing w:before="340" w:after="330" w:line="578" w:lineRule="auto"/>
    </w:pPr>
    <w:rPr>
      <w:b w:val="0"/>
      <w:bCs w:val="0"/>
      <w:kern w:val="44"/>
      <w:sz w:val="44"/>
      <w:szCs w:val="44"/>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0">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4">
    <w:name w:val="Title"/>
    <w:basedOn w:val="1"/>
    <w:next w:val="1"/>
    <w:qFormat/>
    <w:uiPriority w:val="0"/>
    <w:pPr>
      <w:spacing w:before="330" w:after="340"/>
      <w:jc w:val="center"/>
      <w:outlineLvl w:val="0"/>
    </w:pPr>
    <w:rPr>
      <w:b/>
      <w:bCs/>
      <w:sz w:val="32"/>
      <w:szCs w:val="32"/>
    </w:rPr>
  </w:style>
  <w:style w:type="paragraph" w:styleId="6">
    <w:name w:val="Normal Indent"/>
    <w:basedOn w:val="1"/>
    <w:next w:val="5"/>
    <w:qFormat/>
    <w:uiPriority w:val="0"/>
    <w:pPr>
      <w:spacing w:line="360" w:lineRule="auto"/>
      <w:ind w:firstLine="420" w:firstLineChars="200"/>
    </w:pPr>
    <w:rPr>
      <w:sz w:val="24"/>
    </w:rPr>
  </w:style>
  <w:style w:type="paragraph" w:styleId="7">
    <w:name w:val="annotation text"/>
    <w:basedOn w:val="1"/>
    <w:link w:val="54"/>
    <w:qFormat/>
    <w:uiPriority w:val="0"/>
    <w:pPr>
      <w:jc w:val="left"/>
    </w:pPr>
  </w:style>
  <w:style w:type="paragraph" w:styleId="8">
    <w:name w:val="Body Text"/>
    <w:basedOn w:val="1"/>
    <w:next w:val="9"/>
    <w:link w:val="45"/>
    <w:qFormat/>
    <w:uiPriority w:val="0"/>
    <w:rPr>
      <w:b/>
      <w:sz w:val="32"/>
      <w:szCs w:val="20"/>
    </w:rPr>
  </w:style>
  <w:style w:type="paragraph" w:customStyle="1" w:styleId="9">
    <w:name w:val="默认段落"/>
    <w:basedOn w:val="1"/>
    <w:unhideWhenUsed/>
    <w:qFormat/>
    <w:uiPriority w:val="0"/>
    <w:rPr>
      <w:rFonts w:hint="eastAsia"/>
    </w:rPr>
  </w:style>
  <w:style w:type="paragraph" w:styleId="10">
    <w:name w:val="Body Text Indent"/>
    <w:basedOn w:val="1"/>
    <w:next w:val="11"/>
    <w:qFormat/>
    <w:uiPriority w:val="0"/>
    <w:pPr>
      <w:spacing w:after="120"/>
      <w:ind w:left="420" w:leftChars="200"/>
    </w:pPr>
  </w:style>
  <w:style w:type="paragraph" w:customStyle="1" w:styleId="11">
    <w:name w:val="样式 正文文本缩进 + 行距: 1.5 倍行距"/>
    <w:basedOn w:val="1"/>
    <w:qFormat/>
    <w:uiPriority w:val="0"/>
    <w:pPr>
      <w:spacing w:after="120"/>
      <w:ind w:left="90" w:leftChars="32" w:firstLine="560" w:firstLineChars="200"/>
    </w:pPr>
  </w:style>
  <w:style w:type="paragraph" w:styleId="12">
    <w:name w:val="Date"/>
    <w:basedOn w:val="1"/>
    <w:next w:val="1"/>
    <w:link w:val="44"/>
    <w:qFormat/>
    <w:uiPriority w:val="0"/>
    <w:pPr>
      <w:ind w:left="100" w:leftChars="2500"/>
    </w:pPr>
  </w:style>
  <w:style w:type="paragraph" w:styleId="13">
    <w:name w:val="Balloon Text"/>
    <w:basedOn w:val="1"/>
    <w:link w:val="56"/>
    <w:qFormat/>
    <w:uiPriority w:val="0"/>
    <w:rPr>
      <w:sz w:val="18"/>
      <w:szCs w:val="18"/>
    </w:rPr>
  </w:style>
  <w:style w:type="paragraph" w:styleId="14">
    <w:name w:val="footer"/>
    <w:basedOn w:val="1"/>
    <w:link w:val="42"/>
    <w:qFormat/>
    <w:uiPriority w:val="99"/>
    <w:pPr>
      <w:tabs>
        <w:tab w:val="center" w:pos="4153"/>
        <w:tab w:val="right" w:pos="8306"/>
      </w:tabs>
      <w:snapToGrid w:val="0"/>
      <w:jc w:val="left"/>
    </w:pPr>
    <w:rPr>
      <w:sz w:val="18"/>
      <w:szCs w:val="18"/>
    </w:rPr>
  </w:style>
  <w:style w:type="paragraph" w:styleId="15">
    <w:name w:val="Body Text 2"/>
    <w:basedOn w:val="1"/>
    <w:link w:val="48"/>
    <w:qFormat/>
    <w:uiPriority w:val="0"/>
    <w:pPr>
      <w:spacing w:line="600" w:lineRule="exact"/>
      <w:jc w:val="center"/>
    </w:pPr>
    <w:rPr>
      <w:rFonts w:ascii="方正小标宋简体" w:eastAsia="方正小标宋简体"/>
      <w:bCs/>
      <w:sz w:val="44"/>
      <w:szCs w:val="44"/>
    </w:rPr>
  </w:style>
  <w:style w:type="paragraph" w:styleId="16">
    <w:name w:val="annotation subject"/>
    <w:basedOn w:val="7"/>
    <w:next w:val="7"/>
    <w:link w:val="55"/>
    <w:qFormat/>
    <w:uiPriority w:val="0"/>
    <w:rPr>
      <w:b/>
      <w:bCs/>
    </w:rPr>
  </w:style>
  <w:style w:type="paragraph" w:styleId="17">
    <w:name w:val="Body Text First Indent"/>
    <w:basedOn w:val="8"/>
    <w:next w:val="18"/>
    <w:qFormat/>
    <w:uiPriority w:val="0"/>
    <w:pPr>
      <w:overflowPunct w:val="0"/>
      <w:autoSpaceDE w:val="0"/>
      <w:autoSpaceDN w:val="0"/>
      <w:adjustRightInd w:val="0"/>
      <w:spacing w:line="360" w:lineRule="auto"/>
      <w:ind w:firstLine="539"/>
      <w:textAlignment w:val="baseline"/>
    </w:pPr>
    <w:rPr>
      <w:rFonts w:ascii="Times New Roman" w:hAnsi="Times New Roman"/>
      <w:kern w:val="0"/>
      <w:sz w:val="24"/>
    </w:rPr>
  </w:style>
  <w:style w:type="paragraph" w:styleId="18">
    <w:name w:val="Body Text First Indent 2"/>
    <w:basedOn w:val="10"/>
    <w:next w:val="1"/>
    <w:qFormat/>
    <w:uiPriority w:val="0"/>
    <w:pPr>
      <w:ind w:firstLine="420" w:firstLineChars="200"/>
    </w:pPr>
  </w:style>
  <w:style w:type="character" w:styleId="21">
    <w:name w:val="page number"/>
    <w:basedOn w:val="20"/>
    <w:qFormat/>
    <w:uiPriority w:val="0"/>
  </w:style>
  <w:style w:type="character" w:styleId="22">
    <w:name w:val="Hyperlink"/>
    <w:qFormat/>
    <w:uiPriority w:val="0"/>
    <w:rPr>
      <w:color w:val="0000FF"/>
      <w:u w:val="single"/>
    </w:rPr>
  </w:style>
  <w:style w:type="character" w:styleId="23">
    <w:name w:val="annotation reference"/>
    <w:qFormat/>
    <w:uiPriority w:val="0"/>
    <w:rPr>
      <w:sz w:val="21"/>
      <w:szCs w:val="21"/>
    </w:rPr>
  </w:style>
  <w:style w:type="paragraph" w:customStyle="1" w:styleId="24">
    <w:name w:val="报告正文"/>
    <w:basedOn w:val="1"/>
    <w:qFormat/>
    <w:uiPriority w:val="0"/>
    <w:pPr>
      <w:tabs>
        <w:tab w:val="left" w:pos="0"/>
      </w:tabs>
      <w:spacing w:line="360" w:lineRule="auto"/>
      <w:ind w:firstLine="420" w:firstLineChars="200"/>
    </w:pPr>
    <w:rPr>
      <w:color w:val="000000"/>
    </w:rPr>
  </w:style>
  <w:style w:type="paragraph" w:customStyle="1" w:styleId="25">
    <w:name w:val="样式 Z正文 + 首行缩进:  2 字符1"/>
    <w:basedOn w:val="26"/>
    <w:qFormat/>
    <w:uiPriority w:val="0"/>
    <w:pPr>
      <w:ind w:firstLine="480"/>
    </w:pPr>
  </w:style>
  <w:style w:type="paragraph" w:customStyle="1" w:styleId="26">
    <w:name w:val="Z正文"/>
    <w:basedOn w:val="27"/>
    <w:qFormat/>
    <w:uiPriority w:val="0"/>
    <w:pPr>
      <w:ind w:firstLine="200" w:firstLineChars="200"/>
      <w:outlineLvl w:val="9"/>
    </w:pPr>
    <w:rPr>
      <w:rFonts w:ascii="Times New Roman"/>
      <w:sz w:val="24"/>
      <w:szCs w:val="24"/>
    </w:rPr>
  </w:style>
  <w:style w:type="paragraph" w:customStyle="1" w:styleId="27">
    <w:name w:val="样式 标题 1标题 11Head 1wsah1一、标题2Part'Document章Ch + 加粗"/>
    <w:basedOn w:val="3"/>
    <w:qFormat/>
    <w:uiPriority w:val="0"/>
    <w:rPr>
      <w:rFonts w:ascii="黑体"/>
      <w:sz w:val="32"/>
    </w:rPr>
  </w:style>
  <w:style w:type="paragraph" w:customStyle="1" w:styleId="28">
    <w:name w:val="Char Char Char Char Char Char1 Char"/>
    <w:basedOn w:val="1"/>
    <w:qFormat/>
    <w:uiPriority w:val="0"/>
  </w:style>
  <w:style w:type="paragraph" w:customStyle="1" w:styleId="29">
    <w:name w:val="2"/>
    <w:basedOn w:val="1"/>
    <w:qFormat/>
    <w:uiPriority w:val="0"/>
    <w:pPr>
      <w:spacing w:line="360" w:lineRule="auto"/>
      <w:ind w:firstLine="200" w:firstLineChars="200"/>
    </w:pPr>
    <w:rPr>
      <w:rFonts w:ascii="宋体" w:hAnsi="宋体" w:cs="宋体"/>
      <w:sz w:val="24"/>
    </w:rPr>
  </w:style>
  <w:style w:type="paragraph" w:customStyle="1" w:styleId="30">
    <w:name w:val="Char Char Char Char Char Char1 Char1"/>
    <w:basedOn w:val="1"/>
    <w:qFormat/>
    <w:uiPriority w:val="0"/>
  </w:style>
  <w:style w:type="paragraph" w:customStyle="1" w:styleId="31">
    <w:name w:val="列出段落1"/>
    <w:basedOn w:val="1"/>
    <w:qFormat/>
    <w:uiPriority w:val="34"/>
    <w:pPr>
      <w:ind w:firstLine="420" w:firstLineChars="200"/>
    </w:pPr>
  </w:style>
  <w:style w:type="paragraph" w:customStyle="1" w:styleId="32">
    <w:name w:val="表文字"/>
    <w:link w:val="43"/>
    <w:semiHidden/>
    <w:qFormat/>
    <w:uiPriority w:val="0"/>
    <w:pPr>
      <w:widowControl w:val="0"/>
      <w:adjustRightInd w:val="0"/>
      <w:spacing w:line="240" w:lineRule="exact"/>
      <w:jc w:val="center"/>
      <w:textAlignment w:val="baseline"/>
    </w:pPr>
    <w:rPr>
      <w:rFonts w:ascii="Times New Roman" w:hAnsi="Times New Roman" w:eastAsia="宋体" w:cs="Times New Roman"/>
      <w:sz w:val="21"/>
      <w:szCs w:val="21"/>
      <w:lang w:val="en-US" w:eastAsia="zh-CN" w:bidi="ar-SA"/>
    </w:rPr>
  </w:style>
  <w:style w:type="paragraph" w:customStyle="1" w:styleId="33">
    <w:name w:val="Char"/>
    <w:basedOn w:val="1"/>
    <w:qFormat/>
    <w:uiPriority w:val="0"/>
    <w:pPr>
      <w:widowControl/>
      <w:tabs>
        <w:tab w:val="left" w:pos="360"/>
      </w:tabs>
      <w:jc w:val="left"/>
    </w:pPr>
    <w:rPr>
      <w:kern w:val="0"/>
      <w:sz w:val="24"/>
    </w:rPr>
  </w:style>
  <w:style w:type="paragraph" w:customStyle="1" w:styleId="34">
    <w:name w:val="Char1"/>
    <w:basedOn w:val="1"/>
    <w:qFormat/>
    <w:uiPriority w:val="0"/>
    <w:pPr>
      <w:widowControl/>
      <w:tabs>
        <w:tab w:val="left" w:pos="360"/>
      </w:tabs>
      <w:jc w:val="left"/>
    </w:pPr>
    <w:rPr>
      <w:kern w:val="0"/>
      <w:sz w:val="24"/>
    </w:rPr>
  </w:style>
  <w:style w:type="paragraph" w:customStyle="1" w:styleId="35">
    <w:name w:val="标题1"/>
    <w:basedOn w:val="8"/>
    <w:link w:val="46"/>
    <w:qFormat/>
    <w:uiPriority w:val="0"/>
    <w:pPr>
      <w:jc w:val="distribute"/>
    </w:pPr>
    <w:rPr>
      <w:rFonts w:ascii="方正小标宋简体" w:eastAsia="方正小标宋简体"/>
      <w:color w:val="FF0000"/>
      <w:spacing w:val="-8"/>
      <w:sz w:val="52"/>
      <w:szCs w:val="52"/>
    </w:rPr>
  </w:style>
  <w:style w:type="paragraph" w:customStyle="1" w:styleId="36">
    <w:name w:val="文号1"/>
    <w:basedOn w:val="1"/>
    <w:link w:val="47"/>
    <w:qFormat/>
    <w:uiPriority w:val="0"/>
    <w:pPr>
      <w:adjustRightInd w:val="0"/>
      <w:snapToGrid w:val="0"/>
      <w:spacing w:beforeLines="200" w:line="400" w:lineRule="exact"/>
      <w:jc w:val="center"/>
    </w:pPr>
    <w:rPr>
      <w:rFonts w:ascii="仿宋" w:hAnsi="仿宋" w:eastAsia="仿宋"/>
      <w:sz w:val="30"/>
      <w:szCs w:val="30"/>
    </w:rPr>
  </w:style>
  <w:style w:type="paragraph" w:customStyle="1" w:styleId="37">
    <w:name w:val="标题2"/>
    <w:basedOn w:val="15"/>
    <w:link w:val="49"/>
    <w:qFormat/>
    <w:uiPriority w:val="0"/>
    <w:rPr>
      <w:rFonts w:ascii="宋体" w:hAnsi="宋体" w:eastAsia="宋体"/>
      <w:b/>
    </w:rPr>
  </w:style>
  <w:style w:type="paragraph" w:customStyle="1" w:styleId="38">
    <w:name w:val="对象"/>
    <w:basedOn w:val="1"/>
    <w:link w:val="50"/>
    <w:qFormat/>
    <w:uiPriority w:val="0"/>
    <w:pPr>
      <w:spacing w:beforeLines="100" w:line="540" w:lineRule="exact"/>
    </w:pPr>
    <w:rPr>
      <w:rFonts w:ascii="仿宋" w:hAnsi="仿宋" w:eastAsia="仿宋"/>
      <w:sz w:val="32"/>
      <w:szCs w:val="32"/>
    </w:rPr>
  </w:style>
  <w:style w:type="paragraph" w:customStyle="1" w:styleId="39">
    <w:name w:val="正本"/>
    <w:basedOn w:val="1"/>
    <w:link w:val="51"/>
    <w:qFormat/>
    <w:uiPriority w:val="0"/>
    <w:pPr>
      <w:spacing w:line="540" w:lineRule="exact"/>
      <w:ind w:firstLine="200" w:firstLineChars="200"/>
    </w:pPr>
    <w:rPr>
      <w:rFonts w:eastAsia="仿宋"/>
      <w:sz w:val="32"/>
      <w:szCs w:val="32"/>
    </w:rPr>
  </w:style>
  <w:style w:type="paragraph" w:customStyle="1" w:styleId="40">
    <w:name w:val="落款日期"/>
    <w:basedOn w:val="1"/>
    <w:link w:val="52"/>
    <w:qFormat/>
    <w:uiPriority w:val="0"/>
    <w:pPr>
      <w:spacing w:beforeLines="400" w:line="540" w:lineRule="exact"/>
      <w:ind w:right="200" w:rightChars="200" w:firstLine="200" w:firstLineChars="200"/>
      <w:jc w:val="right"/>
    </w:pPr>
    <w:rPr>
      <w:rFonts w:ascii="仿宋" w:hAnsi="仿宋" w:eastAsia="仿宋"/>
      <w:sz w:val="32"/>
      <w:szCs w:val="32"/>
    </w:rPr>
  </w:style>
  <w:style w:type="paragraph" w:customStyle="1" w:styleId="41">
    <w:name w:val="落款单位"/>
    <w:basedOn w:val="40"/>
    <w:link w:val="53"/>
    <w:qFormat/>
    <w:uiPriority w:val="0"/>
    <w:pPr>
      <w:ind w:right="300" w:rightChars="300" w:firstLine="0" w:firstLineChars="0"/>
    </w:pPr>
    <w:rPr>
      <w:rFonts w:eastAsia="仿宋_GB2312"/>
    </w:rPr>
  </w:style>
  <w:style w:type="character" w:customStyle="1" w:styleId="42">
    <w:name w:val="页脚 字符"/>
    <w:link w:val="14"/>
    <w:qFormat/>
    <w:uiPriority w:val="99"/>
    <w:rPr>
      <w:kern w:val="2"/>
      <w:sz w:val="18"/>
      <w:szCs w:val="18"/>
    </w:rPr>
  </w:style>
  <w:style w:type="character" w:customStyle="1" w:styleId="43">
    <w:name w:val="表文字 Char1"/>
    <w:link w:val="32"/>
    <w:semiHidden/>
    <w:qFormat/>
    <w:uiPriority w:val="0"/>
    <w:rPr>
      <w:sz w:val="21"/>
      <w:szCs w:val="21"/>
      <w:lang w:val="en-US" w:eastAsia="zh-CN" w:bidi="ar-SA"/>
    </w:rPr>
  </w:style>
  <w:style w:type="character" w:customStyle="1" w:styleId="44">
    <w:name w:val="日期 字符"/>
    <w:link w:val="12"/>
    <w:qFormat/>
    <w:uiPriority w:val="0"/>
    <w:rPr>
      <w:kern w:val="2"/>
      <w:sz w:val="21"/>
      <w:szCs w:val="24"/>
    </w:rPr>
  </w:style>
  <w:style w:type="character" w:customStyle="1" w:styleId="45">
    <w:name w:val="正文文本 字符"/>
    <w:link w:val="8"/>
    <w:qFormat/>
    <w:uiPriority w:val="0"/>
    <w:rPr>
      <w:b/>
      <w:kern w:val="2"/>
      <w:sz w:val="32"/>
    </w:rPr>
  </w:style>
  <w:style w:type="character" w:customStyle="1" w:styleId="46">
    <w:name w:val="标题1 字符"/>
    <w:link w:val="35"/>
    <w:qFormat/>
    <w:uiPriority w:val="0"/>
    <w:rPr>
      <w:rFonts w:ascii="方正小标宋简体" w:eastAsia="方正小标宋简体"/>
      <w:b/>
      <w:color w:val="FF0000"/>
      <w:spacing w:val="-8"/>
      <w:kern w:val="2"/>
      <w:sz w:val="52"/>
      <w:szCs w:val="52"/>
    </w:rPr>
  </w:style>
  <w:style w:type="character" w:customStyle="1" w:styleId="47">
    <w:name w:val="文号1 字符"/>
    <w:link w:val="36"/>
    <w:qFormat/>
    <w:uiPriority w:val="0"/>
    <w:rPr>
      <w:rFonts w:ascii="仿宋" w:hAnsi="仿宋" w:eastAsia="仿宋"/>
      <w:kern w:val="2"/>
      <w:sz w:val="30"/>
      <w:szCs w:val="30"/>
    </w:rPr>
  </w:style>
  <w:style w:type="character" w:customStyle="1" w:styleId="48">
    <w:name w:val="正文文本 2 字符"/>
    <w:link w:val="15"/>
    <w:qFormat/>
    <w:uiPriority w:val="0"/>
    <w:rPr>
      <w:rFonts w:ascii="方正小标宋简体" w:eastAsia="方正小标宋简体"/>
      <w:bCs/>
      <w:kern w:val="2"/>
      <w:sz w:val="44"/>
      <w:szCs w:val="44"/>
    </w:rPr>
  </w:style>
  <w:style w:type="character" w:customStyle="1" w:styleId="49">
    <w:name w:val="标题2 字符"/>
    <w:link w:val="37"/>
    <w:qFormat/>
    <w:uiPriority w:val="0"/>
    <w:rPr>
      <w:rFonts w:ascii="宋体" w:hAnsi="宋体"/>
      <w:b/>
      <w:bCs/>
      <w:kern w:val="2"/>
      <w:sz w:val="44"/>
      <w:szCs w:val="44"/>
    </w:rPr>
  </w:style>
  <w:style w:type="character" w:customStyle="1" w:styleId="50">
    <w:name w:val="对象 字符"/>
    <w:link w:val="38"/>
    <w:qFormat/>
    <w:uiPriority w:val="0"/>
    <w:rPr>
      <w:rFonts w:ascii="仿宋" w:hAnsi="仿宋" w:eastAsia="仿宋"/>
      <w:kern w:val="2"/>
      <w:sz w:val="32"/>
      <w:szCs w:val="32"/>
    </w:rPr>
  </w:style>
  <w:style w:type="character" w:customStyle="1" w:styleId="51">
    <w:name w:val="正本 字符"/>
    <w:link w:val="39"/>
    <w:qFormat/>
    <w:uiPriority w:val="0"/>
    <w:rPr>
      <w:rFonts w:eastAsia="仿宋"/>
      <w:kern w:val="2"/>
      <w:sz w:val="32"/>
      <w:szCs w:val="32"/>
    </w:rPr>
  </w:style>
  <w:style w:type="character" w:customStyle="1" w:styleId="52">
    <w:name w:val="落款日期 字符"/>
    <w:link w:val="40"/>
    <w:qFormat/>
    <w:uiPriority w:val="0"/>
    <w:rPr>
      <w:rFonts w:ascii="仿宋" w:hAnsi="仿宋" w:eastAsia="仿宋"/>
      <w:kern w:val="2"/>
      <w:sz w:val="32"/>
      <w:szCs w:val="32"/>
    </w:rPr>
  </w:style>
  <w:style w:type="character" w:customStyle="1" w:styleId="53">
    <w:name w:val="落款单位 字符"/>
    <w:link w:val="41"/>
    <w:qFormat/>
    <w:uiPriority w:val="0"/>
    <w:rPr>
      <w:rFonts w:ascii="仿宋" w:hAnsi="仿宋" w:eastAsia="仿宋_GB2312"/>
      <w:kern w:val="2"/>
      <w:sz w:val="32"/>
      <w:szCs w:val="32"/>
    </w:rPr>
  </w:style>
  <w:style w:type="character" w:customStyle="1" w:styleId="54">
    <w:name w:val="批注文字 字符"/>
    <w:link w:val="7"/>
    <w:qFormat/>
    <w:uiPriority w:val="0"/>
    <w:rPr>
      <w:kern w:val="2"/>
      <w:sz w:val="21"/>
      <w:szCs w:val="24"/>
    </w:rPr>
  </w:style>
  <w:style w:type="character" w:customStyle="1" w:styleId="55">
    <w:name w:val="批注主题 字符"/>
    <w:link w:val="16"/>
    <w:qFormat/>
    <w:uiPriority w:val="0"/>
    <w:rPr>
      <w:b/>
      <w:bCs/>
      <w:kern w:val="2"/>
      <w:sz w:val="21"/>
      <w:szCs w:val="24"/>
    </w:rPr>
  </w:style>
  <w:style w:type="character" w:customStyle="1" w:styleId="56">
    <w:name w:val="批注框文本 字符"/>
    <w:link w:val="13"/>
    <w:qFormat/>
    <w:uiPriority w:val="0"/>
    <w:rPr>
      <w:kern w:val="2"/>
      <w:sz w:val="18"/>
      <w:szCs w:val="18"/>
    </w:rPr>
  </w:style>
  <w:style w:type="paragraph" w:styleId="5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6</Pages>
  <Words>2868</Words>
  <Characters>3103</Characters>
  <Lines>19</Lines>
  <Paragraphs>5</Paragraphs>
  <TotalTime>12</TotalTime>
  <ScaleCrop>false</ScaleCrop>
  <LinksUpToDate>false</LinksUpToDate>
  <CharactersWithSpaces>3188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2025-01-23T02:55:00Z</dcterms:created>
  <dc:creator>雨林木风</dc:creator>
  <cp:lastModifiedBy>Roo</cp:lastModifiedBy>
  <cp:lastPrinted>2026-08-28T03:05:00Z</cp:lastPrinted>
  <dcterms:modified xsi:type="dcterms:W3CDTF">2026-08-31T04:43:44Z</dcterms:modified>
  <dc:title>柳环审字〔2012〕号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F9F6B34BC2B3458C9E141191F311E41C_13</vt:lpwstr>
  </property>
  <property fmtid="{D5CDD505-2E9C-101B-9397-08002B2CF9AE}" pid="4" name="KSOTemplateDocerSaveRecord">
    <vt:lpwstr>eyJoZGlkIjoiNjdkZjg3YzQyMDQ4ZWZkODQ0MmYzZDZjYmNhZDFiOTciLCJ1c2VySWQiOiI3NDI3NDE5MTUifQ==</vt:lpwstr>
  </property>
</Properties>
</file>