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A0EA9">
      <w:pPr>
        <w:pStyle w:val="35"/>
      </w:pPr>
    </w:p>
    <w:p w14:paraId="24EB69BE">
      <w:pPr>
        <w:pStyle w:val="35"/>
      </w:pPr>
      <w:r>
        <w:rPr>
          <w:rFonts w:hint="eastAsia"/>
        </w:rPr>
        <w:t>柳城县行政审批局文件</w:t>
      </w:r>
    </w:p>
    <w:p w14:paraId="1952C7F4">
      <w:pPr>
        <w:pStyle w:val="36"/>
        <w:spacing w:before="624"/>
        <w:rPr>
          <w:rFonts w:ascii="Times New Roman" w:hAnsi="Times New Roman" w:eastAsia="楷体_GB2312"/>
          <w:color w:val="000000"/>
          <w:sz w:val="32"/>
          <w:szCs w:val="32"/>
        </w:rPr>
      </w:pPr>
      <w:r>
        <w:rPr>
          <w:rFonts w:hint="eastAsia" w:ascii="Times New Roman" w:hAnsi="Times New Roman" w:eastAsia="仿宋_GB2312" w:cs="仿宋_GB2312"/>
        </w:rPr>
        <w:t>柳城审批项投审字</w:t>
      </w:r>
      <w:r>
        <w:rPr>
          <w:rFonts w:ascii="Times New Roman" w:hAnsi="Times New Roman" w:eastAsia="仿宋_GB2312"/>
        </w:rPr>
        <w:t>〔202</w:t>
      </w:r>
      <w:r>
        <w:rPr>
          <w:rFonts w:hint="eastAsia" w:ascii="Times New Roman" w:hAnsi="Times New Roman" w:eastAsia="仿宋_GB2312"/>
          <w:lang w:val="en-US" w:eastAsia="zh-CN"/>
        </w:rPr>
        <w:t>6</w:t>
      </w:r>
      <w:r>
        <w:rPr>
          <w:rFonts w:ascii="Times New Roman" w:hAnsi="Times New Roman" w:eastAsia="仿宋_GB2312"/>
        </w:rPr>
        <w:t>〕</w:t>
      </w:r>
      <w:r>
        <w:rPr>
          <w:rFonts w:hint="eastAsia" w:ascii="Times New Roman" w:hAnsi="Times New Roman" w:eastAsia="仿宋_GB2312"/>
          <w:lang w:val="en-US" w:eastAsia="zh-CN"/>
        </w:rPr>
        <w:t>26</w:t>
      </w:r>
      <w:r>
        <w:rPr>
          <w:rFonts w:ascii="Times New Roman" w:hAnsi="Times New Roman" w:eastAsia="仿宋_GB2312"/>
        </w:rPr>
        <w:t>号</w:t>
      </w:r>
    </w:p>
    <w:p w14:paraId="4BAC4154">
      <w:pPr>
        <w:spacing w:line="640" w:lineRule="exact"/>
        <w:rPr>
          <w:sz w:val="28"/>
          <w:szCs w:val="28"/>
        </w:rPr>
      </w:pPr>
      <w:r>
        <w:rPr>
          <w:rFonts w:eastAsia="黑体"/>
          <w:color w:val="FF0000"/>
          <w:sz w:val="96"/>
          <w:szCs w:val="20"/>
          <w:u w:val="single"/>
        </w:rPr>
        <w:t xml:space="preserve">      </w:t>
      </w:r>
      <w:r>
        <w:rPr>
          <w:rFonts w:hint="eastAsia" w:eastAsia="黑体"/>
          <w:color w:val="FF0000"/>
          <w:sz w:val="96"/>
          <w:szCs w:val="20"/>
          <w:u w:val="single"/>
        </w:rPr>
        <w:t xml:space="preserve">  </w:t>
      </w:r>
      <w:r>
        <w:rPr>
          <w:rFonts w:eastAsia="黑体"/>
          <w:color w:val="FF0000"/>
          <w:sz w:val="96"/>
          <w:szCs w:val="20"/>
          <w:u w:val="single"/>
        </w:rPr>
        <w:t xml:space="preserve">            </w:t>
      </w:r>
    </w:p>
    <w:p w14:paraId="48514B8C">
      <w:pPr>
        <w:pStyle w:val="37"/>
        <w:spacing w:line="240" w:lineRule="auto"/>
        <w:rPr>
          <w:rFonts w:hint="eastAsia" w:cs="宋体"/>
          <w:lang w:val="en-US" w:eastAsia="zh-CN"/>
        </w:rPr>
      </w:pPr>
      <w:r>
        <w:rPr>
          <w:rFonts w:hint="eastAsia" w:cs="宋体"/>
        </w:rPr>
        <w:t>关于</w:t>
      </w:r>
      <w:r>
        <w:rPr>
          <w:rFonts w:hint="eastAsia" w:cs="宋体"/>
          <w:lang w:val="en-US" w:eastAsia="zh-CN"/>
        </w:rPr>
        <w:t>广西峻茂年产8万立方米人造板项目</w:t>
      </w:r>
    </w:p>
    <w:p w14:paraId="7038CADE">
      <w:pPr>
        <w:pStyle w:val="37"/>
        <w:spacing w:line="240" w:lineRule="auto"/>
        <w:rPr>
          <w:rFonts w:cs="宋体"/>
        </w:rPr>
      </w:pPr>
      <w:r>
        <w:rPr>
          <w:rFonts w:hint="eastAsia" w:cs="宋体"/>
        </w:rPr>
        <w:t>环境影响报告表的批复</w:t>
      </w:r>
    </w:p>
    <w:p w14:paraId="13A60381">
      <w:pPr>
        <w:pStyle w:val="38"/>
        <w:keepNext w:val="0"/>
        <w:keepLines w:val="0"/>
        <w:pageBreakBefore w:val="0"/>
        <w:widowControl w:val="0"/>
        <w:kinsoku/>
        <w:wordWrap/>
        <w:overflowPunct/>
        <w:topLinePunct w:val="0"/>
        <w:autoSpaceDE/>
        <w:autoSpaceDN/>
        <w:bidi w:val="0"/>
        <w:adjustRightInd/>
        <w:snapToGrid/>
        <w:spacing w:before="312" w:line="520" w:lineRule="exact"/>
        <w:textAlignment w:val="auto"/>
        <w:rPr>
          <w:rFonts w:ascii="Times New Roman" w:hAnsi="Times New Roman" w:eastAsia="仿宋_GB2312" w:cs="仿宋_GB2312"/>
          <w:color w:val="000000"/>
        </w:rPr>
      </w:pPr>
      <w:r>
        <w:rPr>
          <w:rFonts w:hint="eastAsia"/>
        </w:rPr>
        <w:t>广西</w:t>
      </w:r>
      <w:r>
        <w:rPr>
          <w:rFonts w:hint="eastAsia"/>
          <w:color w:val="auto"/>
        </w:rPr>
        <w:t>峻</w:t>
      </w:r>
      <w:r>
        <w:rPr>
          <w:rFonts w:hint="eastAsia"/>
        </w:rPr>
        <w:t>茂木业有限公司</w:t>
      </w:r>
      <w:r>
        <w:rPr>
          <w:rFonts w:hint="eastAsia" w:ascii="Times New Roman" w:hAnsi="Times New Roman" w:eastAsia="仿宋_GB2312" w:cs="仿宋_GB2312"/>
          <w:color w:val="000000"/>
        </w:rPr>
        <w:t>：</w:t>
      </w:r>
    </w:p>
    <w:p w14:paraId="34CB166F">
      <w:pPr>
        <w:pStyle w:val="39"/>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eastAsia="仿宋_GB2312" w:cs="仿宋_GB2312"/>
          <w:color w:val="000000"/>
        </w:rPr>
      </w:pPr>
      <w:r>
        <w:rPr>
          <w:rFonts w:hint="eastAsia" w:eastAsia="仿宋_GB2312" w:cs="仿宋_GB2312"/>
          <w:color w:val="000000"/>
        </w:rPr>
        <w:t>你公司报来《</w:t>
      </w:r>
      <w:r>
        <w:rPr>
          <w:rFonts w:hint="eastAsia"/>
          <w:color w:val="auto"/>
        </w:rPr>
        <w:t>广西峻茂年产8万立方米人造板项目</w:t>
      </w:r>
      <w:r>
        <w:rPr>
          <w:rFonts w:hint="eastAsia" w:eastAsia="仿宋_GB2312" w:cs="仿宋_GB2312"/>
          <w:color w:val="000000"/>
          <w:lang w:val="en-US" w:eastAsia="zh-CN"/>
        </w:rPr>
        <w:t>环境影响评价报告表</w:t>
      </w:r>
      <w:r>
        <w:rPr>
          <w:rFonts w:hint="eastAsia" w:eastAsia="仿宋_GB2312" w:cs="仿宋_GB2312"/>
          <w:color w:val="000000"/>
        </w:rPr>
        <w:t>》（以下简称《报告表》）收悉。经我局审核，现批复如下：</w:t>
      </w:r>
    </w:p>
    <w:p w14:paraId="0214F612">
      <w:pPr>
        <w:pStyle w:val="39"/>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cs="仿宋_GB2312"/>
        </w:rPr>
      </w:pPr>
      <w:r>
        <w:rPr>
          <w:rFonts w:hint="eastAsia" w:eastAsia="仿宋_GB2312" w:cs="仿宋_GB2312"/>
          <w:color w:val="000000"/>
        </w:rPr>
        <w:t>本项目为</w:t>
      </w:r>
      <w:r>
        <w:rPr>
          <w:rFonts w:hint="eastAsia" w:eastAsia="仿宋_GB2312" w:cs="仿宋_GB2312"/>
          <w:color w:val="000000"/>
          <w:lang w:val="en-US" w:eastAsia="zh-CN"/>
        </w:rPr>
        <w:t>新建</w:t>
      </w:r>
      <w:r>
        <w:rPr>
          <w:rFonts w:hint="eastAsia" w:eastAsia="仿宋_GB2312" w:cs="仿宋_GB2312"/>
          <w:color w:val="000000"/>
        </w:rPr>
        <w:t>工程，位于</w:t>
      </w:r>
      <w:r>
        <w:rPr>
          <w:rFonts w:hint="eastAsia" w:eastAsia="仿宋_GB2312" w:cs="仿宋_GB2312"/>
          <w:color w:val="000000"/>
          <w:lang w:val="en-US" w:eastAsia="zh-CN"/>
        </w:rPr>
        <w:t>广西壮族自治区柳州市</w:t>
      </w:r>
      <w:r>
        <w:rPr>
          <w:rFonts w:hint="eastAsia" w:eastAsia="仿宋_GB2312" w:cs="仿宋_GB2312"/>
          <w:color w:val="000000"/>
        </w:rPr>
        <w:t>柳城县</w:t>
      </w:r>
      <w:r>
        <w:rPr>
          <w:rFonts w:hint="eastAsia" w:eastAsia="仿宋_GB2312" w:cs="仿宋_GB2312"/>
          <w:color w:val="000000"/>
          <w:lang w:val="en-US" w:eastAsia="zh-CN"/>
        </w:rPr>
        <w:t>马山镇四塘农场3号地</w:t>
      </w:r>
      <w:r>
        <w:rPr>
          <w:rFonts w:hint="eastAsia" w:eastAsia="仿宋_GB2312" w:cs="仿宋_GB2312"/>
          <w:lang w:val="en-US" w:eastAsia="zh-CN"/>
        </w:rPr>
        <w:t>，占地面积39960平方米，</w:t>
      </w:r>
      <w:r>
        <w:rPr>
          <w:rFonts w:hint="eastAsia" w:eastAsia="仿宋_GB2312" w:cs="仿宋_GB2312"/>
        </w:rPr>
        <w:t>建设规模：</w:t>
      </w:r>
      <w:r>
        <w:rPr>
          <w:rFonts w:hint="eastAsia" w:eastAsia="仿宋_GB2312" w:cs="仿宋_GB2312"/>
          <w:lang w:val="en-US" w:eastAsia="zh-CN"/>
        </w:rPr>
        <w:t>建设人造板</w:t>
      </w:r>
      <w:r>
        <w:rPr>
          <w:rFonts w:hint="eastAsia" w:eastAsia="仿宋_GB2312" w:cs="仿宋_GB2312"/>
        </w:rPr>
        <w:t>生产线</w:t>
      </w:r>
      <w:r>
        <w:rPr>
          <w:rFonts w:hint="eastAsia" w:eastAsia="仿宋_GB2312" w:cs="仿宋_GB2312"/>
          <w:lang w:eastAsia="zh-CN"/>
        </w:rPr>
        <w:t>，</w:t>
      </w:r>
      <w:r>
        <w:rPr>
          <w:rFonts w:hint="eastAsia" w:eastAsia="仿宋_GB2312" w:cs="仿宋_GB2312"/>
          <w:lang w:val="en-US" w:eastAsia="zh-CN"/>
        </w:rPr>
        <w:t>年产8万立方米人造板</w:t>
      </w:r>
      <w:r>
        <w:rPr>
          <w:rFonts w:hint="eastAsia" w:ascii="Times New Roman" w:hAnsi="Times New Roman" w:eastAsia="仿宋_GB2312" w:cs="仿宋_GB2312"/>
        </w:rPr>
        <w:t>。</w:t>
      </w:r>
    </w:p>
    <w:p w14:paraId="502DC679">
      <w:pPr>
        <w:pStyle w:val="39"/>
        <w:keepNext w:val="0"/>
        <w:keepLines w:val="0"/>
        <w:pageBreakBefore w:val="0"/>
        <w:widowControl w:val="0"/>
        <w:tabs>
          <w:tab w:val="left" w:pos="6720"/>
        </w:tabs>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cs="仿宋_GB2312"/>
        </w:rPr>
      </w:pPr>
      <w:r>
        <w:rPr>
          <w:rFonts w:hint="eastAsia" w:eastAsia="仿宋_GB2312" w:cs="仿宋_GB2312"/>
        </w:rPr>
        <w:t>项目建设内容包括</w:t>
      </w:r>
      <w:r>
        <w:rPr>
          <w:rFonts w:hint="eastAsia" w:ascii="Times New Roman" w:hAnsi="Times New Roman" w:eastAsia="仿宋_GB2312" w:cs="仿宋_GB2312"/>
          <w:lang w:val="en-US" w:eastAsia="zh-CN"/>
        </w:rPr>
        <w:t>主</w:t>
      </w:r>
      <w:r>
        <w:rPr>
          <w:rFonts w:hint="eastAsia" w:eastAsia="仿宋_GB2312" w:cs="仿宋_GB2312"/>
        </w:rPr>
        <w:t>体工程（</w:t>
      </w:r>
      <w:r>
        <w:rPr>
          <w:rFonts w:hint="eastAsia" w:eastAsia="仿宋_GB2312" w:cs="仿宋_GB2312"/>
          <w:lang w:val="en-US" w:eastAsia="zh-CN"/>
        </w:rPr>
        <w:t>1#生产车间、2#生产车间等</w:t>
      </w:r>
      <w:r>
        <w:rPr>
          <w:rFonts w:hint="eastAsia" w:ascii="Times New Roman" w:hAnsi="Times New Roman" w:eastAsia="仿宋_GB2312" w:cs="仿宋_GB2312"/>
        </w:rPr>
        <w:t>）、储运工程（</w:t>
      </w:r>
      <w:r>
        <w:rPr>
          <w:rFonts w:hint="eastAsia" w:ascii="Times New Roman" w:hAnsi="Times New Roman" w:eastAsia="仿宋_GB2312" w:cs="仿宋_GB2312"/>
          <w:lang w:val="en-US" w:eastAsia="zh-CN"/>
        </w:rPr>
        <w:t>原料仓库</w:t>
      </w:r>
      <w:r>
        <w:rPr>
          <w:rFonts w:hint="eastAsia" w:eastAsia="仿宋_GB2312" w:cs="仿宋_GB2312"/>
          <w:lang w:val="en-US" w:eastAsia="zh-CN"/>
        </w:rPr>
        <w:t>、</w:t>
      </w:r>
      <w:r>
        <w:rPr>
          <w:rFonts w:hint="eastAsia" w:ascii="Times New Roman" w:hAnsi="Times New Roman" w:eastAsia="仿宋_GB2312" w:cs="仿宋_GB2312"/>
          <w:lang w:val="en-US" w:eastAsia="zh-CN"/>
        </w:rPr>
        <w:t>成品仓库</w:t>
      </w:r>
      <w:r>
        <w:rPr>
          <w:rFonts w:hint="eastAsia" w:eastAsia="仿宋_GB2312" w:cs="仿宋_GB2312"/>
          <w:lang w:val="en-US" w:eastAsia="zh-CN"/>
        </w:rPr>
        <w:t>等</w:t>
      </w:r>
      <w:r>
        <w:rPr>
          <w:rFonts w:hint="eastAsia" w:ascii="Times New Roman" w:hAnsi="Times New Roman" w:eastAsia="仿宋_GB2312" w:cs="仿宋_GB2312"/>
        </w:rPr>
        <w:t>）</w:t>
      </w:r>
      <w:r>
        <w:rPr>
          <w:rFonts w:hint="eastAsia" w:eastAsia="仿宋_GB2312" w:cs="仿宋_GB2312"/>
          <w:lang w:val="en-US" w:eastAsia="zh-CN"/>
        </w:rPr>
        <w:t>、</w:t>
      </w:r>
      <w:r>
        <w:rPr>
          <w:rFonts w:hint="eastAsia" w:ascii="Times New Roman" w:hAnsi="Times New Roman" w:eastAsia="仿宋_GB2312" w:cs="仿宋_GB2312"/>
          <w:lang w:val="en-US" w:eastAsia="zh-CN"/>
        </w:rPr>
        <w:t>辅助工程（办公</w:t>
      </w:r>
      <w:r>
        <w:rPr>
          <w:rFonts w:hint="eastAsia" w:eastAsia="仿宋_GB2312" w:cs="仿宋_GB2312"/>
          <w:lang w:val="en-US" w:eastAsia="zh-CN"/>
        </w:rPr>
        <w:t>楼、综合楼等</w:t>
      </w:r>
      <w:r>
        <w:rPr>
          <w:rFonts w:hint="eastAsia" w:ascii="Times New Roman" w:hAnsi="Times New Roman" w:eastAsia="仿宋_GB2312" w:cs="仿宋_GB2312"/>
          <w:lang w:val="en-US" w:eastAsia="zh-CN"/>
        </w:rPr>
        <w:t>）</w:t>
      </w:r>
      <w:r>
        <w:rPr>
          <w:rFonts w:hint="eastAsia" w:eastAsia="仿宋_GB2312" w:cs="仿宋_GB2312"/>
          <w:lang w:val="en-US" w:eastAsia="zh-CN"/>
        </w:rPr>
        <w:t>、</w:t>
      </w:r>
      <w:r>
        <w:rPr>
          <w:rFonts w:hint="eastAsia" w:ascii="Times New Roman" w:hAnsi="Times New Roman" w:eastAsia="仿宋_GB2312" w:cs="仿宋_GB2312"/>
          <w:lang w:val="en-US" w:eastAsia="zh-CN"/>
        </w:rPr>
        <w:t>公用工程（给水</w:t>
      </w:r>
      <w:r>
        <w:rPr>
          <w:rFonts w:hint="eastAsia" w:eastAsia="仿宋_GB2312" w:cs="仿宋_GB2312"/>
          <w:lang w:val="en-US" w:eastAsia="zh-CN"/>
        </w:rPr>
        <w:t>、</w:t>
      </w:r>
      <w:r>
        <w:rPr>
          <w:rFonts w:hint="eastAsia" w:ascii="Times New Roman" w:hAnsi="Times New Roman" w:eastAsia="仿宋_GB2312" w:cs="仿宋_GB2312"/>
          <w:lang w:val="en-US" w:eastAsia="zh-CN"/>
        </w:rPr>
        <w:t>排水</w:t>
      </w:r>
      <w:r>
        <w:rPr>
          <w:rFonts w:hint="eastAsia" w:eastAsia="仿宋_GB2312" w:cs="仿宋_GB2312"/>
          <w:lang w:val="en-US" w:eastAsia="zh-CN"/>
        </w:rPr>
        <w:t>、</w:t>
      </w:r>
      <w:r>
        <w:rPr>
          <w:rFonts w:hint="eastAsia" w:ascii="Times New Roman" w:hAnsi="Times New Roman" w:eastAsia="仿宋_GB2312" w:cs="仿宋_GB2312"/>
          <w:lang w:val="en-US" w:eastAsia="zh-CN"/>
        </w:rPr>
        <w:t>供电</w:t>
      </w:r>
      <w:r>
        <w:rPr>
          <w:rFonts w:hint="eastAsia" w:eastAsia="仿宋_GB2312" w:cs="仿宋_GB2312"/>
          <w:lang w:val="en-US" w:eastAsia="zh-CN"/>
        </w:rPr>
        <w:t>、</w:t>
      </w:r>
      <w:r>
        <w:rPr>
          <w:rFonts w:hint="eastAsia" w:ascii="Times New Roman" w:hAnsi="Times New Roman" w:eastAsia="仿宋_GB2312" w:cs="仿宋_GB2312"/>
          <w:lang w:val="en-US" w:eastAsia="zh-CN"/>
        </w:rPr>
        <w:t>供热</w:t>
      </w:r>
      <w:r>
        <w:rPr>
          <w:rFonts w:hint="eastAsia" w:eastAsia="仿宋_GB2312" w:cs="仿宋_GB2312"/>
          <w:lang w:val="en-US" w:eastAsia="zh-CN"/>
        </w:rPr>
        <w:t>和1个容积为150立方米的</w:t>
      </w:r>
      <w:r>
        <w:rPr>
          <w:rFonts w:hint="eastAsia" w:ascii="Times New Roman" w:hAnsi="Times New Roman" w:eastAsia="仿宋_GB2312" w:cs="仿宋_GB2312"/>
          <w:lang w:val="en-US" w:eastAsia="zh-CN"/>
        </w:rPr>
        <w:t>消防蓄水池等）</w:t>
      </w:r>
      <w:r>
        <w:rPr>
          <w:rFonts w:hint="eastAsia" w:eastAsia="仿宋_GB2312" w:cs="仿宋_GB2312"/>
          <w:lang w:val="en-US" w:eastAsia="zh-CN"/>
        </w:rPr>
        <w:t>；</w:t>
      </w:r>
      <w:r>
        <w:rPr>
          <w:rFonts w:hint="eastAsia" w:ascii="Times New Roman" w:hAnsi="Times New Roman" w:eastAsia="仿宋_GB2312" w:cs="仿宋_GB2312"/>
          <w:lang w:val="en-US" w:eastAsia="zh-CN"/>
        </w:rPr>
        <w:t>环保工程（2根17米高的排气筒、1根35米高的排气筒、1套二级活性炭吸附装置、</w:t>
      </w:r>
      <w:r>
        <w:rPr>
          <w:rFonts w:hint="eastAsia" w:eastAsia="仿宋_GB2312" w:cs="仿宋_GB2312"/>
          <w:lang w:val="en-US" w:eastAsia="zh-CN"/>
        </w:rPr>
        <w:t>2</w:t>
      </w:r>
      <w:r>
        <w:rPr>
          <w:rFonts w:hint="eastAsia" w:ascii="Times New Roman" w:hAnsi="Times New Roman" w:eastAsia="仿宋_GB2312" w:cs="仿宋_GB2312"/>
          <w:lang w:val="en-US" w:eastAsia="zh-CN"/>
        </w:rPr>
        <w:t>套</w:t>
      </w:r>
      <w:r>
        <w:rPr>
          <w:rFonts w:hint="eastAsia" w:eastAsia="仿宋_GB2312" w:cs="仿宋_GB2312"/>
          <w:lang w:val="en-US" w:eastAsia="zh-CN"/>
        </w:rPr>
        <w:t>“</w:t>
      </w:r>
      <w:r>
        <w:rPr>
          <w:rFonts w:hint="eastAsia" w:ascii="Times New Roman" w:hAnsi="Times New Roman" w:eastAsia="仿宋_GB2312" w:cs="仿宋_GB2312"/>
          <w:lang w:val="en-US" w:eastAsia="zh-CN"/>
        </w:rPr>
        <w:t>旋风+布袋除尘器</w:t>
      </w:r>
      <w:r>
        <w:rPr>
          <w:rFonts w:hint="eastAsia" w:eastAsia="仿宋_GB2312" w:cs="仿宋_GB2312"/>
          <w:lang w:val="en-US" w:eastAsia="zh-CN"/>
        </w:rPr>
        <w:t>”装置</w:t>
      </w:r>
      <w:r>
        <w:rPr>
          <w:rFonts w:hint="eastAsia" w:ascii="Times New Roman" w:hAnsi="Times New Roman" w:eastAsia="仿宋_GB2312" w:cs="仿宋_GB2312"/>
          <w:lang w:val="en-US" w:eastAsia="zh-CN"/>
        </w:rPr>
        <w:t>、1个20平方米一般固体废物</w:t>
      </w:r>
      <w:r>
        <w:rPr>
          <w:rFonts w:hint="eastAsia" w:eastAsia="仿宋_GB2312" w:cs="仿宋_GB2312"/>
          <w:lang w:val="en-US" w:eastAsia="zh-CN"/>
        </w:rPr>
        <w:t>暂存</w:t>
      </w:r>
      <w:r>
        <w:rPr>
          <w:rFonts w:hint="eastAsia" w:ascii="Times New Roman" w:hAnsi="Times New Roman" w:eastAsia="仿宋_GB2312" w:cs="仿宋_GB2312"/>
          <w:lang w:val="en-US" w:eastAsia="zh-CN"/>
        </w:rPr>
        <w:t>区、1个10平方米危险废物暂存间等）；详见《报告表》。</w:t>
      </w:r>
      <w:bookmarkStart w:id="2" w:name="_GoBack"/>
      <w:bookmarkEnd w:id="2"/>
    </w:p>
    <w:p w14:paraId="4BC08BC1">
      <w:pPr>
        <w:pStyle w:val="39"/>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eastAsia="仿宋_GB2312" w:cs="仿宋_GB2312"/>
        </w:rPr>
      </w:pPr>
      <w:r>
        <w:rPr>
          <w:rFonts w:hint="eastAsia" w:eastAsia="仿宋_GB2312" w:cs="仿宋_GB2312"/>
        </w:rPr>
        <w:t>项目不涉及自然保护区、饮用水源保护区、文物保护单位、地质公园、风景名胜区、基本农田等特殊保护对象。项目总投资</w:t>
      </w:r>
      <w:r>
        <w:rPr>
          <w:rFonts w:hint="eastAsia" w:eastAsia="仿宋_GB2312"/>
          <w:lang w:val="en-US" w:eastAsia="zh-CN"/>
        </w:rPr>
        <w:t>8000</w:t>
      </w:r>
      <w:r>
        <w:rPr>
          <w:rFonts w:hint="eastAsia" w:eastAsia="仿宋_GB2312"/>
        </w:rPr>
        <w:t>.00</w:t>
      </w:r>
      <w:r>
        <w:rPr>
          <w:rFonts w:hint="eastAsia" w:eastAsia="仿宋_GB2312" w:cs="仿宋_GB2312"/>
        </w:rPr>
        <w:t>万元，其中环保投资</w:t>
      </w:r>
      <w:r>
        <w:rPr>
          <w:rFonts w:hint="eastAsia" w:eastAsia="仿宋_GB2312"/>
          <w:lang w:val="en-US" w:eastAsia="zh-CN"/>
        </w:rPr>
        <w:t>45</w:t>
      </w:r>
      <w:r>
        <w:rPr>
          <w:rFonts w:hint="eastAsia" w:eastAsia="仿宋_GB2312"/>
        </w:rPr>
        <w:t>.</w:t>
      </w:r>
      <w:r>
        <w:rPr>
          <w:rFonts w:hint="eastAsia" w:eastAsia="仿宋_GB2312"/>
          <w:lang w:val="en-US" w:eastAsia="zh-CN"/>
        </w:rPr>
        <w:t>0</w:t>
      </w:r>
      <w:r>
        <w:rPr>
          <w:rFonts w:hint="eastAsia" w:eastAsia="仿宋_GB2312"/>
        </w:rPr>
        <w:t>0</w:t>
      </w:r>
      <w:r>
        <w:rPr>
          <w:rFonts w:hint="eastAsia" w:eastAsia="仿宋_GB2312" w:cs="仿宋_GB2312"/>
        </w:rPr>
        <w:t>万元，占比</w:t>
      </w:r>
      <w:r>
        <w:rPr>
          <w:rFonts w:hint="eastAsia" w:eastAsia="仿宋_GB2312" w:cs="仿宋_GB2312"/>
          <w:lang w:val="en-US" w:eastAsia="zh-CN"/>
        </w:rPr>
        <w:t>0.56</w:t>
      </w:r>
      <w:r>
        <w:rPr>
          <w:rFonts w:hint="eastAsia" w:eastAsia="仿宋_GB2312" w:cs="仿宋_GB2312"/>
        </w:rPr>
        <w:t>%。</w:t>
      </w:r>
    </w:p>
    <w:p w14:paraId="6F8B22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s="仿宋_GB2312"/>
          <w:sz w:val="32"/>
          <w:szCs w:val="32"/>
        </w:rPr>
      </w:pPr>
      <w:r>
        <w:rPr>
          <w:rFonts w:hint="eastAsia" w:eastAsia="仿宋_GB2312" w:cs="仿宋_GB2312"/>
          <w:sz w:val="32"/>
          <w:szCs w:val="32"/>
        </w:rPr>
        <w:t>项目已获得广西壮族自治区投资项目备案证明</w:t>
      </w:r>
      <w:r>
        <w:rPr>
          <w:rFonts w:hint="eastAsia" w:eastAsia="仿宋_GB2312" w:cs="仿宋_GB2312"/>
          <w:sz w:val="32"/>
          <w:szCs w:val="32"/>
          <w:lang w:val="en-US" w:eastAsia="zh-CN"/>
        </w:rPr>
        <w:t>及柳城县工业区管理委员会的入园证明</w:t>
      </w:r>
      <w:r>
        <w:rPr>
          <w:rFonts w:hint="eastAsia" w:eastAsia="仿宋_GB2312" w:cs="仿宋_GB2312"/>
          <w:sz w:val="32"/>
          <w:szCs w:val="32"/>
        </w:rPr>
        <w:t>。从环境影响角度考虑，同意你公司按照《报告表》所列的建设项目的地点、性质、规模、采取的环境保护对策措施及下述要求进行项目建设。</w:t>
      </w:r>
    </w:p>
    <w:p w14:paraId="2F7729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s="仿宋_GB2312"/>
          <w:sz w:val="32"/>
          <w:szCs w:val="32"/>
        </w:rPr>
      </w:pPr>
      <w:r>
        <w:rPr>
          <w:rFonts w:hint="eastAsia" w:eastAsia="仿宋_GB2312" w:cs="仿宋_GB2312"/>
          <w:sz w:val="32"/>
          <w:szCs w:val="32"/>
        </w:rPr>
        <w:t>项目须落实《报告表》提出的各项环保要求，重点抓好以下环保工作：</w:t>
      </w:r>
    </w:p>
    <w:p w14:paraId="6F023461">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ascii="Times New Roman" w:hAnsi="Times New Roman" w:eastAsia="仿宋_GB2312" w:cs="仿宋_GB2312"/>
          <w:sz w:val="32"/>
          <w:szCs w:val="32"/>
        </w:rPr>
      </w:pPr>
      <w:r>
        <w:rPr>
          <w:rFonts w:hint="eastAsia" w:eastAsia="仿宋_GB2312" w:cs="仿宋_GB2312"/>
          <w:sz w:val="32"/>
          <w:szCs w:val="32"/>
        </w:rPr>
        <w:t>项目</w:t>
      </w:r>
      <w:r>
        <w:rPr>
          <w:rFonts w:hint="eastAsia" w:eastAsia="仿宋_GB2312" w:cs="仿宋_GB2312"/>
          <w:sz w:val="32"/>
          <w:szCs w:val="32"/>
          <w:lang w:val="en-US" w:eastAsia="zh-CN"/>
        </w:rPr>
        <w:t>涂胶、热压</w:t>
      </w:r>
      <w:r>
        <w:rPr>
          <w:rFonts w:hint="eastAsia" w:eastAsia="仿宋_GB2312" w:cs="仿宋_GB2312"/>
          <w:sz w:val="32"/>
          <w:szCs w:val="32"/>
        </w:rPr>
        <w:t>工序产生的废气经包围型集气罩（含软帘）收集后通过</w:t>
      </w:r>
      <w:r>
        <w:rPr>
          <w:rFonts w:hint="eastAsia" w:eastAsia="仿宋_GB2312" w:cs="仿宋_GB2312"/>
          <w:sz w:val="32"/>
          <w:szCs w:val="32"/>
          <w:lang w:val="en-US" w:eastAsia="zh-CN"/>
        </w:rPr>
        <w:t>二级活性炭吸</w:t>
      </w:r>
      <w:r>
        <w:rPr>
          <w:rFonts w:hint="eastAsia" w:ascii="Times New Roman" w:hAnsi="Times New Roman" w:eastAsia="仿宋_GB2312" w:cs="仿宋_GB2312"/>
          <w:sz w:val="32"/>
          <w:szCs w:val="32"/>
          <w:lang w:val="en-US" w:eastAsia="zh-CN"/>
        </w:rPr>
        <w:t>附装置</w:t>
      </w:r>
      <w:r>
        <w:rPr>
          <w:rFonts w:hint="eastAsia" w:ascii="Times New Roman" w:hAnsi="Times New Roman" w:eastAsia="仿宋_GB2312" w:cs="仿宋_GB2312"/>
          <w:sz w:val="32"/>
          <w:szCs w:val="32"/>
        </w:rPr>
        <w:t>处理，经</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根17米高排气筒（DA001）排放，须确保有组织外排的甲醛、非甲烷总烃、</w:t>
      </w:r>
      <w:r>
        <w:rPr>
          <w:rFonts w:hint="eastAsia" w:ascii="Times New Roman" w:hAnsi="Times New Roman" w:eastAsia="仿宋_GB2312" w:cs="仿宋_GB2312"/>
          <w:sz w:val="32"/>
          <w:szCs w:val="32"/>
          <w:lang w:val="en-US" w:eastAsia="zh-CN"/>
        </w:rPr>
        <w:t>颗粒物</w:t>
      </w:r>
      <w:r>
        <w:rPr>
          <w:rFonts w:hint="eastAsia" w:ascii="Times New Roman" w:hAnsi="Times New Roman" w:eastAsia="仿宋_GB2312" w:cs="仿宋_GB2312"/>
          <w:sz w:val="32"/>
          <w:szCs w:val="32"/>
        </w:rPr>
        <w:t>排放</w:t>
      </w:r>
      <w:r>
        <w:rPr>
          <w:rFonts w:hint="eastAsia" w:ascii="Times New Roman" w:hAnsi="Times New Roman" w:eastAsia="仿宋_GB2312" w:cs="仿宋_GB2312"/>
          <w:sz w:val="32"/>
          <w:szCs w:val="32"/>
          <w:lang w:val="en-US" w:eastAsia="zh-CN"/>
        </w:rPr>
        <w:t>速率和</w:t>
      </w:r>
      <w:r>
        <w:rPr>
          <w:rFonts w:hint="eastAsia" w:ascii="Times New Roman" w:hAnsi="Times New Roman" w:eastAsia="仿宋_GB2312" w:cs="仿宋_GB2312"/>
          <w:sz w:val="32"/>
          <w:szCs w:val="32"/>
        </w:rPr>
        <w:t>浓度能够</w:t>
      </w:r>
      <w:r>
        <w:rPr>
          <w:rFonts w:hint="eastAsia" w:ascii="Times New Roman" w:hAnsi="Times New Roman" w:eastAsia="仿宋_GB2312" w:cs="仿宋_GB2312"/>
          <w:sz w:val="32"/>
          <w:szCs w:val="32"/>
          <w:lang w:val="en-US" w:eastAsia="zh-CN"/>
        </w:rPr>
        <w:t>达到GB 16297-1996《</w:t>
      </w:r>
      <w:bookmarkStart w:id="0" w:name="OLE_LINK20"/>
      <w:r>
        <w:rPr>
          <w:rFonts w:hint="eastAsia" w:ascii="Times New Roman" w:hAnsi="Times New Roman" w:eastAsia="仿宋_GB2312" w:cs="仿宋_GB2312"/>
          <w:sz w:val="32"/>
          <w:szCs w:val="32"/>
          <w:lang w:val="en-US" w:eastAsia="zh-CN"/>
        </w:rPr>
        <w:t>大气污</w:t>
      </w:r>
      <w:r>
        <w:rPr>
          <w:rFonts w:hint="eastAsia" w:ascii="Times New Roman" w:hAnsi="Times New Roman" w:eastAsia="仿宋_GB2312" w:cs="仿宋_GB2312"/>
          <w:sz w:val="32"/>
          <w:szCs w:val="32"/>
        </w:rPr>
        <w:t>染物综合排放标准</w:t>
      </w:r>
      <w:bookmarkEnd w:id="0"/>
      <w:r>
        <w:rPr>
          <w:rFonts w:hint="eastAsia" w:ascii="Times New Roman" w:hAnsi="Times New Roman" w:eastAsia="仿宋_GB2312" w:cs="仿宋_GB2312"/>
          <w:sz w:val="32"/>
          <w:szCs w:val="32"/>
        </w:rPr>
        <w:t>》中表2新污染源大气污染物排放限值</w:t>
      </w:r>
      <w:r>
        <w:rPr>
          <w:rFonts w:hint="eastAsia" w:ascii="Times New Roman" w:hAnsi="Times New Roman" w:eastAsia="仿宋_GB2312" w:cs="仿宋_GB2312"/>
          <w:sz w:val="32"/>
          <w:szCs w:val="32"/>
          <w:lang w:val="en-US" w:eastAsia="zh-CN"/>
        </w:rPr>
        <w:t>要求</w:t>
      </w:r>
      <w:r>
        <w:rPr>
          <w:rFonts w:hint="eastAsia" w:ascii="Times New Roman" w:hAnsi="Times New Roman" w:eastAsia="仿宋_GB2312" w:cs="仿宋_GB2312"/>
          <w:sz w:val="32"/>
          <w:szCs w:val="32"/>
        </w:rPr>
        <w:t>。</w:t>
      </w:r>
    </w:p>
    <w:p w14:paraId="632998E1">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jc w:val="distribute"/>
        <w:textAlignment w:val="auto"/>
        <w:rPr>
          <w:rFonts w:hint="eastAsia" w:ascii="Times New Roman" w:hAnsi="Times New Roman" w:eastAsia="仿宋_GB2312" w:cs="仿宋_GB2312"/>
          <w:sz w:val="32"/>
          <w:szCs w:val="32"/>
          <w:lang w:val="en-US" w:eastAsia="zh-CN"/>
        </w:rPr>
      </w:pPr>
      <w:r>
        <w:rPr>
          <w:rFonts w:hint="eastAsia" w:eastAsia="仿宋_GB2312" w:cs="仿宋_GB2312"/>
          <w:sz w:val="32"/>
          <w:szCs w:val="32"/>
        </w:rPr>
        <w:t>项目</w:t>
      </w:r>
      <w:r>
        <w:rPr>
          <w:rFonts w:hint="eastAsia" w:eastAsia="仿宋_GB2312" w:cs="仿宋_GB2312"/>
          <w:sz w:val="32"/>
          <w:szCs w:val="32"/>
          <w:lang w:val="en-US" w:eastAsia="zh-CN"/>
        </w:rPr>
        <w:t>锯边、打磨</w:t>
      </w:r>
      <w:r>
        <w:rPr>
          <w:rFonts w:hint="eastAsia" w:eastAsia="仿宋_GB2312" w:cs="仿宋_GB2312"/>
          <w:sz w:val="32"/>
          <w:szCs w:val="32"/>
        </w:rPr>
        <w:t>工序产生的废气经</w:t>
      </w:r>
      <w:r>
        <w:rPr>
          <w:rFonts w:hint="eastAsia" w:eastAsia="仿宋_GB2312" w:cs="仿宋_GB2312"/>
          <w:sz w:val="32"/>
          <w:szCs w:val="32"/>
          <w:lang w:val="en-US" w:eastAsia="zh-CN"/>
        </w:rPr>
        <w:t>集尘管</w:t>
      </w:r>
      <w:r>
        <w:rPr>
          <w:rFonts w:hint="eastAsia" w:eastAsia="仿宋_GB2312" w:cs="仿宋_GB2312"/>
          <w:sz w:val="32"/>
          <w:szCs w:val="32"/>
        </w:rPr>
        <w:t>收集后通过</w:t>
      </w:r>
      <w:r>
        <w:rPr>
          <w:rFonts w:hint="eastAsia" w:eastAsia="仿宋_GB2312" w:cs="仿宋_GB2312"/>
          <w:sz w:val="32"/>
          <w:szCs w:val="32"/>
          <w:lang w:val="en-US" w:eastAsia="zh-CN"/>
        </w:rPr>
        <w:t>“旋风+布袋除尘器”</w:t>
      </w:r>
      <w:r>
        <w:rPr>
          <w:rFonts w:hint="eastAsia" w:eastAsia="仿宋_GB2312" w:cs="仿宋_GB2312"/>
          <w:sz w:val="32"/>
          <w:szCs w:val="32"/>
        </w:rPr>
        <w:t>处理，经</w:t>
      </w:r>
      <w:r>
        <w:rPr>
          <w:rFonts w:hint="eastAsia" w:eastAsia="仿宋_GB2312" w:cs="仿宋_GB2312"/>
          <w:sz w:val="32"/>
          <w:szCs w:val="32"/>
          <w:lang w:val="en-US" w:eastAsia="zh-CN"/>
        </w:rPr>
        <w:t>1</w:t>
      </w:r>
      <w:r>
        <w:rPr>
          <w:rFonts w:hint="eastAsia" w:eastAsia="仿宋_GB2312" w:cs="仿宋_GB2312"/>
          <w:sz w:val="32"/>
          <w:szCs w:val="32"/>
        </w:rPr>
        <w:t>根1</w:t>
      </w:r>
      <w:r>
        <w:rPr>
          <w:rFonts w:hint="eastAsia" w:eastAsia="仿宋_GB2312" w:cs="仿宋_GB2312"/>
          <w:sz w:val="32"/>
          <w:szCs w:val="32"/>
          <w:lang w:val="en-US" w:eastAsia="zh-CN"/>
        </w:rPr>
        <w:t>7</w:t>
      </w:r>
      <w:r>
        <w:rPr>
          <w:rFonts w:hint="eastAsia" w:eastAsia="仿宋_GB2312" w:cs="仿宋_GB2312"/>
          <w:sz w:val="32"/>
          <w:szCs w:val="32"/>
        </w:rPr>
        <w:t>米高排气筒（DA00</w:t>
      </w:r>
      <w:r>
        <w:rPr>
          <w:rFonts w:hint="eastAsia" w:eastAsia="仿宋_GB2312" w:cs="仿宋_GB2312"/>
          <w:sz w:val="32"/>
          <w:szCs w:val="32"/>
          <w:lang w:val="en-US" w:eastAsia="zh-CN"/>
        </w:rPr>
        <w:t>2</w:t>
      </w:r>
      <w:r>
        <w:rPr>
          <w:rFonts w:hint="eastAsia" w:eastAsia="仿宋_GB2312" w:cs="仿宋_GB2312"/>
          <w:sz w:val="32"/>
          <w:szCs w:val="32"/>
        </w:rPr>
        <w:t>）排放</w:t>
      </w:r>
      <w:r>
        <w:rPr>
          <w:rFonts w:hint="eastAsia" w:ascii="Times New Roman" w:hAnsi="Times New Roman" w:eastAsia="仿宋_GB2312" w:cs="仿宋_GB2312"/>
          <w:sz w:val="32"/>
          <w:szCs w:val="32"/>
          <w:lang w:val="en-US" w:eastAsia="zh-CN"/>
        </w:rPr>
        <w:t>，须确保有组织外排的颗粒物排放浓度和速率能够达到</w:t>
      </w:r>
    </w:p>
    <w:p w14:paraId="76AFA5B0">
      <w:pPr>
        <w:pStyle w:val="57"/>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GB</w:t>
      </w:r>
      <w:r>
        <w:rPr>
          <w:rFonts w:hint="default" w:eastAsia="仿宋_GB2312" w:cs="仿宋_GB2312"/>
          <w:sz w:val="32"/>
          <w:szCs w:val="32"/>
          <w:lang w:eastAsia="zh-CN"/>
        </w:rPr>
        <w:t xml:space="preserve"> </w:t>
      </w:r>
      <w:r>
        <w:rPr>
          <w:rFonts w:hint="eastAsia" w:ascii="Times New Roman" w:hAnsi="Times New Roman" w:eastAsia="仿宋_GB2312" w:cs="仿宋_GB2312"/>
          <w:sz w:val="32"/>
          <w:szCs w:val="32"/>
          <w:lang w:val="en-US" w:eastAsia="zh-CN"/>
        </w:rPr>
        <w:t>16297-1996《大气污染物综合排放标准》中表2新污染源大气污染物排放限值要求。</w:t>
      </w:r>
    </w:p>
    <w:p w14:paraId="53A05FC0">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jc w:val="left"/>
        <w:textAlignment w:val="auto"/>
        <w:rPr>
          <w:rFonts w:eastAsia="仿宋_GB2312" w:cs="仿宋_GB2312"/>
          <w:sz w:val="32"/>
          <w:szCs w:val="32"/>
        </w:rPr>
      </w:pPr>
      <w:r>
        <w:rPr>
          <w:rFonts w:hint="eastAsia" w:eastAsia="仿宋_GB2312" w:cs="仿宋_GB2312"/>
          <w:sz w:val="32"/>
          <w:szCs w:val="32"/>
        </w:rPr>
        <w:t>项目拟建设一台</w:t>
      </w:r>
      <w:r>
        <w:rPr>
          <w:rFonts w:hint="default" w:eastAsia="仿宋_GB2312" w:cs="仿宋_GB2312"/>
          <w:sz w:val="32"/>
          <w:szCs w:val="32"/>
        </w:rPr>
        <w:t>额定蒸发量为</w:t>
      </w:r>
      <w:r>
        <w:rPr>
          <w:rFonts w:hint="eastAsia" w:eastAsia="仿宋_GB2312" w:cs="仿宋_GB2312"/>
          <w:sz w:val="32"/>
          <w:szCs w:val="32"/>
          <w:lang w:val="en-US" w:eastAsia="zh-CN"/>
        </w:rPr>
        <w:t>4</w:t>
      </w:r>
      <w:r>
        <w:rPr>
          <w:rFonts w:hint="default" w:eastAsia="仿宋_GB2312" w:cs="仿宋_GB2312"/>
          <w:sz w:val="32"/>
          <w:szCs w:val="32"/>
          <w:lang w:eastAsia="zh-CN"/>
        </w:rPr>
        <w:t>吨</w:t>
      </w:r>
      <w:r>
        <w:rPr>
          <w:rFonts w:hint="eastAsia" w:eastAsia="仿宋_GB2312" w:cs="仿宋_GB2312"/>
          <w:sz w:val="32"/>
          <w:szCs w:val="32"/>
          <w:lang w:val="en-US" w:eastAsia="zh-CN"/>
        </w:rPr>
        <w:t>/</w:t>
      </w:r>
      <w:r>
        <w:rPr>
          <w:rFonts w:hint="default" w:eastAsia="仿宋_GB2312" w:cs="仿宋_GB2312"/>
          <w:sz w:val="32"/>
          <w:szCs w:val="32"/>
          <w:lang w:eastAsia="zh-CN"/>
        </w:rPr>
        <w:t>小时的</w:t>
      </w:r>
      <w:r>
        <w:rPr>
          <w:rFonts w:hint="eastAsia" w:eastAsia="仿宋_GB2312" w:cs="仿宋_GB2312"/>
          <w:sz w:val="32"/>
          <w:szCs w:val="32"/>
        </w:rPr>
        <w:t>燃生物质</w:t>
      </w:r>
      <w:r>
        <w:rPr>
          <w:rFonts w:hint="eastAsia" w:eastAsia="仿宋_GB2312" w:cs="仿宋_GB2312"/>
          <w:sz w:val="32"/>
          <w:szCs w:val="32"/>
          <w:lang w:val="en-US" w:eastAsia="zh-CN"/>
        </w:rPr>
        <w:t>锅炉</w:t>
      </w:r>
      <w:r>
        <w:rPr>
          <w:rFonts w:hint="eastAsia" w:eastAsia="仿宋_GB2312" w:cs="仿宋_GB2312"/>
          <w:sz w:val="32"/>
          <w:szCs w:val="32"/>
        </w:rPr>
        <w:t>，产生的</w:t>
      </w:r>
      <w:r>
        <w:rPr>
          <w:rFonts w:hint="default" w:eastAsia="仿宋_GB2312" w:cs="仿宋_GB2312"/>
          <w:sz w:val="32"/>
          <w:szCs w:val="32"/>
        </w:rPr>
        <w:t>锅炉</w:t>
      </w:r>
      <w:r>
        <w:rPr>
          <w:rFonts w:hint="eastAsia" w:eastAsia="仿宋_GB2312" w:cs="仿宋_GB2312"/>
          <w:sz w:val="32"/>
          <w:szCs w:val="32"/>
        </w:rPr>
        <w:t>废气通过</w:t>
      </w:r>
      <w:r>
        <w:rPr>
          <w:rFonts w:hint="default" w:eastAsia="仿宋_GB2312" w:cs="仿宋_GB2312"/>
          <w:sz w:val="32"/>
          <w:szCs w:val="32"/>
        </w:rPr>
        <w:t>“</w:t>
      </w:r>
      <w:r>
        <w:rPr>
          <w:rFonts w:hint="eastAsia" w:ascii="Times New Roman" w:hAnsi="Times New Roman" w:eastAsia="仿宋_GB2312" w:cs="仿宋_GB2312"/>
          <w:sz w:val="32"/>
          <w:szCs w:val="32"/>
          <w:lang w:val="en-US" w:eastAsia="zh-CN"/>
        </w:rPr>
        <w:t>旋风+布袋除尘器</w:t>
      </w:r>
      <w:r>
        <w:rPr>
          <w:rFonts w:hint="default" w:eastAsia="仿宋_GB2312" w:cs="仿宋_GB2312"/>
          <w:sz w:val="32"/>
          <w:szCs w:val="32"/>
        </w:rPr>
        <w:t>”</w:t>
      </w:r>
      <w:r>
        <w:rPr>
          <w:rFonts w:hint="eastAsia" w:ascii="Times New Roman" w:hAnsi="Times New Roman" w:eastAsia="仿宋_GB2312" w:cs="仿宋_GB2312"/>
          <w:sz w:val="32"/>
          <w:szCs w:val="32"/>
          <w:lang w:val="en-US" w:eastAsia="zh-CN"/>
        </w:rPr>
        <w:t>处理</w:t>
      </w:r>
      <w:r>
        <w:rPr>
          <w:rFonts w:hint="eastAsia" w:ascii="Times New Roman" w:hAnsi="Times New Roman" w:eastAsia="仿宋_GB2312" w:cs="仿宋_GB2312"/>
          <w:sz w:val="32"/>
          <w:szCs w:val="32"/>
        </w:rPr>
        <w:t>，经</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根</w:t>
      </w:r>
      <w:r>
        <w:rPr>
          <w:rFonts w:hint="eastAsia" w:eastAsia="仿宋_GB2312" w:cs="仿宋_GB2312"/>
          <w:sz w:val="32"/>
          <w:szCs w:val="32"/>
          <w:lang w:val="en-US" w:eastAsia="zh-CN"/>
        </w:rPr>
        <w:t>35</w:t>
      </w:r>
      <w:r>
        <w:rPr>
          <w:rFonts w:hint="eastAsia" w:eastAsia="仿宋_GB2312" w:cs="仿宋_GB2312"/>
          <w:sz w:val="32"/>
          <w:szCs w:val="32"/>
        </w:rPr>
        <w:t>米高排气筒（DA00</w:t>
      </w:r>
      <w:r>
        <w:rPr>
          <w:rFonts w:hint="eastAsia" w:eastAsia="仿宋_GB2312" w:cs="仿宋_GB2312"/>
          <w:sz w:val="32"/>
          <w:szCs w:val="32"/>
          <w:lang w:val="en-US" w:eastAsia="zh-CN"/>
        </w:rPr>
        <w:t>3</w:t>
      </w:r>
      <w:r>
        <w:rPr>
          <w:rFonts w:hint="eastAsia" w:eastAsia="仿宋_GB2312" w:cs="仿宋_GB2312"/>
          <w:sz w:val="32"/>
          <w:szCs w:val="32"/>
        </w:rPr>
        <w:t>）排放，须确保有组织外排的颗粒物、二氧化硫、氮氧化物排放浓度</w:t>
      </w:r>
      <w:r>
        <w:rPr>
          <w:rFonts w:hint="eastAsia" w:eastAsia="仿宋_GB2312" w:cs="仿宋_GB2312"/>
          <w:sz w:val="32"/>
          <w:szCs w:val="32"/>
          <w:lang w:val="en-US" w:eastAsia="zh-CN"/>
        </w:rPr>
        <w:t>和烟气黑度</w:t>
      </w:r>
      <w:r>
        <w:rPr>
          <w:rFonts w:hint="eastAsia" w:eastAsia="仿宋_GB2312" w:cs="仿宋_GB2312"/>
          <w:sz w:val="32"/>
          <w:szCs w:val="32"/>
        </w:rPr>
        <w:t>能够</w:t>
      </w:r>
      <w:r>
        <w:rPr>
          <w:rFonts w:hint="eastAsia" w:eastAsia="仿宋_GB2312" w:cs="仿宋_GB2312"/>
          <w:sz w:val="32"/>
          <w:szCs w:val="32"/>
          <w:lang w:val="en-US" w:eastAsia="zh-CN"/>
        </w:rPr>
        <w:t>达到</w:t>
      </w:r>
      <w:r>
        <w:rPr>
          <w:rFonts w:hint="eastAsia" w:eastAsia="仿宋_GB2312" w:cs="仿宋_GB2312"/>
          <w:sz w:val="32"/>
          <w:szCs w:val="32"/>
        </w:rPr>
        <w:t>GB</w:t>
      </w:r>
      <w:r>
        <w:rPr>
          <w:rFonts w:hint="eastAsia" w:eastAsia="仿宋_GB2312" w:cs="仿宋_GB2312"/>
          <w:sz w:val="32"/>
          <w:szCs w:val="32"/>
          <w:lang w:val="en-US" w:eastAsia="zh-CN"/>
        </w:rPr>
        <w:t xml:space="preserve"> </w:t>
      </w:r>
      <w:r>
        <w:rPr>
          <w:rFonts w:hint="eastAsia" w:eastAsia="仿宋_GB2312" w:cs="仿宋_GB2312"/>
          <w:sz w:val="32"/>
          <w:szCs w:val="32"/>
        </w:rPr>
        <w:t>13271-2014《</w:t>
      </w:r>
      <w:bookmarkStart w:id="1" w:name="OLE_LINK13"/>
      <w:r>
        <w:rPr>
          <w:rFonts w:hint="eastAsia" w:eastAsia="仿宋_GB2312" w:cs="仿宋_GB2312"/>
          <w:sz w:val="32"/>
          <w:szCs w:val="32"/>
        </w:rPr>
        <w:t>锅炉大气污染物排放标准</w:t>
      </w:r>
      <w:bookmarkEnd w:id="1"/>
      <w:r>
        <w:rPr>
          <w:rFonts w:hint="eastAsia" w:eastAsia="仿宋_GB2312" w:cs="仿宋_GB2312"/>
          <w:sz w:val="32"/>
          <w:szCs w:val="32"/>
        </w:rPr>
        <w:t>》表2新建锅炉大气污染物排放浓度限值</w:t>
      </w:r>
      <w:r>
        <w:rPr>
          <w:rFonts w:hint="eastAsia" w:eastAsia="仿宋_GB2312" w:cs="仿宋_GB2312"/>
          <w:sz w:val="32"/>
          <w:szCs w:val="32"/>
          <w:lang w:val="en-US" w:eastAsia="zh-CN"/>
        </w:rPr>
        <w:t>中燃煤锅炉</w:t>
      </w:r>
      <w:r>
        <w:rPr>
          <w:rFonts w:hint="eastAsia" w:eastAsia="仿宋_GB2312" w:cs="仿宋_GB2312"/>
          <w:sz w:val="32"/>
          <w:szCs w:val="32"/>
        </w:rPr>
        <w:t>排放浓度限值</w:t>
      </w:r>
      <w:r>
        <w:rPr>
          <w:rFonts w:hint="eastAsia" w:eastAsia="仿宋_GB2312" w:cs="仿宋_GB2312"/>
          <w:sz w:val="32"/>
          <w:szCs w:val="32"/>
          <w:lang w:val="en-US" w:eastAsia="zh-CN"/>
        </w:rPr>
        <w:t>要求</w:t>
      </w:r>
      <w:r>
        <w:rPr>
          <w:rFonts w:hint="eastAsia" w:eastAsia="仿宋_GB2312" w:cs="仿宋_GB2312"/>
          <w:sz w:val="32"/>
          <w:szCs w:val="32"/>
        </w:rPr>
        <w:t>。</w:t>
      </w:r>
    </w:p>
    <w:p w14:paraId="57BC496C">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jc w:val="distribute"/>
        <w:textAlignment w:val="auto"/>
        <w:rPr>
          <w:rFonts w:eastAsia="仿宋_GB2312" w:cs="仿宋_GB2312"/>
          <w:color w:val="000000"/>
          <w:sz w:val="32"/>
          <w:szCs w:val="32"/>
        </w:rPr>
      </w:pPr>
      <w:r>
        <w:rPr>
          <w:rFonts w:hint="eastAsia" w:eastAsia="仿宋_GB2312" w:cs="仿宋_GB2312"/>
          <w:sz w:val="32"/>
          <w:szCs w:val="32"/>
        </w:rPr>
        <w:t>项目</w:t>
      </w:r>
      <w:r>
        <w:rPr>
          <w:rFonts w:hint="eastAsia" w:eastAsia="仿宋_GB2312" w:cs="仿宋_GB2312"/>
          <w:sz w:val="32"/>
          <w:szCs w:val="32"/>
          <w:lang w:val="en-US" w:eastAsia="zh-CN"/>
        </w:rPr>
        <w:t>旋切、</w:t>
      </w:r>
      <w:r>
        <w:rPr>
          <w:rFonts w:hint="eastAsia" w:eastAsia="仿宋_GB2312" w:cs="仿宋_GB2312"/>
          <w:sz w:val="32"/>
          <w:szCs w:val="32"/>
        </w:rPr>
        <w:t>涂胶、热压</w:t>
      </w:r>
      <w:r>
        <w:rPr>
          <w:rFonts w:hint="eastAsia" w:eastAsia="仿宋_GB2312" w:cs="仿宋_GB2312"/>
          <w:sz w:val="32"/>
          <w:szCs w:val="32"/>
          <w:lang w:eastAsia="zh-CN"/>
        </w:rPr>
        <w:t>、</w:t>
      </w:r>
      <w:r>
        <w:rPr>
          <w:rFonts w:hint="eastAsia" w:eastAsia="仿宋_GB2312" w:cs="仿宋_GB2312"/>
          <w:sz w:val="32"/>
          <w:szCs w:val="32"/>
          <w:lang w:val="en-US" w:eastAsia="zh-CN"/>
        </w:rPr>
        <w:t>砂光和锯边工序未收集的废气</w:t>
      </w:r>
      <w:r>
        <w:rPr>
          <w:rFonts w:hint="eastAsia" w:eastAsia="仿宋_GB2312" w:cs="仿宋_GB2312"/>
          <w:sz w:val="32"/>
          <w:szCs w:val="32"/>
        </w:rPr>
        <w:t>无组织排放。须</w:t>
      </w:r>
      <w:r>
        <w:rPr>
          <w:rFonts w:hint="eastAsia" w:eastAsia="仿宋_GB2312" w:cs="仿宋_GB2312"/>
          <w:sz w:val="32"/>
          <w:szCs w:val="32"/>
          <w:lang w:val="en-US" w:eastAsia="zh-CN"/>
        </w:rPr>
        <w:t>设置抽排风系统、加强车间通风，</w:t>
      </w:r>
      <w:r>
        <w:rPr>
          <w:rFonts w:hint="eastAsia" w:eastAsia="仿宋_GB2312" w:cs="仿宋_GB2312"/>
          <w:sz w:val="32"/>
          <w:szCs w:val="32"/>
        </w:rPr>
        <w:t>确保</w:t>
      </w:r>
      <w:r>
        <w:rPr>
          <w:rFonts w:hint="eastAsia" w:eastAsia="仿宋_GB2312" w:cs="仿宋_GB2312"/>
          <w:sz w:val="32"/>
          <w:szCs w:val="32"/>
          <w:lang w:val="en-US" w:eastAsia="zh-CN"/>
        </w:rPr>
        <w:t>厂界</w:t>
      </w:r>
      <w:r>
        <w:rPr>
          <w:rFonts w:hint="eastAsia" w:eastAsia="仿宋_GB2312" w:cs="仿宋_GB2312"/>
          <w:sz w:val="32"/>
          <w:szCs w:val="32"/>
        </w:rPr>
        <w:t>无组织外排的</w:t>
      </w:r>
      <w:r>
        <w:rPr>
          <w:rFonts w:hint="eastAsia" w:eastAsia="仿宋_GB2312" w:cs="仿宋_GB2312"/>
          <w:sz w:val="32"/>
          <w:szCs w:val="32"/>
          <w:lang w:val="en-US" w:eastAsia="zh-CN"/>
        </w:rPr>
        <w:t>颗粒物、甲醛、非甲烷总烃排放浓度</w:t>
      </w:r>
      <w:r>
        <w:rPr>
          <w:rFonts w:hint="eastAsia" w:eastAsia="仿宋_GB2312" w:cs="仿宋_GB2312"/>
          <w:sz w:val="32"/>
          <w:szCs w:val="32"/>
        </w:rPr>
        <w:t>能够达到</w:t>
      </w:r>
    </w:p>
    <w:p w14:paraId="144044D4">
      <w:pPr>
        <w:pStyle w:val="57"/>
        <w:keepNext w:val="0"/>
        <w:keepLines w:val="0"/>
        <w:pageBreakBefore w:val="0"/>
        <w:widowControl w:val="0"/>
        <w:numPr>
          <w:ilvl w:val="0"/>
          <w:numId w:val="0"/>
        </w:numPr>
        <w:kinsoku/>
        <w:wordWrap/>
        <w:overflowPunct/>
        <w:topLinePunct w:val="0"/>
        <w:autoSpaceDE/>
        <w:autoSpaceDN/>
        <w:bidi w:val="0"/>
        <w:adjustRightInd/>
        <w:snapToGrid/>
        <w:spacing w:line="520" w:lineRule="exact"/>
        <w:jc w:val="distribute"/>
        <w:textAlignment w:val="auto"/>
        <w:rPr>
          <w:rFonts w:eastAsia="仿宋_GB2312" w:cs="仿宋_GB2312"/>
          <w:color w:val="000000"/>
          <w:sz w:val="32"/>
          <w:szCs w:val="32"/>
        </w:rPr>
      </w:pPr>
      <w:r>
        <w:rPr>
          <w:rFonts w:hint="eastAsia" w:eastAsia="仿宋_GB2312" w:cs="仿宋_GB2312"/>
          <w:sz w:val="32"/>
          <w:szCs w:val="32"/>
          <w:lang w:val="en-US" w:eastAsia="zh-CN"/>
        </w:rPr>
        <w:t>GB 16297-1996《大气污染物综合排放标准》表2新污染源大气污染物排放限值中无组织排放监控浓度限值标准要求；厂区内非甲烷总烃无组织排放浓度达到GB 37822-2019《挥发性有机物无组织排放控制标准》中表A.1厂区内VOCs无组织排放限值要求。</w:t>
      </w:r>
    </w:p>
    <w:p w14:paraId="45B905EE">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jc w:val="distribute"/>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rPr>
        <w:t>项目无生产废水</w:t>
      </w:r>
      <w:r>
        <w:rPr>
          <w:rFonts w:hint="eastAsia" w:eastAsia="仿宋_GB2312" w:cs="仿宋_GB2312"/>
          <w:color w:val="000000"/>
          <w:sz w:val="32"/>
          <w:szCs w:val="32"/>
          <w:lang w:val="en-US" w:eastAsia="zh-CN"/>
        </w:rPr>
        <w:t>外排</w:t>
      </w:r>
      <w:r>
        <w:rPr>
          <w:rFonts w:hint="eastAsia" w:eastAsia="仿宋_GB2312" w:cs="仿宋_GB2312"/>
          <w:color w:val="000000"/>
          <w:sz w:val="32"/>
          <w:szCs w:val="32"/>
          <w:lang w:eastAsia="zh-CN"/>
        </w:rPr>
        <w:t>，</w:t>
      </w:r>
      <w:r>
        <w:rPr>
          <w:rFonts w:hint="eastAsia" w:eastAsia="仿宋_GB2312" w:cs="仿宋_GB2312"/>
          <w:color w:val="000000"/>
          <w:sz w:val="32"/>
          <w:szCs w:val="32"/>
          <w:lang w:val="en-US" w:eastAsia="zh-CN"/>
        </w:rPr>
        <w:t>蒸汽发生器排污水用于厂区洒水降尘后全部蒸发损耗；项目近期生活污水经化粪池处理达到GB 8978-1996《污水综合排放标准》三级标准后定期委外清掏用作周围植被施肥，远期生活污水经化粪池预处理达到</w:t>
      </w:r>
    </w:p>
    <w:p w14:paraId="546307BA">
      <w:pPr>
        <w:pStyle w:val="57"/>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GB 8978-1996《污水综合排放标准》三级标准后通过市政污水管网排入河西片区马山组团规划污水处理厂处理。</w:t>
      </w:r>
    </w:p>
    <w:p w14:paraId="1B4550A6">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jc w:val="distribute"/>
        <w:textAlignment w:val="auto"/>
        <w:rPr>
          <w:rFonts w:eastAsia="仿宋_GB2312" w:cs="仿宋_GB2312"/>
          <w:color w:val="000000"/>
          <w:sz w:val="32"/>
          <w:szCs w:val="32"/>
        </w:rPr>
      </w:pPr>
      <w:r>
        <w:rPr>
          <w:rFonts w:hint="eastAsia" w:eastAsia="仿宋_GB2312" w:cs="仿宋_GB2312"/>
          <w:color w:val="000000"/>
          <w:sz w:val="32"/>
          <w:szCs w:val="32"/>
        </w:rPr>
        <w:t>优化总平面布置，选择低噪先进的设备。</w:t>
      </w:r>
      <w:r>
        <w:rPr>
          <w:rFonts w:hint="eastAsia" w:eastAsia="仿宋_GB2312" w:cs="仿宋_GB2312"/>
          <w:color w:val="000000"/>
          <w:sz w:val="32"/>
          <w:szCs w:val="32"/>
          <w:lang w:val="en-US" w:eastAsia="zh-CN"/>
        </w:rPr>
        <w:t>对噪声源较大的锯边机、抛光机、排板机、冷压机、热压机、风机等高噪声设备采取消声、减振措施后，</w:t>
      </w:r>
      <w:r>
        <w:rPr>
          <w:rFonts w:hint="eastAsia" w:eastAsia="仿宋_GB2312" w:cs="仿宋_GB2312"/>
          <w:color w:val="000000"/>
          <w:sz w:val="32"/>
          <w:szCs w:val="32"/>
        </w:rPr>
        <w:t>确保厂界</w:t>
      </w:r>
      <w:r>
        <w:rPr>
          <w:rFonts w:hint="eastAsia" w:eastAsia="仿宋_GB2312" w:cs="仿宋_GB2312"/>
          <w:color w:val="000000"/>
          <w:sz w:val="32"/>
          <w:szCs w:val="32"/>
          <w:lang w:val="en-US" w:eastAsia="zh-CN"/>
        </w:rPr>
        <w:t>西、南、北面</w:t>
      </w:r>
      <w:r>
        <w:rPr>
          <w:rFonts w:hint="eastAsia" w:eastAsia="仿宋_GB2312" w:cs="仿宋_GB2312"/>
          <w:color w:val="000000"/>
          <w:sz w:val="32"/>
          <w:szCs w:val="32"/>
        </w:rPr>
        <w:t>噪声达到GB</w:t>
      </w:r>
      <w:r>
        <w:rPr>
          <w:rFonts w:hint="eastAsia" w:eastAsia="仿宋_GB2312" w:cs="仿宋_GB2312"/>
          <w:color w:val="000000"/>
          <w:sz w:val="32"/>
          <w:szCs w:val="32"/>
          <w:lang w:val="en-US" w:eastAsia="zh-CN"/>
        </w:rPr>
        <w:t xml:space="preserve"> </w:t>
      </w:r>
      <w:r>
        <w:rPr>
          <w:rFonts w:hint="eastAsia" w:eastAsia="仿宋_GB2312" w:cs="仿宋_GB2312"/>
          <w:color w:val="000000"/>
          <w:sz w:val="32"/>
          <w:szCs w:val="32"/>
        </w:rPr>
        <w:t>12348-2008《工业企业厂界环境噪声排放标准</w:t>
      </w:r>
      <w:r>
        <w:rPr>
          <w:rFonts w:hint="eastAsia" w:eastAsia="仿宋_GB2312" w:cs="仿宋_GB2312"/>
          <w:sz w:val="32"/>
          <w:szCs w:val="32"/>
        </w:rPr>
        <w:t>》3类标准</w:t>
      </w:r>
      <w:r>
        <w:rPr>
          <w:rFonts w:hint="eastAsia" w:eastAsia="仿宋_GB2312" w:cs="仿宋_GB2312"/>
          <w:sz w:val="32"/>
          <w:szCs w:val="32"/>
          <w:lang w:eastAsia="zh-CN"/>
        </w:rPr>
        <w:t>，</w:t>
      </w:r>
      <w:r>
        <w:rPr>
          <w:rFonts w:hint="eastAsia" w:eastAsia="仿宋_GB2312" w:cs="仿宋_GB2312"/>
          <w:color w:val="000000"/>
          <w:sz w:val="32"/>
          <w:szCs w:val="32"/>
        </w:rPr>
        <w:t>厂界</w:t>
      </w:r>
      <w:r>
        <w:rPr>
          <w:rFonts w:hint="eastAsia" w:eastAsia="仿宋_GB2312" w:cs="仿宋_GB2312"/>
          <w:color w:val="000000"/>
          <w:sz w:val="32"/>
          <w:szCs w:val="32"/>
          <w:lang w:val="en-US" w:eastAsia="zh-CN"/>
        </w:rPr>
        <w:t>东面</w:t>
      </w:r>
      <w:r>
        <w:rPr>
          <w:rFonts w:hint="eastAsia" w:eastAsia="仿宋_GB2312" w:cs="仿宋_GB2312"/>
          <w:color w:val="000000"/>
          <w:sz w:val="32"/>
          <w:szCs w:val="32"/>
        </w:rPr>
        <w:t>噪声达到GB</w:t>
      </w:r>
      <w:r>
        <w:rPr>
          <w:rFonts w:hint="eastAsia" w:eastAsia="仿宋_GB2312" w:cs="仿宋_GB2312"/>
          <w:color w:val="000000"/>
          <w:sz w:val="32"/>
          <w:szCs w:val="32"/>
          <w:lang w:val="en-US" w:eastAsia="zh-CN"/>
        </w:rPr>
        <w:t xml:space="preserve"> </w:t>
      </w:r>
      <w:r>
        <w:rPr>
          <w:rFonts w:hint="eastAsia" w:eastAsia="仿宋_GB2312" w:cs="仿宋_GB2312"/>
          <w:color w:val="000000"/>
          <w:sz w:val="32"/>
          <w:szCs w:val="32"/>
        </w:rPr>
        <w:t>12348-2008《工业企业厂界环境噪声排放</w:t>
      </w:r>
    </w:p>
    <w:p w14:paraId="142E1DAA">
      <w:pPr>
        <w:pStyle w:val="57"/>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eastAsia="仿宋_GB2312" w:cs="仿宋_GB2312"/>
          <w:color w:val="000000"/>
          <w:sz w:val="32"/>
          <w:szCs w:val="32"/>
        </w:rPr>
      </w:pPr>
      <w:r>
        <w:rPr>
          <w:rFonts w:hint="eastAsia" w:eastAsia="仿宋_GB2312" w:cs="仿宋_GB2312"/>
          <w:color w:val="000000"/>
          <w:sz w:val="32"/>
          <w:szCs w:val="32"/>
        </w:rPr>
        <w:t>标准</w:t>
      </w:r>
      <w:r>
        <w:rPr>
          <w:rFonts w:hint="eastAsia" w:eastAsia="仿宋_GB2312" w:cs="仿宋_GB2312"/>
          <w:sz w:val="32"/>
          <w:szCs w:val="32"/>
        </w:rPr>
        <w:t>》</w:t>
      </w:r>
      <w:r>
        <w:rPr>
          <w:rFonts w:hint="eastAsia" w:eastAsia="仿宋_GB2312" w:cs="仿宋_GB2312"/>
          <w:sz w:val="32"/>
          <w:szCs w:val="32"/>
          <w:lang w:val="en-US" w:eastAsia="zh-CN"/>
        </w:rPr>
        <w:t>4</w:t>
      </w:r>
      <w:r>
        <w:rPr>
          <w:rFonts w:hint="eastAsia" w:eastAsia="仿宋_GB2312" w:cs="仿宋_GB2312"/>
          <w:sz w:val="32"/>
          <w:szCs w:val="32"/>
        </w:rPr>
        <w:t>类标准。</w:t>
      </w:r>
    </w:p>
    <w:p w14:paraId="4B04FABA">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rPr>
        <w:t>做好一般固体废物的综合利用和妥善处置工作。</w:t>
      </w:r>
      <w:r>
        <w:rPr>
          <w:rFonts w:hint="eastAsia" w:eastAsia="仿宋_GB2312" w:cs="仿宋_GB2312"/>
          <w:color w:val="000000"/>
          <w:sz w:val="32"/>
          <w:szCs w:val="32"/>
          <w:lang w:val="en-US" w:eastAsia="zh-CN"/>
        </w:rPr>
        <w:t>项目碎木屑及大块木屑等边角料用作锅炉燃料燃烧；木屑粉尘经收集后部分用于刮灰工序，剩余部分进行外售处置；炉渣、除尘器收集灰经收集后供给周边农户用作农肥；</w:t>
      </w:r>
      <w:r>
        <w:rPr>
          <w:rFonts w:hint="eastAsia" w:eastAsia="仿宋_GB2312" w:cs="仿宋_GB2312"/>
          <w:color w:val="000000" w:themeColor="text1"/>
          <w:sz w:val="32"/>
          <w:szCs w:val="32"/>
          <w:lang w:val="en-US" w:eastAsia="zh-CN"/>
          <w14:textFill>
            <w14:solidFill>
              <w14:schemeClr w14:val="tx1"/>
            </w14:solidFill>
          </w14:textFill>
        </w:rPr>
        <w:t>生活垃圾经分类收集后由环卫部门定期清运处理</w:t>
      </w:r>
      <w:r>
        <w:rPr>
          <w:rFonts w:hint="eastAsia" w:eastAsia="仿宋_GB2312" w:cs="仿宋_GB2312"/>
          <w:color w:val="000000"/>
          <w:sz w:val="32"/>
          <w:szCs w:val="32"/>
        </w:rPr>
        <w:t>。须按GB</w:t>
      </w:r>
      <w:r>
        <w:rPr>
          <w:rFonts w:hint="eastAsia" w:eastAsia="仿宋_GB2312" w:cs="仿宋_GB2312"/>
          <w:color w:val="000000"/>
          <w:sz w:val="32"/>
          <w:szCs w:val="32"/>
          <w:lang w:val="en-US" w:eastAsia="zh-CN"/>
        </w:rPr>
        <w:t xml:space="preserve"> </w:t>
      </w:r>
      <w:r>
        <w:rPr>
          <w:rFonts w:hint="eastAsia" w:eastAsia="仿宋_GB2312" w:cs="仿宋_GB2312"/>
          <w:color w:val="000000"/>
          <w:sz w:val="32"/>
          <w:szCs w:val="32"/>
        </w:rPr>
        <w:t>18599-2020《一般工业固体废物贮存和填埋污染控制标准》要求，建设规范的</w:t>
      </w:r>
      <w:r>
        <w:rPr>
          <w:rFonts w:hint="eastAsia" w:eastAsia="仿宋_GB2312" w:cs="仿宋_GB2312"/>
          <w:color w:val="000000"/>
          <w:sz w:val="32"/>
          <w:szCs w:val="32"/>
          <w:lang w:val="en-US" w:eastAsia="zh-CN"/>
        </w:rPr>
        <w:t>一般固体废物贮存设施。</w:t>
      </w:r>
    </w:p>
    <w:p w14:paraId="5A0EC403">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须按GB 18597-2023《危险废物贮存污染控制标准》，建设规范的废胶渣、废活性炭、废润滑油、废润滑油桶、废含油抹布和劳保用品等的收集和临时存放设施，并设立明显的危废标志，危险废物须定期收集并交由有危险废物处置资质的单位按规定处理、处置，不得随意堆放、擅自外排。做好危险废物处置及转移联单的台账记录。</w:t>
      </w:r>
    </w:p>
    <w:p w14:paraId="639462C7">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jc w:val="distribute"/>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按分区防渗原则落实各项防渗措施。参照HJ 610-2016《环境影响评价技术导则 地下水环境》中建设项目污染防控对策要求和GB 18597-2023《危险废物贮存污染控制标准》中贮存设施污染控制要求，须对工艺、管道、设备、设施采取污染防控措施，将污染物跑、冒、滴、漏降到最低限度；须对原料区（脲醛树脂胶暂存区域）、危险废物暂存间等区域按要求做好重点防渗处理；对化粪池等区域做好一般防渗处理；对除重点、一般防渗区以外的区域按要求做好简单防渗漏处理。按照</w:t>
      </w:r>
    </w:p>
    <w:p w14:paraId="56E8FEEF">
      <w:pPr>
        <w:pStyle w:val="57"/>
        <w:keepNext w:val="0"/>
        <w:keepLines w:val="0"/>
        <w:pageBreakBefore w:val="0"/>
        <w:widowControl w:val="0"/>
        <w:numPr>
          <w:ilvl w:val="0"/>
          <w:numId w:val="0"/>
        </w:numPr>
        <w:kinsoku/>
        <w:wordWrap/>
        <w:overflowPunct/>
        <w:topLinePunct w:val="0"/>
        <w:autoSpaceDE/>
        <w:autoSpaceDN/>
        <w:bidi w:val="0"/>
        <w:adjustRightInd/>
        <w:snapToGrid/>
        <w:spacing w:line="520" w:lineRule="exact"/>
        <w:jc w:val="distribute"/>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GB 15562.1-1995《环境保护图形标志—排放口（源）》和原国家环保总局《关于开展排污口规范化整治工作的通知》（环发〔1999〕24号）附件有关规定建设规范化排污口。须按排污许</w:t>
      </w:r>
    </w:p>
    <w:p w14:paraId="32A220C6">
      <w:pPr>
        <w:pStyle w:val="57"/>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可及《报告表》的相关管理要求定期进行监测。</w:t>
      </w:r>
    </w:p>
    <w:p w14:paraId="7E619DD4">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加强环境管理，落实环境保护规章制度。确保环保措施的正常运转以及各项污染物稳定达标排放。</w:t>
      </w:r>
    </w:p>
    <w:p w14:paraId="0793EFC8">
      <w:pPr>
        <w:pStyle w:val="57"/>
        <w:keepNext w:val="0"/>
        <w:keepLines w:val="0"/>
        <w:pageBreakBefore w:val="0"/>
        <w:widowControl w:val="0"/>
        <w:numPr>
          <w:ilvl w:val="2"/>
          <w:numId w:val="2"/>
        </w:numPr>
        <w:kinsoku/>
        <w:wordWrap/>
        <w:overflowPunct/>
        <w:topLinePunct w:val="0"/>
        <w:autoSpaceDE/>
        <w:autoSpaceDN/>
        <w:bidi w:val="0"/>
        <w:adjustRightInd/>
        <w:snapToGrid/>
        <w:spacing w:line="520" w:lineRule="exact"/>
        <w:ind w:left="0" w:firstLine="420" w:firstLineChars="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按照《关于印发&lt;企业事业单位突发环境事件应急预案备案管理办法&gt;（试行）》（环发〔2015〕4号）等相关要求，开展企业突发环境事件风险评估，确定风险等级，制订突发环境事件应急预案并报当地生态主管部门备案，定期组织应急演练；按照《突发环境事件应急管理办法（试行）》（环境保护部令第34号）、《企业突发环境事件隐患排查和治理工作指南（试行）》（环境保护部公告2016年第74号）相关要求，制定环境安全隐患排查治理制度，建立隐患排查治理档案，落实相关环境风险防控措施。</w:t>
      </w:r>
    </w:p>
    <w:p w14:paraId="3074E03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三、该项目建设必须严格执行环境保护设施与主体工程同时设计、同时施工、同时投产使用的环境保护“三同时”制度，并依法申请排污许可证。在落实本批复和《报告表》提出的各项环境保护措施和要求后，建设单位可自行决定投入调试的具体时间并以书面形式向当地生态环境主管部门备案。调试生产前，建设单位应按国家和自治区有关规定进行申报排污许可证。工程建成后，须按《建设项目竣工环境保护验收暂行办法》（国环规环评〔2017〕4号）要求实施竣工环境保护验收。未落实本批复和《报告表》提出的各项环境保护措施、未取得排污许可证擅自投入调试生产、未经竣工环境验收擅自投入生产的、未向社会公开有关信息的，应承担相应的法律责任。</w:t>
      </w:r>
    </w:p>
    <w:p w14:paraId="50A4CFB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eastAsia="仿宋_GB2312" w:cs="仿宋_GB2312"/>
          <w:color w:val="000000"/>
          <w:sz w:val="32"/>
          <w:szCs w:val="32"/>
        </w:rPr>
      </w:pPr>
      <w:r>
        <w:rPr>
          <w:rFonts w:hint="eastAsia" w:eastAsia="仿宋_GB2312" w:cs="仿宋_GB2312"/>
          <w:color w:val="000000"/>
          <w:sz w:val="32"/>
          <w:szCs w:val="32"/>
          <w:lang w:val="en-US" w:eastAsia="zh-CN"/>
        </w:rPr>
        <w:t>四、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5153EBC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五、建设单位自收到本批复之日起5个工作日内，将批复文件及批准后的《报告表》（报批稿）送达柳州市柳城生态环境局，并按规定接受辖区生态环境部门的监管检查。</w:t>
      </w:r>
    </w:p>
    <w:p w14:paraId="0607436F">
      <w:pPr>
        <w:pStyle w:val="5"/>
        <w:rPr>
          <w:rFonts w:hint="eastAsia"/>
        </w:rPr>
      </w:pPr>
    </w:p>
    <w:p w14:paraId="774291FF">
      <w:pPr>
        <w:spacing w:line="560" w:lineRule="exact"/>
        <w:ind w:firstLine="640" w:firstLineChars="200"/>
        <w:jc w:val="right"/>
        <w:rPr>
          <w:rFonts w:eastAsia="仿宋_GB2312" w:cs="仿宋_GB2312"/>
          <w:color w:val="000000"/>
          <w:sz w:val="32"/>
          <w:szCs w:val="32"/>
        </w:rPr>
      </w:pPr>
      <w:r>
        <w:rPr>
          <w:rFonts w:hint="eastAsia" w:eastAsia="仿宋_GB2312" w:cs="仿宋_GB2312"/>
          <w:color w:val="000000"/>
          <w:sz w:val="32"/>
          <w:szCs w:val="32"/>
        </w:rPr>
        <w:t>202</w:t>
      </w:r>
      <w:r>
        <w:rPr>
          <w:rFonts w:hint="eastAsia" w:eastAsia="仿宋_GB2312" w:cs="仿宋_GB2312"/>
          <w:color w:val="000000"/>
          <w:sz w:val="32"/>
          <w:szCs w:val="32"/>
          <w:lang w:val="en-US" w:eastAsia="zh-CN"/>
        </w:rPr>
        <w:t>6</w:t>
      </w:r>
      <w:r>
        <w:rPr>
          <w:rFonts w:hint="eastAsia" w:eastAsia="仿宋_GB2312" w:cs="仿宋_GB2312"/>
          <w:color w:val="000000"/>
          <w:sz w:val="32"/>
          <w:szCs w:val="32"/>
        </w:rPr>
        <w:t>年</w:t>
      </w:r>
      <w:r>
        <w:rPr>
          <w:rFonts w:hint="eastAsia" w:eastAsia="仿宋_GB2312" w:cs="仿宋_GB2312"/>
          <w:color w:val="000000"/>
          <w:sz w:val="32"/>
          <w:szCs w:val="32"/>
          <w:lang w:val="en-US" w:eastAsia="zh-CN"/>
        </w:rPr>
        <w:t>7</w:t>
      </w:r>
      <w:r>
        <w:rPr>
          <w:rFonts w:hint="eastAsia" w:eastAsia="仿宋_GB2312" w:cs="仿宋_GB2312"/>
          <w:color w:val="000000"/>
          <w:sz w:val="32"/>
          <w:szCs w:val="32"/>
        </w:rPr>
        <w:t>月</w:t>
      </w:r>
      <w:r>
        <w:rPr>
          <w:rFonts w:hint="eastAsia" w:eastAsia="仿宋_GB2312" w:cs="仿宋_GB2312"/>
          <w:color w:val="000000"/>
          <w:sz w:val="32"/>
          <w:szCs w:val="32"/>
          <w:lang w:val="en-US" w:eastAsia="zh-CN"/>
        </w:rPr>
        <w:t>6</w:t>
      </w:r>
      <w:r>
        <w:rPr>
          <w:rFonts w:hint="eastAsia" w:eastAsia="仿宋_GB2312" w:cs="仿宋_GB2312"/>
          <w:color w:val="000000"/>
          <w:sz w:val="32"/>
          <w:szCs w:val="32"/>
        </w:rPr>
        <w:t>日</w:t>
      </w:r>
    </w:p>
    <w:p w14:paraId="5F9B7DF8">
      <w:pPr>
        <w:pStyle w:val="40"/>
        <w:spacing w:beforeLines="0" w:line="240" w:lineRule="auto"/>
        <w:ind w:right="0" w:rightChars="0" w:firstLine="640"/>
        <w:jc w:val="both"/>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rPr>
        <w:t>（此件公开发布）</w:t>
      </w:r>
    </w:p>
    <w:p w14:paraId="54DEFF16">
      <w:pPr>
        <w:pStyle w:val="40"/>
        <w:spacing w:beforeLines="0" w:line="240" w:lineRule="auto"/>
        <w:ind w:right="0" w:rightChars="0" w:firstLine="0" w:firstLineChars="0"/>
        <w:jc w:val="both"/>
        <w:rPr>
          <w:rFonts w:hint="eastAsia" w:ascii="Times New Roman" w:hAnsi="Times New Roman" w:eastAsia="仿宋_GB2312" w:cs="仿宋_GB2312"/>
          <w:color w:val="000000"/>
          <w:lang w:eastAsia="zh-CN"/>
        </w:rPr>
      </w:pPr>
    </w:p>
    <w:p w14:paraId="578C8404">
      <w:pPr>
        <w:pStyle w:val="40"/>
        <w:spacing w:beforeLines="0" w:line="240" w:lineRule="auto"/>
        <w:ind w:right="0" w:rightChars="0" w:firstLine="0" w:firstLineChars="0"/>
        <w:jc w:val="both"/>
        <w:rPr>
          <w:rFonts w:hint="eastAsia" w:ascii="Times New Roman" w:hAnsi="Times New Roman" w:eastAsia="仿宋_GB2312" w:cs="仿宋_GB2312"/>
          <w:color w:val="000000"/>
          <w:lang w:eastAsia="zh-CN"/>
        </w:rPr>
      </w:pPr>
    </w:p>
    <w:p w14:paraId="645D2E9E">
      <w:pPr>
        <w:pStyle w:val="40"/>
        <w:spacing w:beforeLines="0" w:line="240" w:lineRule="auto"/>
        <w:ind w:right="0" w:rightChars="0" w:firstLine="0" w:firstLineChars="0"/>
        <w:jc w:val="both"/>
        <w:rPr>
          <w:rFonts w:hint="eastAsia" w:ascii="Times New Roman" w:hAnsi="Times New Roman" w:eastAsia="仿宋_GB2312" w:cs="仿宋_GB2312"/>
          <w:color w:val="000000"/>
          <w:lang w:eastAsia="zh-CN"/>
        </w:rPr>
      </w:pPr>
    </w:p>
    <w:p w14:paraId="67EAF9DA">
      <w:pPr>
        <w:pStyle w:val="40"/>
        <w:spacing w:beforeLines="0" w:line="240" w:lineRule="auto"/>
        <w:ind w:right="0" w:rightChars="0" w:firstLine="0" w:firstLineChars="0"/>
        <w:jc w:val="both"/>
        <w:rPr>
          <w:rFonts w:hint="eastAsia" w:ascii="Times New Roman" w:hAnsi="Times New Roman" w:eastAsia="仿宋_GB2312" w:cs="仿宋_GB2312"/>
          <w:color w:val="000000"/>
          <w:lang w:eastAsia="zh-CN"/>
        </w:rPr>
      </w:pPr>
    </w:p>
    <w:p w14:paraId="5EFFF166">
      <w:pPr>
        <w:pStyle w:val="40"/>
        <w:spacing w:beforeLines="0" w:line="240" w:lineRule="auto"/>
        <w:ind w:right="0" w:rightChars="0" w:firstLine="0" w:firstLineChars="0"/>
        <w:jc w:val="both"/>
        <w:rPr>
          <w:rFonts w:hint="eastAsia" w:ascii="Times New Roman" w:hAnsi="Times New Roman" w:eastAsia="仿宋_GB2312" w:cs="仿宋_GB2312"/>
          <w:color w:val="000000"/>
          <w:lang w:eastAsia="zh-CN"/>
        </w:rPr>
      </w:pPr>
    </w:p>
    <w:p w14:paraId="62DF83D1">
      <w:pPr>
        <w:pStyle w:val="40"/>
        <w:spacing w:beforeLines="0" w:line="240" w:lineRule="auto"/>
        <w:ind w:right="0" w:rightChars="0" w:firstLine="0" w:firstLineChars="0"/>
        <w:jc w:val="both"/>
        <w:rPr>
          <w:rFonts w:hint="eastAsia" w:ascii="Times New Roman" w:hAnsi="Times New Roman" w:eastAsia="仿宋_GB2312" w:cs="仿宋_GB2312"/>
          <w:color w:val="000000"/>
          <w:lang w:eastAsia="zh-CN"/>
        </w:rPr>
      </w:pPr>
    </w:p>
    <w:p w14:paraId="5308F49A">
      <w:pPr>
        <w:pStyle w:val="40"/>
        <w:spacing w:beforeLines="0" w:line="240" w:lineRule="auto"/>
        <w:ind w:right="0" w:rightChars="0" w:firstLine="0" w:firstLineChars="0"/>
        <w:jc w:val="both"/>
        <w:rPr>
          <w:rFonts w:hint="eastAsia" w:ascii="Times New Roman" w:hAnsi="Times New Roman" w:eastAsia="仿宋_GB2312" w:cs="仿宋_GB2312"/>
          <w:color w:val="000000"/>
          <w:lang w:eastAsia="zh-CN"/>
        </w:rPr>
      </w:pPr>
    </w:p>
    <w:p w14:paraId="3FB52E83">
      <w:pPr>
        <w:pStyle w:val="40"/>
        <w:spacing w:beforeLines="0" w:line="240" w:lineRule="auto"/>
        <w:ind w:right="0" w:rightChars="0" w:firstLine="0" w:firstLineChars="0"/>
        <w:jc w:val="both"/>
        <w:rPr>
          <w:rFonts w:hint="eastAsia" w:ascii="Times New Roman" w:hAnsi="Times New Roman" w:eastAsia="仿宋_GB2312" w:cs="仿宋_GB2312"/>
          <w:color w:val="000000"/>
          <w:lang w:eastAsia="zh-CN"/>
        </w:rPr>
      </w:pPr>
    </w:p>
    <w:p w14:paraId="4849EA0E">
      <w:pPr>
        <w:pStyle w:val="40"/>
        <w:spacing w:beforeLines="0" w:line="240" w:lineRule="auto"/>
        <w:ind w:right="0" w:rightChars="0" w:firstLine="0" w:firstLineChars="0"/>
        <w:jc w:val="both"/>
        <w:rPr>
          <w:rFonts w:hint="eastAsia" w:ascii="Times New Roman" w:hAnsi="Times New Roman" w:eastAsia="仿宋_GB2312" w:cs="仿宋_GB2312"/>
          <w:color w:val="000000"/>
          <w:lang w:eastAsia="zh-CN"/>
        </w:rPr>
      </w:pPr>
    </w:p>
    <w:p w14:paraId="366AC170">
      <w:pPr>
        <w:pStyle w:val="40"/>
        <w:spacing w:beforeLines="0" w:line="240" w:lineRule="auto"/>
        <w:ind w:right="0" w:rightChars="0" w:firstLine="0" w:firstLineChars="0"/>
        <w:jc w:val="both"/>
        <w:rPr>
          <w:rFonts w:hint="eastAsia" w:ascii="Times New Roman" w:hAnsi="Times New Roman" w:eastAsia="仿宋_GB2312" w:cs="仿宋_GB2312"/>
          <w:color w:val="000000"/>
          <w:lang w:eastAsia="zh-CN"/>
        </w:rPr>
      </w:pPr>
    </w:p>
    <w:p w14:paraId="69509CC7">
      <w:pPr>
        <w:pStyle w:val="40"/>
        <w:spacing w:beforeLines="0" w:line="240" w:lineRule="auto"/>
        <w:ind w:right="0" w:rightChars="0" w:firstLine="0" w:firstLineChars="0"/>
        <w:jc w:val="both"/>
        <w:rPr>
          <w:rFonts w:hint="eastAsia" w:ascii="Times New Roman" w:hAnsi="Times New Roman" w:eastAsia="仿宋_GB2312" w:cs="仿宋_GB2312"/>
          <w:color w:val="000000"/>
          <w:lang w:eastAsia="zh-CN"/>
        </w:rPr>
      </w:pPr>
    </w:p>
    <w:p w14:paraId="23649BEE">
      <w:pPr>
        <w:spacing w:line="480" w:lineRule="exact"/>
        <w:jc w:val="distribute"/>
        <w:rPr>
          <w:rFonts w:eastAsia="仿宋_GB2312" w:cs="仿宋_GB2312"/>
          <w:bCs/>
          <w:color w:val="000000"/>
          <w:sz w:val="28"/>
          <w:szCs w:val="28"/>
          <w:u w:val="single"/>
        </w:rPr>
      </w:pPr>
      <w:r>
        <w:rPr>
          <w:rFonts w:hint="eastAsia" w:eastAsia="仿宋_GB2312" w:cs="仿宋_GB2312"/>
          <w:bCs/>
          <w:color w:val="000000"/>
          <w:sz w:val="28"/>
          <w:szCs w:val="28"/>
          <w:u w:val="single"/>
        </w:rPr>
        <w:t>投资项目在线审批监管平台项目代码：2603-450222-04-05-887185</w:t>
      </w:r>
    </w:p>
    <w:p w14:paraId="10E68079">
      <w:pPr>
        <w:spacing w:line="480" w:lineRule="exact"/>
        <w:rPr>
          <w:rFonts w:eastAsia="仿宋_GB2312" w:cs="仿宋_GB2312"/>
          <w:color w:val="000000"/>
          <w:sz w:val="30"/>
          <w:u w:val="single"/>
        </w:rPr>
      </w:pPr>
      <w:r>
        <w:rPr>
          <w:rFonts w:hint="eastAsia" w:eastAsia="仿宋_GB2312" w:cs="仿宋_GB2312"/>
          <w:color w:val="000000"/>
          <w:sz w:val="32"/>
          <w:szCs w:val="32"/>
          <w:u w:val="single"/>
        </w:rPr>
        <w:t xml:space="preserve">抄送:柳州市柳城生态环境局                               </w:t>
      </w:r>
    </w:p>
    <w:p w14:paraId="0E421231">
      <w:pPr>
        <w:pStyle w:val="39"/>
        <w:ind w:firstLine="0" w:firstLineChars="0"/>
        <w:jc w:val="center"/>
        <w:rPr>
          <w:rFonts w:ascii="仿宋_GB2312" w:hAnsi="仿宋_GB2312" w:eastAsia="仿宋_GB2312" w:cs="仿宋_GB2312"/>
          <w:color w:val="000000"/>
          <w:u w:val="single"/>
        </w:rPr>
      </w:pPr>
      <w:r>
        <w:rPr>
          <w:rFonts w:hint="eastAsia" w:eastAsia="仿宋_GB2312" w:cs="仿宋_GB2312"/>
          <w:color w:val="000000"/>
          <w:u w:val="single"/>
        </w:rPr>
        <w:t xml:space="preserve">柳城县行政审批局       </w:t>
      </w:r>
      <w:r>
        <w:rPr>
          <w:rFonts w:hint="eastAsia" w:eastAsia="仿宋_GB2312" w:cs="仿宋_GB2312"/>
          <w:color w:val="000000"/>
          <w:u w:val="single"/>
          <w:lang w:val="en-US" w:eastAsia="zh-CN"/>
        </w:rPr>
        <w:t xml:space="preserve">  </w:t>
      </w:r>
      <w:r>
        <w:rPr>
          <w:rFonts w:hint="eastAsia" w:eastAsia="仿宋_GB2312" w:cs="仿宋_GB2312"/>
          <w:color w:val="000000"/>
          <w:u w:val="single"/>
        </w:rPr>
        <w:t xml:space="preserve">            202</w:t>
      </w:r>
      <w:r>
        <w:rPr>
          <w:rFonts w:hint="eastAsia" w:eastAsia="仿宋_GB2312" w:cs="仿宋_GB2312"/>
          <w:color w:val="000000"/>
          <w:u w:val="single"/>
          <w:lang w:val="en-US" w:eastAsia="zh-CN"/>
        </w:rPr>
        <w:t>6</w:t>
      </w:r>
      <w:r>
        <w:rPr>
          <w:rFonts w:hint="eastAsia" w:eastAsia="仿宋_GB2312" w:cs="仿宋_GB2312"/>
          <w:color w:val="000000"/>
          <w:u w:val="single"/>
        </w:rPr>
        <w:t>年</w:t>
      </w:r>
      <w:r>
        <w:rPr>
          <w:rFonts w:hint="eastAsia" w:eastAsia="仿宋_GB2312" w:cs="仿宋_GB2312"/>
          <w:color w:val="000000"/>
          <w:u w:val="single"/>
          <w:lang w:val="en-US" w:eastAsia="zh-CN"/>
        </w:rPr>
        <w:t>7</w:t>
      </w:r>
      <w:r>
        <w:rPr>
          <w:rFonts w:hint="eastAsia" w:eastAsia="仿宋_GB2312" w:cs="仿宋_GB2312"/>
          <w:color w:val="000000"/>
          <w:u w:val="single"/>
        </w:rPr>
        <w:t>月</w:t>
      </w:r>
      <w:r>
        <w:rPr>
          <w:rFonts w:hint="eastAsia" w:eastAsia="仿宋_GB2312" w:cs="仿宋_GB2312"/>
          <w:color w:val="000000"/>
          <w:u w:val="single"/>
          <w:lang w:val="en-US" w:eastAsia="zh-CN"/>
        </w:rPr>
        <w:t>6</w:t>
      </w:r>
      <w:r>
        <w:rPr>
          <w:rFonts w:hint="eastAsia" w:eastAsia="仿宋_GB2312" w:cs="仿宋_GB2312"/>
          <w:color w:val="000000"/>
          <w:u w:val="single"/>
        </w:rPr>
        <w:t>日印发</w:t>
      </w: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E2C07">
    <w:pPr>
      <w:pStyle w:val="14"/>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1</w:t>
    </w:r>
    <w:r>
      <w:rPr>
        <w:sz w:val="32"/>
        <w:szCs w:val="32"/>
        <w:lang w:val="zh-CN"/>
      </w:rPr>
      <w:fldChar w:fldCharType="end"/>
    </w:r>
  </w:p>
  <w:p w14:paraId="3167E61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47AA">
    <w:pPr>
      <w:pStyle w:val="14"/>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6</w:t>
    </w:r>
    <w:r>
      <w:rPr>
        <w:sz w:val="32"/>
        <w:szCs w:val="32"/>
        <w:lang w:val="zh-CN"/>
      </w:rPr>
      <w:fldChar w:fldCharType="end"/>
    </w:r>
  </w:p>
  <w:p w14:paraId="1D42424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10E48">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7F040"/>
    <w:multiLevelType w:val="singleLevel"/>
    <w:tmpl w:val="EF97F040"/>
    <w:lvl w:ilvl="0" w:tentative="0">
      <w:start w:val="1"/>
      <w:numFmt w:val="chineseCounting"/>
      <w:suff w:val="nothing"/>
      <w:lvlText w:val="%1、"/>
      <w:lvlJc w:val="left"/>
      <w:rPr>
        <w:rFonts w:hint="eastAsia"/>
      </w:rPr>
    </w:lvl>
  </w:abstractNum>
  <w:abstractNum w:abstractNumId="1">
    <w:nsid w:val="67155292"/>
    <w:multiLevelType w:val="multilevel"/>
    <w:tmpl w:val="67155292"/>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chineseCountingThousand"/>
      <w:suff w:val="nothing"/>
      <w:lvlText w:val="（%3）"/>
      <w:lvlJc w:val="lef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hNDg1MTYwMjY5ZWFjMzhlZmRhZTkzZTY4NzdiMzgifQ=="/>
  </w:docVars>
  <w:rsids>
    <w:rsidRoot w:val="00172A27"/>
    <w:rsid w:val="00172A27"/>
    <w:rsid w:val="001922CC"/>
    <w:rsid w:val="00206813"/>
    <w:rsid w:val="002417E1"/>
    <w:rsid w:val="00255C08"/>
    <w:rsid w:val="00395B51"/>
    <w:rsid w:val="003A481E"/>
    <w:rsid w:val="0051438B"/>
    <w:rsid w:val="005C1AC5"/>
    <w:rsid w:val="005D2033"/>
    <w:rsid w:val="005F72A2"/>
    <w:rsid w:val="00646AD1"/>
    <w:rsid w:val="00663F54"/>
    <w:rsid w:val="007315F5"/>
    <w:rsid w:val="00770B2A"/>
    <w:rsid w:val="009269D4"/>
    <w:rsid w:val="00944E16"/>
    <w:rsid w:val="009F57AD"/>
    <w:rsid w:val="00AC411B"/>
    <w:rsid w:val="00B051A8"/>
    <w:rsid w:val="00B202D5"/>
    <w:rsid w:val="00D1559E"/>
    <w:rsid w:val="00D760D3"/>
    <w:rsid w:val="00FC2277"/>
    <w:rsid w:val="012515C4"/>
    <w:rsid w:val="01EE7C08"/>
    <w:rsid w:val="0252066A"/>
    <w:rsid w:val="03B70064"/>
    <w:rsid w:val="04311444"/>
    <w:rsid w:val="049F2426"/>
    <w:rsid w:val="05A04E96"/>
    <w:rsid w:val="05E05A25"/>
    <w:rsid w:val="06053772"/>
    <w:rsid w:val="077A3D48"/>
    <w:rsid w:val="086E3851"/>
    <w:rsid w:val="095A6639"/>
    <w:rsid w:val="09B41D7B"/>
    <w:rsid w:val="0A410022"/>
    <w:rsid w:val="0A4D58DB"/>
    <w:rsid w:val="0A562A0F"/>
    <w:rsid w:val="0B5A4560"/>
    <w:rsid w:val="0B8B77B4"/>
    <w:rsid w:val="0C0F48D5"/>
    <w:rsid w:val="0CCC4FEA"/>
    <w:rsid w:val="0E7A1DC9"/>
    <w:rsid w:val="0EE77EB9"/>
    <w:rsid w:val="0F3C2D50"/>
    <w:rsid w:val="0FD80215"/>
    <w:rsid w:val="0FE61D4E"/>
    <w:rsid w:val="0FFA73AA"/>
    <w:rsid w:val="10D00A20"/>
    <w:rsid w:val="118218DF"/>
    <w:rsid w:val="126E7D28"/>
    <w:rsid w:val="12AA36D7"/>
    <w:rsid w:val="13BD0334"/>
    <w:rsid w:val="14C20BA7"/>
    <w:rsid w:val="14CC4A81"/>
    <w:rsid w:val="1546136E"/>
    <w:rsid w:val="155D4BD3"/>
    <w:rsid w:val="156839A2"/>
    <w:rsid w:val="16290DB7"/>
    <w:rsid w:val="17214184"/>
    <w:rsid w:val="182757CA"/>
    <w:rsid w:val="18B0569B"/>
    <w:rsid w:val="192B21BE"/>
    <w:rsid w:val="1C5823F6"/>
    <w:rsid w:val="1E056F6B"/>
    <w:rsid w:val="1E4E7B4F"/>
    <w:rsid w:val="1E641526"/>
    <w:rsid w:val="20012DA5"/>
    <w:rsid w:val="21F661EB"/>
    <w:rsid w:val="229F4686"/>
    <w:rsid w:val="22F555B9"/>
    <w:rsid w:val="23A07929"/>
    <w:rsid w:val="246C599D"/>
    <w:rsid w:val="247C6E9E"/>
    <w:rsid w:val="249F2884"/>
    <w:rsid w:val="24D44515"/>
    <w:rsid w:val="27F21951"/>
    <w:rsid w:val="28DC5364"/>
    <w:rsid w:val="29EE7EF6"/>
    <w:rsid w:val="2C5C383D"/>
    <w:rsid w:val="2C641C43"/>
    <w:rsid w:val="2E82647A"/>
    <w:rsid w:val="2EA210B7"/>
    <w:rsid w:val="2ED87595"/>
    <w:rsid w:val="321F6D79"/>
    <w:rsid w:val="322F37A1"/>
    <w:rsid w:val="340071A3"/>
    <w:rsid w:val="347033B1"/>
    <w:rsid w:val="362514DE"/>
    <w:rsid w:val="37FD6B8A"/>
    <w:rsid w:val="38E0334C"/>
    <w:rsid w:val="39990C41"/>
    <w:rsid w:val="3B0D21A6"/>
    <w:rsid w:val="3B1B0AD4"/>
    <w:rsid w:val="3B4B3979"/>
    <w:rsid w:val="3B844B5E"/>
    <w:rsid w:val="3C29347A"/>
    <w:rsid w:val="3C356139"/>
    <w:rsid w:val="3E793E15"/>
    <w:rsid w:val="40CA275D"/>
    <w:rsid w:val="40D35433"/>
    <w:rsid w:val="42CD0DF5"/>
    <w:rsid w:val="43000F6E"/>
    <w:rsid w:val="43301127"/>
    <w:rsid w:val="43810201"/>
    <w:rsid w:val="438D657A"/>
    <w:rsid w:val="43FE2FD4"/>
    <w:rsid w:val="44056A46"/>
    <w:rsid w:val="4491418D"/>
    <w:rsid w:val="44AF6A91"/>
    <w:rsid w:val="457E617A"/>
    <w:rsid w:val="45A21C32"/>
    <w:rsid w:val="4715312D"/>
    <w:rsid w:val="477E5958"/>
    <w:rsid w:val="480F6AC9"/>
    <w:rsid w:val="4C9469A0"/>
    <w:rsid w:val="4F0022F6"/>
    <w:rsid w:val="4FFC428F"/>
    <w:rsid w:val="500E27F0"/>
    <w:rsid w:val="50D61560"/>
    <w:rsid w:val="51131FD5"/>
    <w:rsid w:val="5147767D"/>
    <w:rsid w:val="52803030"/>
    <w:rsid w:val="52EB3A90"/>
    <w:rsid w:val="530473CA"/>
    <w:rsid w:val="532F0B32"/>
    <w:rsid w:val="535B5D4C"/>
    <w:rsid w:val="551E5CEB"/>
    <w:rsid w:val="55284354"/>
    <w:rsid w:val="564C1AF9"/>
    <w:rsid w:val="56521D3A"/>
    <w:rsid w:val="57867037"/>
    <w:rsid w:val="57F9079B"/>
    <w:rsid w:val="5A1F7AD4"/>
    <w:rsid w:val="5BDC206C"/>
    <w:rsid w:val="5C252174"/>
    <w:rsid w:val="5E1B3C20"/>
    <w:rsid w:val="60275934"/>
    <w:rsid w:val="619D39D4"/>
    <w:rsid w:val="62A52B40"/>
    <w:rsid w:val="639D0223"/>
    <w:rsid w:val="643407A7"/>
    <w:rsid w:val="655A7348"/>
    <w:rsid w:val="65F109A9"/>
    <w:rsid w:val="66243797"/>
    <w:rsid w:val="691E364C"/>
    <w:rsid w:val="69A006B2"/>
    <w:rsid w:val="6A044068"/>
    <w:rsid w:val="6AD14E1A"/>
    <w:rsid w:val="6B425392"/>
    <w:rsid w:val="6B453112"/>
    <w:rsid w:val="6C832144"/>
    <w:rsid w:val="6CDD66BA"/>
    <w:rsid w:val="6D3F29A4"/>
    <w:rsid w:val="6E6C6C08"/>
    <w:rsid w:val="6F2C2E9A"/>
    <w:rsid w:val="6F524050"/>
    <w:rsid w:val="6F800BBD"/>
    <w:rsid w:val="709424DD"/>
    <w:rsid w:val="719A33CE"/>
    <w:rsid w:val="72BD5C84"/>
    <w:rsid w:val="73816CB2"/>
    <w:rsid w:val="7577622B"/>
    <w:rsid w:val="75B05D50"/>
    <w:rsid w:val="76683B76"/>
    <w:rsid w:val="797C1F3C"/>
    <w:rsid w:val="79B3410A"/>
    <w:rsid w:val="7B1448AF"/>
    <w:rsid w:val="7B62386D"/>
    <w:rsid w:val="7B7B048A"/>
    <w:rsid w:val="7CB7465C"/>
    <w:rsid w:val="7CF95B0B"/>
    <w:rsid w:val="7E6148BD"/>
    <w:rsid w:val="7F651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0" w:name="heading 2"/>
    <w:lsdException w:qFormat="1" w:uiPriority="0" w:name="heading 3"/>
    <w:lsdException w:qFormat="1" w:unhideWhenUsed="0" w:uiPriority="0"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keepLines/>
      <w:spacing w:before="340" w:after="330" w:line="578" w:lineRule="auto"/>
    </w:pPr>
    <w:rPr>
      <w:b w:val="0"/>
      <w:bCs w:val="0"/>
      <w:kern w:val="44"/>
      <w:sz w:val="44"/>
      <w:szCs w:val="44"/>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330" w:after="340"/>
      <w:jc w:val="center"/>
      <w:outlineLvl w:val="0"/>
    </w:pPr>
    <w:rPr>
      <w:b/>
      <w:bCs/>
      <w:sz w:val="32"/>
      <w:szCs w:val="32"/>
    </w:rPr>
  </w:style>
  <w:style w:type="paragraph" w:styleId="6">
    <w:name w:val="Normal Indent"/>
    <w:basedOn w:val="1"/>
    <w:next w:val="5"/>
    <w:qFormat/>
    <w:uiPriority w:val="0"/>
    <w:pPr>
      <w:spacing w:line="360" w:lineRule="auto"/>
      <w:ind w:firstLine="420" w:firstLineChars="200"/>
    </w:pPr>
    <w:rPr>
      <w:sz w:val="24"/>
    </w:rPr>
  </w:style>
  <w:style w:type="paragraph" w:styleId="7">
    <w:name w:val="annotation text"/>
    <w:basedOn w:val="1"/>
    <w:link w:val="54"/>
    <w:qFormat/>
    <w:uiPriority w:val="0"/>
    <w:pPr>
      <w:jc w:val="left"/>
    </w:pPr>
  </w:style>
  <w:style w:type="paragraph" w:styleId="8">
    <w:name w:val="Body Text"/>
    <w:basedOn w:val="1"/>
    <w:next w:val="9"/>
    <w:link w:val="45"/>
    <w:qFormat/>
    <w:uiPriority w:val="0"/>
    <w:rPr>
      <w:b/>
      <w:sz w:val="32"/>
      <w:szCs w:val="20"/>
    </w:rPr>
  </w:style>
  <w:style w:type="paragraph" w:customStyle="1" w:styleId="9">
    <w:name w:val="默认段落"/>
    <w:basedOn w:val="1"/>
    <w:unhideWhenUsed/>
    <w:qFormat/>
    <w:uiPriority w:val="0"/>
    <w:rPr>
      <w:rFonts w:hint="eastAsia"/>
    </w:rPr>
  </w:style>
  <w:style w:type="paragraph" w:styleId="10">
    <w:name w:val="Body Text Indent"/>
    <w:basedOn w:val="1"/>
    <w:next w:val="11"/>
    <w:qFormat/>
    <w:uiPriority w:val="0"/>
    <w:pPr>
      <w:spacing w:after="120"/>
      <w:ind w:left="420" w:leftChars="200"/>
    </w:pPr>
  </w:style>
  <w:style w:type="paragraph" w:customStyle="1" w:styleId="11">
    <w:name w:val="样式 正文文本缩进 + 行距: 1.5 倍行距"/>
    <w:basedOn w:val="1"/>
    <w:qFormat/>
    <w:uiPriority w:val="0"/>
    <w:pPr>
      <w:spacing w:after="120"/>
      <w:ind w:left="90" w:leftChars="32" w:firstLine="560" w:firstLineChars="200"/>
    </w:pPr>
  </w:style>
  <w:style w:type="paragraph" w:styleId="12">
    <w:name w:val="Date"/>
    <w:basedOn w:val="1"/>
    <w:next w:val="1"/>
    <w:link w:val="44"/>
    <w:qFormat/>
    <w:uiPriority w:val="0"/>
    <w:pPr>
      <w:ind w:left="100" w:leftChars="2500"/>
    </w:pPr>
  </w:style>
  <w:style w:type="paragraph" w:styleId="13">
    <w:name w:val="Balloon Text"/>
    <w:basedOn w:val="1"/>
    <w:link w:val="56"/>
    <w:qFormat/>
    <w:uiPriority w:val="0"/>
    <w:rPr>
      <w:sz w:val="18"/>
      <w:szCs w:val="18"/>
    </w:rPr>
  </w:style>
  <w:style w:type="paragraph" w:styleId="14">
    <w:name w:val="footer"/>
    <w:basedOn w:val="1"/>
    <w:link w:val="42"/>
    <w:qFormat/>
    <w:uiPriority w:val="99"/>
    <w:pPr>
      <w:tabs>
        <w:tab w:val="center" w:pos="4153"/>
        <w:tab w:val="right" w:pos="8306"/>
      </w:tabs>
      <w:snapToGrid w:val="0"/>
      <w:jc w:val="left"/>
    </w:pPr>
    <w:rPr>
      <w:sz w:val="18"/>
      <w:szCs w:val="18"/>
    </w:rPr>
  </w:style>
  <w:style w:type="paragraph" w:styleId="15">
    <w:name w:val="Body Text 2"/>
    <w:basedOn w:val="1"/>
    <w:link w:val="48"/>
    <w:qFormat/>
    <w:uiPriority w:val="0"/>
    <w:pPr>
      <w:spacing w:line="600" w:lineRule="exact"/>
      <w:jc w:val="center"/>
    </w:pPr>
    <w:rPr>
      <w:rFonts w:ascii="方正小标宋简体" w:eastAsia="方正小标宋简体"/>
      <w:bCs/>
      <w:sz w:val="44"/>
      <w:szCs w:val="44"/>
    </w:rPr>
  </w:style>
  <w:style w:type="paragraph" w:styleId="16">
    <w:name w:val="annotation subject"/>
    <w:basedOn w:val="7"/>
    <w:next w:val="7"/>
    <w:link w:val="55"/>
    <w:qFormat/>
    <w:uiPriority w:val="0"/>
    <w:rPr>
      <w:b/>
      <w:bCs/>
    </w:rPr>
  </w:style>
  <w:style w:type="paragraph" w:styleId="17">
    <w:name w:val="Body Text First Indent"/>
    <w:basedOn w:val="8"/>
    <w:next w:val="18"/>
    <w:qFormat/>
    <w:uiPriority w:val="0"/>
    <w:pPr>
      <w:overflowPunct w:val="0"/>
      <w:autoSpaceDE w:val="0"/>
      <w:autoSpaceDN w:val="0"/>
      <w:adjustRightInd w:val="0"/>
      <w:spacing w:line="360" w:lineRule="auto"/>
      <w:ind w:firstLine="539"/>
      <w:textAlignment w:val="baseline"/>
    </w:pPr>
    <w:rPr>
      <w:rFonts w:ascii="Times New Roman" w:hAnsi="Times New Roman"/>
      <w:kern w:val="0"/>
      <w:sz w:val="24"/>
    </w:rPr>
  </w:style>
  <w:style w:type="paragraph" w:styleId="18">
    <w:name w:val="Body Text First Indent 2"/>
    <w:basedOn w:val="10"/>
    <w:next w:val="1"/>
    <w:qFormat/>
    <w:uiPriority w:val="0"/>
    <w:pPr>
      <w:ind w:firstLine="420" w:firstLineChars="200"/>
    </w:pPr>
  </w:style>
  <w:style w:type="character" w:styleId="21">
    <w:name w:val="page number"/>
    <w:basedOn w:val="20"/>
    <w:qFormat/>
    <w:uiPriority w:val="0"/>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paragraph" w:customStyle="1" w:styleId="24">
    <w:name w:val="报告正文"/>
    <w:basedOn w:val="1"/>
    <w:qFormat/>
    <w:uiPriority w:val="0"/>
    <w:pPr>
      <w:tabs>
        <w:tab w:val="left" w:pos="0"/>
      </w:tabs>
      <w:spacing w:line="360" w:lineRule="auto"/>
      <w:ind w:firstLine="420" w:firstLineChars="200"/>
    </w:pPr>
    <w:rPr>
      <w:color w:val="000000"/>
    </w:rPr>
  </w:style>
  <w:style w:type="paragraph" w:customStyle="1" w:styleId="25">
    <w:name w:val="样式 Z正文 + 首行缩进:  2 字符1"/>
    <w:basedOn w:val="26"/>
    <w:qFormat/>
    <w:uiPriority w:val="0"/>
    <w:pPr>
      <w:ind w:firstLine="480"/>
    </w:pPr>
  </w:style>
  <w:style w:type="paragraph" w:customStyle="1" w:styleId="26">
    <w:name w:val="Z正文"/>
    <w:basedOn w:val="27"/>
    <w:qFormat/>
    <w:uiPriority w:val="0"/>
    <w:pPr>
      <w:ind w:firstLine="200" w:firstLineChars="200"/>
      <w:outlineLvl w:val="9"/>
    </w:pPr>
    <w:rPr>
      <w:rFonts w:ascii="Times New Roman"/>
      <w:sz w:val="24"/>
      <w:szCs w:val="24"/>
    </w:rPr>
  </w:style>
  <w:style w:type="paragraph" w:customStyle="1" w:styleId="27">
    <w:name w:val="样式 标题 1标题 11Head 1wsah1一、标题2Part'Document章Ch + 加粗"/>
    <w:basedOn w:val="3"/>
    <w:qFormat/>
    <w:uiPriority w:val="0"/>
    <w:rPr>
      <w:rFonts w:ascii="黑体"/>
      <w:sz w:val="32"/>
    </w:rPr>
  </w:style>
  <w:style w:type="paragraph" w:customStyle="1" w:styleId="28">
    <w:name w:val="Char Char Char Char Char Char1 Char"/>
    <w:basedOn w:val="1"/>
    <w:qFormat/>
    <w:uiPriority w:val="0"/>
  </w:style>
  <w:style w:type="paragraph" w:customStyle="1" w:styleId="29">
    <w:name w:val="2"/>
    <w:basedOn w:val="1"/>
    <w:qFormat/>
    <w:uiPriority w:val="0"/>
    <w:pPr>
      <w:spacing w:line="360" w:lineRule="auto"/>
      <w:ind w:firstLine="200" w:firstLineChars="200"/>
    </w:pPr>
    <w:rPr>
      <w:rFonts w:ascii="宋体" w:hAnsi="宋体" w:cs="宋体"/>
      <w:sz w:val="24"/>
    </w:rPr>
  </w:style>
  <w:style w:type="paragraph" w:customStyle="1" w:styleId="30">
    <w:name w:val="Char Char Char Char Char Char1 Char1"/>
    <w:basedOn w:val="1"/>
    <w:qFormat/>
    <w:uiPriority w:val="0"/>
  </w:style>
  <w:style w:type="paragraph" w:customStyle="1" w:styleId="31">
    <w:name w:val="列出段落1"/>
    <w:basedOn w:val="1"/>
    <w:qFormat/>
    <w:uiPriority w:val="34"/>
    <w:pPr>
      <w:ind w:firstLine="420" w:firstLineChars="200"/>
    </w:pPr>
  </w:style>
  <w:style w:type="paragraph" w:customStyle="1" w:styleId="32">
    <w:name w:val="表文字"/>
    <w:link w:val="43"/>
    <w:semiHidden/>
    <w:qFormat/>
    <w:uiPriority w:val="0"/>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33">
    <w:name w:val="Char"/>
    <w:basedOn w:val="1"/>
    <w:qFormat/>
    <w:uiPriority w:val="0"/>
    <w:pPr>
      <w:widowControl/>
      <w:tabs>
        <w:tab w:val="left" w:pos="360"/>
      </w:tabs>
      <w:jc w:val="left"/>
    </w:pPr>
    <w:rPr>
      <w:kern w:val="0"/>
      <w:sz w:val="24"/>
    </w:rPr>
  </w:style>
  <w:style w:type="paragraph" w:customStyle="1" w:styleId="34">
    <w:name w:val="Char1"/>
    <w:basedOn w:val="1"/>
    <w:qFormat/>
    <w:uiPriority w:val="0"/>
    <w:pPr>
      <w:widowControl/>
      <w:tabs>
        <w:tab w:val="left" w:pos="360"/>
      </w:tabs>
      <w:jc w:val="left"/>
    </w:pPr>
    <w:rPr>
      <w:kern w:val="0"/>
      <w:sz w:val="24"/>
    </w:rPr>
  </w:style>
  <w:style w:type="paragraph" w:customStyle="1" w:styleId="35">
    <w:name w:val="标题1"/>
    <w:basedOn w:val="8"/>
    <w:link w:val="46"/>
    <w:qFormat/>
    <w:uiPriority w:val="0"/>
    <w:pPr>
      <w:jc w:val="distribute"/>
    </w:pPr>
    <w:rPr>
      <w:rFonts w:ascii="方正小标宋简体" w:eastAsia="方正小标宋简体"/>
      <w:color w:val="FF0000"/>
      <w:spacing w:val="-8"/>
      <w:sz w:val="52"/>
      <w:szCs w:val="52"/>
    </w:rPr>
  </w:style>
  <w:style w:type="paragraph" w:customStyle="1" w:styleId="36">
    <w:name w:val="文号1"/>
    <w:basedOn w:val="1"/>
    <w:link w:val="47"/>
    <w:qFormat/>
    <w:uiPriority w:val="0"/>
    <w:pPr>
      <w:adjustRightInd w:val="0"/>
      <w:snapToGrid w:val="0"/>
      <w:spacing w:beforeLines="200" w:line="400" w:lineRule="exact"/>
      <w:jc w:val="center"/>
    </w:pPr>
    <w:rPr>
      <w:rFonts w:ascii="仿宋" w:hAnsi="仿宋" w:eastAsia="仿宋"/>
      <w:sz w:val="30"/>
      <w:szCs w:val="30"/>
    </w:rPr>
  </w:style>
  <w:style w:type="paragraph" w:customStyle="1" w:styleId="37">
    <w:name w:val="标题2"/>
    <w:basedOn w:val="15"/>
    <w:link w:val="49"/>
    <w:qFormat/>
    <w:uiPriority w:val="0"/>
    <w:rPr>
      <w:rFonts w:ascii="宋体" w:hAnsi="宋体" w:eastAsia="宋体"/>
      <w:b/>
    </w:rPr>
  </w:style>
  <w:style w:type="paragraph" w:customStyle="1" w:styleId="38">
    <w:name w:val="对象"/>
    <w:basedOn w:val="1"/>
    <w:link w:val="50"/>
    <w:qFormat/>
    <w:uiPriority w:val="0"/>
    <w:pPr>
      <w:spacing w:beforeLines="100" w:line="540" w:lineRule="exact"/>
    </w:pPr>
    <w:rPr>
      <w:rFonts w:ascii="仿宋" w:hAnsi="仿宋" w:eastAsia="仿宋"/>
      <w:sz w:val="32"/>
      <w:szCs w:val="32"/>
    </w:rPr>
  </w:style>
  <w:style w:type="paragraph" w:customStyle="1" w:styleId="39">
    <w:name w:val="正本"/>
    <w:basedOn w:val="1"/>
    <w:link w:val="51"/>
    <w:qFormat/>
    <w:uiPriority w:val="0"/>
    <w:pPr>
      <w:spacing w:line="540" w:lineRule="exact"/>
      <w:ind w:firstLine="200" w:firstLineChars="200"/>
    </w:pPr>
    <w:rPr>
      <w:rFonts w:eastAsia="仿宋"/>
      <w:sz w:val="32"/>
      <w:szCs w:val="32"/>
    </w:rPr>
  </w:style>
  <w:style w:type="paragraph" w:customStyle="1" w:styleId="40">
    <w:name w:val="落款日期"/>
    <w:basedOn w:val="1"/>
    <w:link w:val="52"/>
    <w:qFormat/>
    <w:uiPriority w:val="0"/>
    <w:pPr>
      <w:spacing w:beforeLines="400" w:line="540" w:lineRule="exact"/>
      <w:ind w:right="200" w:rightChars="200" w:firstLine="200" w:firstLineChars="200"/>
      <w:jc w:val="right"/>
    </w:pPr>
    <w:rPr>
      <w:rFonts w:ascii="仿宋" w:hAnsi="仿宋" w:eastAsia="仿宋"/>
      <w:sz w:val="32"/>
      <w:szCs w:val="32"/>
    </w:rPr>
  </w:style>
  <w:style w:type="paragraph" w:customStyle="1" w:styleId="41">
    <w:name w:val="落款单位"/>
    <w:basedOn w:val="40"/>
    <w:link w:val="53"/>
    <w:qFormat/>
    <w:uiPriority w:val="0"/>
    <w:pPr>
      <w:ind w:right="300" w:rightChars="300" w:firstLine="0" w:firstLineChars="0"/>
    </w:pPr>
    <w:rPr>
      <w:rFonts w:eastAsia="仿宋_GB2312"/>
    </w:rPr>
  </w:style>
  <w:style w:type="character" w:customStyle="1" w:styleId="42">
    <w:name w:val="页脚 字符"/>
    <w:link w:val="14"/>
    <w:qFormat/>
    <w:uiPriority w:val="99"/>
    <w:rPr>
      <w:kern w:val="2"/>
      <w:sz w:val="18"/>
      <w:szCs w:val="18"/>
    </w:rPr>
  </w:style>
  <w:style w:type="character" w:customStyle="1" w:styleId="43">
    <w:name w:val="表文字 Char1"/>
    <w:link w:val="32"/>
    <w:semiHidden/>
    <w:qFormat/>
    <w:uiPriority w:val="0"/>
    <w:rPr>
      <w:sz w:val="21"/>
      <w:szCs w:val="21"/>
      <w:lang w:val="en-US" w:eastAsia="zh-CN" w:bidi="ar-SA"/>
    </w:rPr>
  </w:style>
  <w:style w:type="character" w:customStyle="1" w:styleId="44">
    <w:name w:val="日期 字符"/>
    <w:link w:val="12"/>
    <w:qFormat/>
    <w:uiPriority w:val="0"/>
    <w:rPr>
      <w:kern w:val="2"/>
      <w:sz w:val="21"/>
      <w:szCs w:val="24"/>
    </w:rPr>
  </w:style>
  <w:style w:type="character" w:customStyle="1" w:styleId="45">
    <w:name w:val="正文文本 字符"/>
    <w:link w:val="8"/>
    <w:qFormat/>
    <w:uiPriority w:val="0"/>
    <w:rPr>
      <w:b/>
      <w:kern w:val="2"/>
      <w:sz w:val="32"/>
    </w:rPr>
  </w:style>
  <w:style w:type="character" w:customStyle="1" w:styleId="46">
    <w:name w:val="标题1 字符"/>
    <w:link w:val="35"/>
    <w:qFormat/>
    <w:uiPriority w:val="0"/>
    <w:rPr>
      <w:rFonts w:ascii="方正小标宋简体" w:eastAsia="方正小标宋简体"/>
      <w:b/>
      <w:color w:val="FF0000"/>
      <w:spacing w:val="-8"/>
      <w:kern w:val="2"/>
      <w:sz w:val="52"/>
      <w:szCs w:val="52"/>
    </w:rPr>
  </w:style>
  <w:style w:type="character" w:customStyle="1" w:styleId="47">
    <w:name w:val="文号1 字符"/>
    <w:link w:val="36"/>
    <w:qFormat/>
    <w:uiPriority w:val="0"/>
    <w:rPr>
      <w:rFonts w:ascii="仿宋" w:hAnsi="仿宋" w:eastAsia="仿宋"/>
      <w:kern w:val="2"/>
      <w:sz w:val="30"/>
      <w:szCs w:val="30"/>
    </w:rPr>
  </w:style>
  <w:style w:type="character" w:customStyle="1" w:styleId="48">
    <w:name w:val="正文文本 2 字符"/>
    <w:link w:val="15"/>
    <w:qFormat/>
    <w:uiPriority w:val="0"/>
    <w:rPr>
      <w:rFonts w:ascii="方正小标宋简体" w:eastAsia="方正小标宋简体"/>
      <w:bCs/>
      <w:kern w:val="2"/>
      <w:sz w:val="44"/>
      <w:szCs w:val="44"/>
    </w:rPr>
  </w:style>
  <w:style w:type="character" w:customStyle="1" w:styleId="49">
    <w:name w:val="标题2 字符"/>
    <w:link w:val="37"/>
    <w:qFormat/>
    <w:uiPriority w:val="0"/>
    <w:rPr>
      <w:rFonts w:ascii="宋体" w:hAnsi="宋体"/>
      <w:b/>
      <w:bCs/>
      <w:kern w:val="2"/>
      <w:sz w:val="44"/>
      <w:szCs w:val="44"/>
    </w:rPr>
  </w:style>
  <w:style w:type="character" w:customStyle="1" w:styleId="50">
    <w:name w:val="对象 字符"/>
    <w:link w:val="38"/>
    <w:qFormat/>
    <w:uiPriority w:val="0"/>
    <w:rPr>
      <w:rFonts w:ascii="仿宋" w:hAnsi="仿宋" w:eastAsia="仿宋"/>
      <w:kern w:val="2"/>
      <w:sz w:val="32"/>
      <w:szCs w:val="32"/>
    </w:rPr>
  </w:style>
  <w:style w:type="character" w:customStyle="1" w:styleId="51">
    <w:name w:val="正本 字符"/>
    <w:link w:val="39"/>
    <w:qFormat/>
    <w:uiPriority w:val="0"/>
    <w:rPr>
      <w:rFonts w:eastAsia="仿宋"/>
      <w:kern w:val="2"/>
      <w:sz w:val="32"/>
      <w:szCs w:val="32"/>
    </w:rPr>
  </w:style>
  <w:style w:type="character" w:customStyle="1" w:styleId="52">
    <w:name w:val="落款日期 字符"/>
    <w:link w:val="40"/>
    <w:qFormat/>
    <w:uiPriority w:val="0"/>
    <w:rPr>
      <w:rFonts w:ascii="仿宋" w:hAnsi="仿宋" w:eastAsia="仿宋"/>
      <w:kern w:val="2"/>
      <w:sz w:val="32"/>
      <w:szCs w:val="32"/>
    </w:rPr>
  </w:style>
  <w:style w:type="character" w:customStyle="1" w:styleId="53">
    <w:name w:val="落款单位 字符"/>
    <w:link w:val="41"/>
    <w:qFormat/>
    <w:uiPriority w:val="0"/>
    <w:rPr>
      <w:rFonts w:ascii="仿宋" w:hAnsi="仿宋" w:eastAsia="仿宋_GB2312"/>
      <w:kern w:val="2"/>
      <w:sz w:val="32"/>
      <w:szCs w:val="32"/>
    </w:rPr>
  </w:style>
  <w:style w:type="character" w:customStyle="1" w:styleId="54">
    <w:name w:val="批注文字 字符"/>
    <w:link w:val="7"/>
    <w:qFormat/>
    <w:uiPriority w:val="0"/>
    <w:rPr>
      <w:kern w:val="2"/>
      <w:sz w:val="21"/>
      <w:szCs w:val="24"/>
    </w:rPr>
  </w:style>
  <w:style w:type="character" w:customStyle="1" w:styleId="55">
    <w:name w:val="批注主题 字符"/>
    <w:link w:val="16"/>
    <w:qFormat/>
    <w:uiPriority w:val="0"/>
    <w:rPr>
      <w:b/>
      <w:bCs/>
      <w:kern w:val="2"/>
      <w:sz w:val="21"/>
      <w:szCs w:val="24"/>
    </w:rPr>
  </w:style>
  <w:style w:type="character" w:customStyle="1" w:styleId="56">
    <w:name w:val="批注框文本 字符"/>
    <w:link w:val="13"/>
    <w:qFormat/>
    <w:uiPriority w:val="0"/>
    <w:rPr>
      <w:kern w:val="2"/>
      <w:sz w:val="18"/>
      <w:szCs w:val="18"/>
    </w:rPr>
  </w:style>
  <w:style w:type="paragraph" w:styleId="5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6</Pages>
  <Words>2831</Words>
  <Characters>3063</Characters>
  <Lines>19</Lines>
  <Paragraphs>5</Paragraphs>
  <TotalTime>3</TotalTime>
  <ScaleCrop>false</ScaleCrop>
  <LinksUpToDate>false</LinksUpToDate>
  <CharactersWithSpaces>3150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2025-01-23T02:55:00Z</dcterms:created>
  <dc:creator>雨林木风</dc:creator>
  <cp:lastModifiedBy>Roo</cp:lastModifiedBy>
  <cp:lastPrinted>2026-06-16T03:06:00Z</cp:lastPrinted>
  <dcterms:modified xsi:type="dcterms:W3CDTF">2026-07-06T03:28:48Z</dcterms:modified>
  <dc:title>柳环审字〔2012〕号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324A85CFFD3243AFBD3560483B026655_13</vt:lpwstr>
  </property>
  <property fmtid="{D5CDD505-2E9C-101B-9397-08002B2CF9AE}" pid="4" name="KSOTemplateDocerSaveRecord">
    <vt:lpwstr>eyJoZGlkIjoiNjdkZjg3YzQyMDQ4ZWZkODQ0MmYzZDZjYmNhZDFiOTciLCJ1c2VySWQiOiI3NDI3NDE5MTUifQ==</vt:lpwstr>
  </property>
</Properties>
</file>