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A0EA9">
      <w:pPr>
        <w:pStyle w:val="32"/>
      </w:pPr>
    </w:p>
    <w:p w14:paraId="24EB69BE">
      <w:pPr>
        <w:pStyle w:val="32"/>
      </w:pPr>
      <w:r>
        <w:rPr>
          <w:rFonts w:hint="eastAsia"/>
        </w:rPr>
        <w:t>柳城县行政审批局文件</w:t>
      </w:r>
    </w:p>
    <w:p w14:paraId="1952C7F4">
      <w:pPr>
        <w:pStyle w:val="33"/>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6</w:t>
      </w:r>
      <w:r>
        <w:rPr>
          <w:rFonts w:ascii="Times New Roman" w:hAnsi="Times New Roman" w:eastAsia="仿宋_GB2312"/>
        </w:rPr>
        <w:t>〕</w:t>
      </w:r>
      <w:r>
        <w:rPr>
          <w:rFonts w:hint="eastAsia" w:ascii="Times New Roman" w:hAnsi="Times New Roman" w:eastAsia="仿宋_GB2312"/>
          <w:lang w:val="en-US" w:eastAsia="zh-CN"/>
        </w:rPr>
        <w:t>10</w:t>
      </w:r>
      <w:bookmarkStart w:id="0" w:name="_GoBack"/>
      <w:bookmarkEnd w:id="0"/>
      <w:r>
        <w:rPr>
          <w:rFonts w:hint="eastAsia" w:ascii="Times New Roman" w:hAnsi="Times New Roman" w:eastAsia="仿宋_GB2312" w:cs="仿宋_GB2312"/>
        </w:rPr>
        <w:t>号</w:t>
      </w:r>
    </w:p>
    <w:p w14:paraId="4BAC4154">
      <w:pPr>
        <w:spacing w:line="640" w:lineRule="exact"/>
        <w:rPr>
          <w:sz w:val="28"/>
          <w:szCs w:val="28"/>
        </w:rPr>
      </w:pPr>
      <w:r>
        <w:rPr>
          <w:rFonts w:eastAsia="黑体"/>
          <w:color w:val="FF0000"/>
          <w:sz w:val="96"/>
          <w:szCs w:val="20"/>
          <w:u w:val="single"/>
        </w:rPr>
        <w:t xml:space="preserve">      </w:t>
      </w:r>
      <w:r>
        <w:rPr>
          <w:rFonts w:hint="eastAsia" w:eastAsia="黑体"/>
          <w:color w:val="FF0000"/>
          <w:sz w:val="96"/>
          <w:szCs w:val="20"/>
          <w:u w:val="single"/>
        </w:rPr>
        <w:t xml:space="preserve">  </w:t>
      </w:r>
      <w:r>
        <w:rPr>
          <w:rFonts w:eastAsia="黑体"/>
          <w:color w:val="FF0000"/>
          <w:sz w:val="96"/>
          <w:szCs w:val="20"/>
          <w:u w:val="single"/>
        </w:rPr>
        <w:t xml:space="preserve">            </w:t>
      </w:r>
    </w:p>
    <w:p w14:paraId="72833BF4">
      <w:pPr>
        <w:pStyle w:val="34"/>
        <w:spacing w:before="100" w:line="240" w:lineRule="auto"/>
        <w:rPr>
          <w:rFonts w:hint="eastAsia" w:cs="宋体"/>
        </w:rPr>
      </w:pPr>
      <w:r>
        <w:rPr>
          <w:rFonts w:hint="eastAsia" w:cs="宋体"/>
        </w:rPr>
        <w:t>关于柳州市欣然机械有限公司铸造件项目</w:t>
      </w:r>
    </w:p>
    <w:p w14:paraId="7038CADE">
      <w:pPr>
        <w:pStyle w:val="34"/>
        <w:spacing w:before="100" w:line="240" w:lineRule="auto"/>
        <w:rPr>
          <w:rFonts w:cs="宋体"/>
        </w:rPr>
      </w:pPr>
      <w:r>
        <w:rPr>
          <w:rFonts w:hint="eastAsia" w:cs="宋体"/>
        </w:rPr>
        <w:t>环境影响报告表的批复</w:t>
      </w:r>
    </w:p>
    <w:p w14:paraId="13A60381">
      <w:pPr>
        <w:pStyle w:val="35"/>
        <w:keepNext w:val="0"/>
        <w:keepLines w:val="0"/>
        <w:pageBreakBefore w:val="0"/>
        <w:widowControl w:val="0"/>
        <w:kinsoku/>
        <w:wordWrap/>
        <w:overflowPunct/>
        <w:topLinePunct w:val="0"/>
        <w:autoSpaceDE/>
        <w:autoSpaceDN/>
        <w:bidi w:val="0"/>
        <w:adjustRightInd/>
        <w:snapToGrid/>
        <w:spacing w:before="312" w:line="520" w:lineRule="exac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柳州市欣然机械有限公司：</w:t>
      </w:r>
    </w:p>
    <w:p w14:paraId="34CB166F">
      <w:pPr>
        <w:pStyle w:val="36"/>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你公司报来《</w:t>
      </w:r>
      <w:r>
        <w:rPr>
          <w:rFonts w:hint="eastAsia"/>
          <w:color w:val="000000"/>
          <w:highlight w:val="none"/>
          <w:lang w:eastAsia="zh-CN"/>
        </w:rPr>
        <w:t>柳州市欣然机械有限公司铸造件项目</w:t>
      </w:r>
      <w:r>
        <w:rPr>
          <w:rFonts w:hint="eastAsia" w:ascii="Times New Roman" w:hAnsi="Times New Roman" w:eastAsia="仿宋_GB2312" w:cs="仿宋_GB2312"/>
          <w:color w:val="000000"/>
          <w:kern w:val="2"/>
          <w:sz w:val="32"/>
          <w:szCs w:val="32"/>
          <w:lang w:val="en-US" w:eastAsia="zh-CN" w:bidi="ar-SA"/>
        </w:rPr>
        <w:t>环境影响报告表》（以下简称《报告表》）收悉。经我局审核，现批复如下：</w:t>
      </w:r>
    </w:p>
    <w:p w14:paraId="55D4CEB3">
      <w:pPr>
        <w:pStyle w:val="36"/>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hint="default"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本项目为</w:t>
      </w:r>
      <w:r>
        <w:rPr>
          <w:rFonts w:hint="eastAsia" w:eastAsia="仿宋_GB2312" w:cs="仿宋_GB2312"/>
          <w:color w:val="000000"/>
          <w:kern w:val="2"/>
          <w:sz w:val="32"/>
          <w:szCs w:val="32"/>
          <w:lang w:val="en-US" w:eastAsia="zh-CN" w:bidi="ar-SA"/>
        </w:rPr>
        <w:t>改建</w:t>
      </w:r>
      <w:r>
        <w:rPr>
          <w:rFonts w:hint="eastAsia" w:ascii="Times New Roman" w:hAnsi="Times New Roman" w:eastAsia="仿宋_GB2312" w:cs="仿宋_GB2312"/>
          <w:color w:val="000000"/>
          <w:kern w:val="2"/>
          <w:sz w:val="32"/>
          <w:szCs w:val="32"/>
          <w:lang w:val="en-US" w:eastAsia="zh-CN" w:bidi="ar-SA"/>
        </w:rPr>
        <w:t>工程，位于广西壮族自治区柳州市柳城县沙埔</w:t>
      </w:r>
      <w:r>
        <w:rPr>
          <w:rFonts w:hint="eastAsia" w:eastAsia="仿宋_GB2312" w:cs="仿宋_GB2312"/>
          <w:color w:val="000000"/>
          <w:kern w:val="2"/>
          <w:sz w:val="32"/>
          <w:szCs w:val="32"/>
          <w:lang w:val="en-US" w:eastAsia="zh-CN" w:bidi="ar-SA"/>
        </w:rPr>
        <w:t>镇</w:t>
      </w:r>
      <w:r>
        <w:rPr>
          <w:rFonts w:hint="eastAsia" w:ascii="Times New Roman" w:hAnsi="Times New Roman" w:eastAsia="仿宋_GB2312" w:cs="仿宋_GB2312"/>
          <w:color w:val="000000"/>
          <w:kern w:val="2"/>
          <w:sz w:val="32"/>
          <w:szCs w:val="32"/>
          <w:lang w:val="en-US" w:eastAsia="zh-CN" w:bidi="ar-SA"/>
        </w:rPr>
        <w:t>兴达路</w:t>
      </w:r>
      <w:r>
        <w:rPr>
          <w:rFonts w:hint="eastAsia" w:eastAsia="仿宋_GB2312" w:cs="仿宋_GB2312"/>
          <w:color w:val="000000"/>
          <w:kern w:val="2"/>
          <w:sz w:val="32"/>
          <w:szCs w:val="32"/>
          <w:lang w:val="en-US" w:eastAsia="zh-CN" w:bidi="ar-SA"/>
        </w:rPr>
        <w:t>3</w:t>
      </w:r>
      <w:r>
        <w:rPr>
          <w:rFonts w:hint="eastAsia" w:ascii="Times New Roman" w:hAnsi="Times New Roman" w:eastAsia="仿宋_GB2312" w:cs="仿宋_GB2312"/>
          <w:color w:val="000000"/>
          <w:kern w:val="2"/>
          <w:sz w:val="32"/>
          <w:szCs w:val="32"/>
          <w:lang w:val="en-US" w:eastAsia="zh-CN" w:bidi="ar-SA"/>
        </w:rPr>
        <w:t>号</w:t>
      </w:r>
      <w:r>
        <w:rPr>
          <w:rFonts w:hint="eastAsia" w:eastAsia="仿宋_GB2312" w:cs="仿宋_GB2312"/>
          <w:color w:val="000000"/>
          <w:kern w:val="2"/>
          <w:sz w:val="32"/>
          <w:szCs w:val="32"/>
          <w:lang w:val="en-US" w:eastAsia="zh-CN" w:bidi="ar-SA"/>
        </w:rPr>
        <w:t>，不新增用地</w:t>
      </w:r>
      <w:r>
        <w:rPr>
          <w:rFonts w:hint="eastAsia" w:ascii="Times New Roman" w:hAnsi="Times New Roman" w:eastAsia="仿宋_GB2312" w:cs="仿宋_GB2312"/>
          <w:color w:val="000000"/>
          <w:kern w:val="2"/>
          <w:sz w:val="32"/>
          <w:szCs w:val="32"/>
          <w:lang w:val="en-US" w:eastAsia="zh-CN" w:bidi="ar-SA"/>
        </w:rPr>
        <w:t>。建设规模：</w:t>
      </w:r>
      <w:r>
        <w:rPr>
          <w:rFonts w:hint="eastAsia" w:eastAsia="仿宋_GB2312" w:cs="仿宋_GB2312"/>
          <w:color w:val="000000"/>
          <w:kern w:val="2"/>
          <w:sz w:val="32"/>
          <w:szCs w:val="32"/>
          <w:lang w:val="en-US" w:eastAsia="zh-CN" w:bidi="ar-SA"/>
        </w:rPr>
        <w:t>取消现有泡沫发泡生产线、10台成型机和1台额定蒸发量为2吨/小时的锅炉，在现有生产厂房内进行改建，新增1条砂处理线、2台10吨中频炉、2台2吨中频炉，4台20吨电动单梁起重机、3台50吨通用桥式起重机等。改建前后全厂总产能不变（年产1万吨铸钢件、1万吨铸铁件）。</w:t>
      </w:r>
    </w:p>
    <w:p w14:paraId="502DC679">
      <w:pPr>
        <w:pStyle w:val="3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项目建设内容包括环保工程（</w:t>
      </w:r>
      <w:r>
        <w:rPr>
          <w:rFonts w:hint="eastAsia" w:eastAsia="仿宋_GB2312" w:cs="仿宋_GB2312"/>
          <w:color w:val="000000"/>
          <w:kern w:val="2"/>
          <w:sz w:val="32"/>
          <w:szCs w:val="32"/>
          <w:lang w:val="en-US" w:eastAsia="zh-CN" w:bidi="ar-SA"/>
        </w:rPr>
        <w:t>7根15米高的排气筒、4套布袋除尘器、1套“布袋除尘器+二级活性炭吸附装置”、2套移动式布袋除尘器</w:t>
      </w:r>
      <w:r>
        <w:rPr>
          <w:rFonts w:hint="eastAsia" w:ascii="Times New Roman" w:hAnsi="Times New Roman" w:eastAsia="仿宋_GB2312" w:cs="仿宋_GB2312"/>
          <w:color w:val="000000"/>
          <w:kern w:val="2"/>
          <w:sz w:val="32"/>
          <w:szCs w:val="32"/>
          <w:lang w:val="en-US" w:eastAsia="zh-CN" w:bidi="ar-SA"/>
        </w:rPr>
        <w:t>等）</w:t>
      </w:r>
      <w:r>
        <w:rPr>
          <w:rFonts w:hint="eastAsia" w:eastAsia="仿宋_GB2312" w:cs="仿宋_GB2312"/>
          <w:color w:val="000000"/>
          <w:kern w:val="2"/>
          <w:sz w:val="32"/>
          <w:szCs w:val="32"/>
          <w:lang w:val="en-US" w:eastAsia="zh-CN" w:bidi="ar-SA"/>
        </w:rPr>
        <w:t>；其余主体工程、储运工程、辅助工程、公用工程和部分环保工程依托现有，详见《报告表》。</w:t>
      </w:r>
    </w:p>
    <w:p w14:paraId="4BC08BC1">
      <w:pPr>
        <w:pStyle w:val="36"/>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项目不涉及自然保护区、饮用水源保护区、文物保护单位、地质公园、风景名胜区、基本农田等特殊保护对象。项目总投资</w:t>
      </w:r>
      <w:r>
        <w:rPr>
          <w:rFonts w:hint="eastAsia" w:eastAsia="仿宋_GB2312" w:cs="仿宋_GB2312"/>
          <w:color w:val="000000"/>
          <w:kern w:val="2"/>
          <w:sz w:val="32"/>
          <w:szCs w:val="32"/>
          <w:lang w:val="en-US" w:eastAsia="zh-CN" w:bidi="ar-SA"/>
        </w:rPr>
        <w:t>600</w:t>
      </w:r>
      <w:r>
        <w:rPr>
          <w:rFonts w:hint="eastAsia" w:ascii="Times New Roman" w:hAnsi="Times New Roman" w:eastAsia="仿宋_GB2312" w:cs="仿宋_GB2312"/>
          <w:color w:val="000000"/>
          <w:kern w:val="2"/>
          <w:sz w:val="32"/>
          <w:szCs w:val="32"/>
          <w:lang w:val="en-US" w:eastAsia="zh-CN" w:bidi="ar-SA"/>
        </w:rPr>
        <w:t>.00万元，其中环保投资</w:t>
      </w:r>
      <w:r>
        <w:rPr>
          <w:rFonts w:hint="eastAsia" w:eastAsia="仿宋_GB2312" w:cs="仿宋_GB2312"/>
          <w:color w:val="000000"/>
          <w:kern w:val="2"/>
          <w:sz w:val="32"/>
          <w:szCs w:val="32"/>
          <w:lang w:val="en-US" w:eastAsia="zh-CN" w:bidi="ar-SA"/>
        </w:rPr>
        <w:t>45.50</w:t>
      </w:r>
      <w:r>
        <w:rPr>
          <w:rFonts w:hint="eastAsia" w:ascii="Times New Roman" w:hAnsi="Times New Roman" w:eastAsia="仿宋_GB2312" w:cs="仿宋_GB2312"/>
          <w:color w:val="000000"/>
          <w:kern w:val="2"/>
          <w:sz w:val="32"/>
          <w:szCs w:val="32"/>
          <w:lang w:val="en-US" w:eastAsia="zh-CN" w:bidi="ar-SA"/>
        </w:rPr>
        <w:t>万元，占比</w:t>
      </w:r>
      <w:r>
        <w:rPr>
          <w:rFonts w:hint="eastAsia" w:eastAsia="仿宋_GB2312" w:cs="仿宋_GB2312"/>
          <w:color w:val="000000"/>
          <w:kern w:val="2"/>
          <w:sz w:val="32"/>
          <w:szCs w:val="32"/>
          <w:lang w:val="en-US" w:eastAsia="zh-CN" w:bidi="ar-SA"/>
        </w:rPr>
        <w:t>7.58</w:t>
      </w:r>
      <w:r>
        <w:rPr>
          <w:rFonts w:hint="eastAsia" w:ascii="Times New Roman" w:hAnsi="Times New Roman" w:eastAsia="仿宋_GB2312" w:cs="仿宋_GB2312"/>
          <w:color w:val="000000"/>
          <w:kern w:val="2"/>
          <w:sz w:val="32"/>
          <w:szCs w:val="32"/>
          <w:lang w:val="en-US" w:eastAsia="zh-CN" w:bidi="ar-SA"/>
        </w:rPr>
        <w:t>%。</w:t>
      </w:r>
    </w:p>
    <w:p w14:paraId="6F8B2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项目已获得广西壮族自治区投资项目备案证明。从环境影响角度考虑，同意你公司按照《报告表》所列的建设项目的地点、性质、规模、采取的环境保护对策措施及下述要求进行项目建设。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二、项目须落实《报告表》提出的各项环保要求，重点抓好以下环保工作：</w:t>
      </w:r>
    </w:p>
    <w:p w14:paraId="231B6AD4">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项目铸钢熔炼工序、铸钢埋砂造型工序、铸钢浇注工序、铸钢解箱清砂工序产生的废气经集气罩收集后通过布袋除尘器处理，经1根15米高的排气筒（DA001）排放，须确保有组织排放的颗粒物排放浓度满足GB 39726-2020《铸造工业大气污染物排放标准》中表1大气污染物排放限值要求。</w:t>
      </w:r>
    </w:p>
    <w:p w14:paraId="1E019F64">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项目铸钢抛丸工序产生的废气经密闭收集后通过布袋除尘器处理，经1根15米高的排气筒（DA002）排放，须确保有组织外排的颗粒物排放浓度满足GB 39726-2020《铸造工业大气污染物排放标准》中表1大气污染物排放限值要求。</w:t>
      </w:r>
    </w:p>
    <w:p w14:paraId="25B50CE1">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项目燃天然气退火炉产生的废气经布袋除尘器处理后，通过1根15米的排气筒（DA003）排放，须确保有组织外排的颗粒物、二氧化硫、氮氧化物排放浓度满足GB 39726-2020《铸造工业大气污染物排放标准》中表1大气污染物排放限值要求。</w:t>
      </w:r>
    </w:p>
    <w:p w14:paraId="6BFDFF3E">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项目</w:t>
      </w:r>
      <w:r>
        <w:rPr>
          <w:rFonts w:hint="eastAsia" w:eastAsia="仿宋_GB2312" w:cs="仿宋_GB2312"/>
          <w:color w:val="000000"/>
          <w:kern w:val="2"/>
          <w:sz w:val="32"/>
          <w:szCs w:val="32"/>
          <w:lang w:val="en-US" w:eastAsia="zh-CN" w:bidi="ar-SA"/>
        </w:rPr>
        <w:t>铸铁熔炼工序、铸铁解箱清砂</w:t>
      </w:r>
      <w:r>
        <w:rPr>
          <w:rFonts w:hint="eastAsia" w:ascii="Times New Roman" w:hAnsi="Times New Roman" w:eastAsia="仿宋_GB2312" w:cs="仿宋_GB2312"/>
          <w:color w:val="000000"/>
          <w:kern w:val="2"/>
          <w:sz w:val="32"/>
          <w:szCs w:val="32"/>
          <w:lang w:val="en-US" w:eastAsia="zh-CN" w:bidi="ar-SA"/>
        </w:rPr>
        <w:t>工序产生的废气经集气罩收集后通过布袋除尘器处理，经1根15米高的排气筒</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DA00</w:t>
      </w:r>
      <w:r>
        <w:rPr>
          <w:rFonts w:hint="eastAsia" w:eastAsia="仿宋_GB2312" w:cs="仿宋_GB2312"/>
          <w:color w:val="000000"/>
          <w:kern w:val="2"/>
          <w:sz w:val="32"/>
          <w:szCs w:val="32"/>
          <w:lang w:val="en-US" w:eastAsia="zh-CN" w:bidi="ar-SA"/>
        </w:rPr>
        <w:t>4）</w:t>
      </w:r>
      <w:r>
        <w:rPr>
          <w:rFonts w:hint="eastAsia" w:ascii="Times New Roman" w:hAnsi="Times New Roman" w:eastAsia="仿宋_GB2312" w:cs="仿宋_GB2312"/>
          <w:color w:val="000000"/>
          <w:kern w:val="2"/>
          <w:sz w:val="32"/>
          <w:szCs w:val="32"/>
          <w:lang w:val="en-US" w:eastAsia="zh-CN" w:bidi="ar-SA"/>
        </w:rPr>
        <w:t>排放，须确保有组织排放的颗粒物排放浓度满足GB 39726-2020《铸造工业大气污染物排放标准》中表1大气污染物排放限值要求。</w:t>
      </w:r>
    </w:p>
    <w:p w14:paraId="78F09043">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640" w:firstLineChars="200"/>
        <w:jc w:val="distribute"/>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项目铸铁埋砂造型</w:t>
      </w:r>
      <w:r>
        <w:rPr>
          <w:rFonts w:hint="eastAsia" w:eastAsia="仿宋_GB2312" w:cs="仿宋_GB2312"/>
          <w:color w:val="000000"/>
          <w:kern w:val="2"/>
          <w:sz w:val="32"/>
          <w:szCs w:val="32"/>
          <w:lang w:val="en-US" w:eastAsia="zh-CN" w:bidi="ar-SA"/>
        </w:rPr>
        <w:t>工序</w:t>
      </w:r>
      <w:r>
        <w:rPr>
          <w:rFonts w:hint="eastAsia" w:ascii="Times New Roman" w:hAnsi="Times New Roman" w:eastAsia="仿宋_GB2312" w:cs="仿宋_GB2312"/>
          <w:color w:val="000000"/>
          <w:kern w:val="2"/>
          <w:sz w:val="32"/>
          <w:szCs w:val="32"/>
          <w:lang w:val="en-US" w:eastAsia="zh-CN" w:bidi="ar-SA"/>
        </w:rPr>
        <w:t>、铸铁浇注</w:t>
      </w:r>
      <w:r>
        <w:rPr>
          <w:rFonts w:hint="eastAsia" w:eastAsia="仿宋_GB2312" w:cs="仿宋_GB2312"/>
          <w:color w:val="000000"/>
          <w:kern w:val="2"/>
          <w:sz w:val="32"/>
          <w:szCs w:val="32"/>
          <w:lang w:val="en-US" w:eastAsia="zh-CN" w:bidi="ar-SA"/>
        </w:rPr>
        <w:t>工序和铸铁</w:t>
      </w:r>
      <w:r>
        <w:rPr>
          <w:rFonts w:hint="eastAsia" w:ascii="Times New Roman" w:hAnsi="Times New Roman" w:eastAsia="仿宋_GB2312" w:cs="仿宋_GB2312"/>
          <w:color w:val="000000"/>
          <w:kern w:val="2"/>
          <w:sz w:val="32"/>
          <w:szCs w:val="32"/>
          <w:lang w:val="en-US" w:eastAsia="zh-CN" w:bidi="ar-SA"/>
        </w:rPr>
        <w:t>混砂</w:t>
      </w:r>
      <w:r>
        <w:rPr>
          <w:rFonts w:hint="eastAsia" w:eastAsia="仿宋_GB2312" w:cs="仿宋_GB2312"/>
          <w:color w:val="000000"/>
          <w:kern w:val="2"/>
          <w:sz w:val="32"/>
          <w:szCs w:val="32"/>
          <w:lang w:val="en-US" w:eastAsia="zh-CN" w:bidi="ar-SA"/>
        </w:rPr>
        <w:t>工序经集气罩收集后通过“布袋除尘器+二级活性炭吸附装置”处理，经1根15米高的排气筒（DA005）排放，须确保有组织排放的颗粒物的排放浓度满足GB 39726-2020《铸造工业大气污染物排放标准》中表1大气污染物排放限值要求；须确保有组织排放的非甲烷总烃、甲醛和甲醇的排放浓度和速率满足</w:t>
      </w:r>
    </w:p>
    <w:p w14:paraId="7018EE1D">
      <w:pPr>
        <w:pStyle w:val="54"/>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GB 16297-1996《大气污染物综合排放标准》中表2新污染源大气污染物排放限值要求，因排气筒不满足高于周围200米范围建筑5米以上要求，排放速率须按标准值严格50%执行。</w:t>
      </w:r>
    </w:p>
    <w:p w14:paraId="086C33F6">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项目铸铁抛丸工序产生的废气经密闭收集后通过布袋除尘器处理，经1根15米高的排气筒（DA006）排放，须确保有组织外排的颗粒物排放浓度满足GB 39726-2020《铸造工业大气污染物排放标准》中表1大气污染物排放限值要求。</w:t>
      </w:r>
    </w:p>
    <w:p w14:paraId="7FBCB85C">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项目</w:t>
      </w:r>
      <w:r>
        <w:rPr>
          <w:rFonts w:hint="eastAsia" w:ascii="Times New Roman" w:hAnsi="Times New Roman" w:eastAsia="仿宋_GB2312" w:cs="仿宋_GB2312"/>
          <w:color w:val="000000"/>
          <w:kern w:val="2"/>
          <w:sz w:val="32"/>
          <w:szCs w:val="32"/>
          <w:lang w:val="en-US" w:eastAsia="zh-CN" w:bidi="ar-SA"/>
        </w:rPr>
        <w:t>铸铁砂处理</w:t>
      </w:r>
      <w:r>
        <w:rPr>
          <w:rFonts w:hint="eastAsia" w:eastAsia="仿宋_GB2312" w:cs="仿宋_GB2312"/>
          <w:color w:val="000000"/>
          <w:kern w:val="2"/>
          <w:sz w:val="32"/>
          <w:szCs w:val="32"/>
          <w:lang w:val="en-US" w:eastAsia="zh-CN" w:bidi="ar-SA"/>
        </w:rPr>
        <w:t>工序产生的废气</w:t>
      </w:r>
      <w:r>
        <w:rPr>
          <w:rFonts w:hint="eastAsia" w:ascii="Times New Roman" w:hAnsi="Times New Roman" w:eastAsia="仿宋_GB2312" w:cs="仿宋_GB2312"/>
          <w:color w:val="000000"/>
          <w:kern w:val="2"/>
          <w:sz w:val="32"/>
          <w:szCs w:val="32"/>
          <w:lang w:val="en-US" w:eastAsia="zh-CN" w:bidi="ar-SA"/>
        </w:rPr>
        <w:t>经集气罩收集后通过布袋除尘器处理，经1根15米高的排气筒</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DA00</w:t>
      </w:r>
      <w:r>
        <w:rPr>
          <w:rFonts w:hint="eastAsia" w:eastAsia="仿宋_GB2312" w:cs="仿宋_GB2312"/>
          <w:color w:val="000000"/>
          <w:kern w:val="2"/>
          <w:sz w:val="32"/>
          <w:szCs w:val="32"/>
          <w:lang w:val="en-US" w:eastAsia="zh-CN" w:bidi="ar-SA"/>
        </w:rPr>
        <w:t>7）</w:t>
      </w:r>
      <w:r>
        <w:rPr>
          <w:rFonts w:hint="eastAsia" w:ascii="Times New Roman" w:hAnsi="Times New Roman" w:eastAsia="仿宋_GB2312" w:cs="仿宋_GB2312"/>
          <w:color w:val="000000"/>
          <w:kern w:val="2"/>
          <w:sz w:val="32"/>
          <w:szCs w:val="32"/>
          <w:lang w:val="en-US" w:eastAsia="zh-CN" w:bidi="ar-SA"/>
        </w:rPr>
        <w:t>排放，须确保有组织排放的颗粒物排放浓度满足GB 39726-2020《铸造工业大气污染物排放标准》中表1大气污染物排放限值要求。</w:t>
      </w:r>
    </w:p>
    <w:p w14:paraId="68495ABE">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项目打磨工序产生的废气经集气罩收集，通过移动式布袋除尘器处理后与机加工工序产生的废气无组织排放；各工序产生的无组织废气须采取加强密闭收集等措施</w:t>
      </w:r>
      <w:r>
        <w:rPr>
          <w:rFonts w:hint="eastAsia" w:ascii="Times New Roman" w:hAnsi="Times New Roman" w:eastAsia="仿宋_GB2312" w:cs="仿宋_GB2312"/>
          <w:color w:val="000000"/>
          <w:kern w:val="2"/>
          <w:sz w:val="32"/>
          <w:szCs w:val="32"/>
          <w:lang w:val="en-US" w:eastAsia="zh-CN" w:bidi="ar-SA"/>
        </w:rPr>
        <w:t>，须确保</w:t>
      </w:r>
      <w:r>
        <w:rPr>
          <w:rFonts w:hint="eastAsia" w:eastAsia="仿宋_GB2312" w:cs="仿宋_GB2312"/>
          <w:color w:val="000000"/>
          <w:kern w:val="2"/>
          <w:sz w:val="32"/>
          <w:szCs w:val="32"/>
          <w:lang w:val="en-US" w:eastAsia="zh-CN" w:bidi="ar-SA"/>
        </w:rPr>
        <w:t>厂界无组织</w:t>
      </w:r>
      <w:r>
        <w:rPr>
          <w:rFonts w:hint="eastAsia" w:ascii="Times New Roman" w:hAnsi="Times New Roman" w:eastAsia="仿宋_GB2312" w:cs="仿宋_GB2312"/>
          <w:color w:val="000000"/>
          <w:kern w:val="2"/>
          <w:sz w:val="32"/>
          <w:szCs w:val="32"/>
          <w:lang w:val="en-US" w:eastAsia="zh-CN" w:bidi="ar-SA"/>
        </w:rPr>
        <w:t>排放</w:t>
      </w:r>
      <w:r>
        <w:rPr>
          <w:rFonts w:hint="eastAsia" w:eastAsia="仿宋_GB2312" w:cs="仿宋_GB2312"/>
          <w:color w:val="000000"/>
          <w:kern w:val="2"/>
          <w:sz w:val="32"/>
          <w:szCs w:val="32"/>
          <w:lang w:val="en-US" w:eastAsia="zh-CN" w:bidi="ar-SA"/>
        </w:rPr>
        <w:t>的</w:t>
      </w:r>
      <w:r>
        <w:rPr>
          <w:rFonts w:hint="eastAsia" w:ascii="Times New Roman" w:hAnsi="Times New Roman" w:eastAsia="仿宋_GB2312" w:cs="仿宋_GB2312"/>
          <w:color w:val="000000"/>
          <w:kern w:val="2"/>
          <w:sz w:val="32"/>
          <w:szCs w:val="32"/>
          <w:lang w:val="en-US" w:eastAsia="zh-CN" w:bidi="ar-SA"/>
        </w:rPr>
        <w:t>颗粒物</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非甲烷总烃</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甲醛</w:t>
      </w:r>
      <w:r>
        <w:rPr>
          <w:rFonts w:hint="eastAsia" w:eastAsia="仿宋_GB2312" w:cs="仿宋_GB2312"/>
          <w:color w:val="000000"/>
          <w:kern w:val="2"/>
          <w:sz w:val="32"/>
          <w:szCs w:val="32"/>
          <w:lang w:val="en-US" w:eastAsia="zh-CN" w:bidi="ar-SA"/>
        </w:rPr>
        <w:t>、甲醇</w:t>
      </w:r>
      <w:r>
        <w:rPr>
          <w:rFonts w:hint="eastAsia" w:ascii="Times New Roman" w:hAnsi="Times New Roman" w:eastAsia="仿宋_GB2312" w:cs="仿宋_GB2312"/>
          <w:color w:val="000000"/>
          <w:kern w:val="2"/>
          <w:sz w:val="32"/>
          <w:szCs w:val="32"/>
          <w:lang w:val="en-US" w:eastAsia="zh-CN" w:bidi="ar-SA"/>
        </w:rPr>
        <w:t>满足GB 16297-1996《大气污染物综合排放标准》表2新污染源大气污染物排放限值</w:t>
      </w:r>
      <w:r>
        <w:rPr>
          <w:rFonts w:hint="eastAsia" w:eastAsia="仿宋_GB2312" w:cs="仿宋_GB2312"/>
          <w:color w:val="000000"/>
          <w:kern w:val="2"/>
          <w:sz w:val="32"/>
          <w:szCs w:val="32"/>
          <w:lang w:val="en-US" w:eastAsia="zh-CN" w:bidi="ar-SA"/>
        </w:rPr>
        <w:t>中</w:t>
      </w:r>
      <w:r>
        <w:rPr>
          <w:rFonts w:hint="eastAsia" w:ascii="Times New Roman" w:hAnsi="Times New Roman" w:eastAsia="仿宋_GB2312" w:cs="仿宋_GB2312"/>
          <w:color w:val="000000"/>
          <w:kern w:val="2"/>
          <w:sz w:val="32"/>
          <w:szCs w:val="32"/>
          <w:lang w:val="en-US" w:eastAsia="zh-CN" w:bidi="ar-SA"/>
        </w:rPr>
        <w:t>无组织排放监控浓度限值</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须确保</w:t>
      </w:r>
      <w:r>
        <w:rPr>
          <w:rFonts w:hint="eastAsia" w:eastAsia="仿宋_GB2312" w:cs="仿宋_GB2312"/>
          <w:color w:val="000000"/>
          <w:kern w:val="2"/>
          <w:sz w:val="32"/>
          <w:szCs w:val="32"/>
          <w:lang w:val="en-US" w:eastAsia="zh-CN" w:bidi="ar-SA"/>
        </w:rPr>
        <w:t>厂区内无组织排放的颗粒物、非甲烷总烃满足GB 39726-2020《铸造工业大气污染物排放标准》中表A.1厂区内颗粒物、VOCs无组织排放限值要求。</w:t>
      </w:r>
    </w:p>
    <w:p w14:paraId="5476FFA4">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项目循环冷却工序产生的循环冷却水全部进入冷却塔冷却后循环使用，蒸发损耗不外排；项目生活污水经化粪池处理达到GB 8978-1996《污水综合排放标准》三级标准后通过市政污水管网后排入沙埔镇污水处理厂。</w:t>
      </w:r>
    </w:p>
    <w:p w14:paraId="33BCDD89">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优化总平面布置，选择低噪先进的设备。对</w:t>
      </w:r>
      <w:r>
        <w:rPr>
          <w:rFonts w:hint="eastAsia" w:eastAsia="仿宋_GB2312" w:cs="仿宋_GB2312"/>
          <w:color w:val="000000"/>
          <w:kern w:val="2"/>
          <w:sz w:val="32"/>
          <w:szCs w:val="32"/>
          <w:lang w:val="en-US" w:eastAsia="zh-CN" w:bidi="ar-SA"/>
        </w:rPr>
        <w:t>电动单梁起重机、通用桥式起重机、闭式冷却塔、风机</w:t>
      </w:r>
      <w:r>
        <w:rPr>
          <w:rFonts w:hint="eastAsia" w:ascii="Times New Roman" w:hAnsi="Times New Roman" w:eastAsia="仿宋_GB2312" w:cs="仿宋_GB2312"/>
          <w:color w:val="000000"/>
          <w:kern w:val="2"/>
          <w:sz w:val="32"/>
          <w:szCs w:val="32"/>
          <w:lang w:val="en-US" w:eastAsia="zh-CN" w:bidi="ar-SA"/>
        </w:rPr>
        <w:t>等</w:t>
      </w:r>
      <w:r>
        <w:rPr>
          <w:rFonts w:hint="eastAsia" w:eastAsia="仿宋_GB2312" w:cs="仿宋_GB2312"/>
          <w:color w:val="000000"/>
          <w:kern w:val="2"/>
          <w:sz w:val="32"/>
          <w:szCs w:val="32"/>
          <w:lang w:val="en-US" w:eastAsia="zh-CN" w:bidi="ar-SA"/>
        </w:rPr>
        <w:t>高噪声</w:t>
      </w:r>
      <w:r>
        <w:rPr>
          <w:rFonts w:hint="eastAsia" w:ascii="Times New Roman" w:hAnsi="Times New Roman" w:eastAsia="仿宋_GB2312" w:cs="仿宋_GB2312"/>
          <w:color w:val="000000"/>
          <w:kern w:val="2"/>
          <w:sz w:val="32"/>
          <w:szCs w:val="32"/>
          <w:lang w:val="en-US" w:eastAsia="zh-CN" w:bidi="ar-SA"/>
        </w:rPr>
        <w:t>设备采取消声、减振措施后，确保厂界噪声达到GB</w:t>
      </w:r>
      <w:r>
        <w:rPr>
          <w:rFonts w:hint="eastAsia" w:eastAsia="仿宋_GB2312" w:cs="仿宋_GB2312"/>
          <w:color w:val="000000"/>
          <w:kern w:val="2"/>
          <w:sz w:val="32"/>
          <w:szCs w:val="32"/>
          <w:lang w:val="en-US" w:eastAsia="zh-CN" w:bidi="ar-SA"/>
        </w:rPr>
        <w:t xml:space="preserve"> </w:t>
      </w:r>
      <w:r>
        <w:rPr>
          <w:rFonts w:hint="eastAsia" w:ascii="Times New Roman" w:hAnsi="Times New Roman" w:eastAsia="仿宋_GB2312" w:cs="仿宋_GB2312"/>
          <w:color w:val="000000"/>
          <w:kern w:val="2"/>
          <w:sz w:val="32"/>
          <w:szCs w:val="32"/>
          <w:lang w:val="en-US" w:eastAsia="zh-CN" w:bidi="ar-SA"/>
        </w:rPr>
        <w:t>12348-2008《工业企业厂界环境噪声排放标准》</w:t>
      </w:r>
      <w:r>
        <w:rPr>
          <w:rFonts w:hint="eastAsia" w:eastAsia="仿宋_GB2312" w:cs="仿宋_GB2312"/>
          <w:color w:val="000000"/>
          <w:kern w:val="2"/>
          <w:sz w:val="32"/>
          <w:szCs w:val="32"/>
          <w:lang w:val="en-US" w:eastAsia="zh-CN" w:bidi="ar-SA"/>
        </w:rPr>
        <w:t>3</w:t>
      </w:r>
      <w:r>
        <w:rPr>
          <w:rFonts w:hint="eastAsia" w:ascii="Times New Roman" w:hAnsi="Times New Roman" w:eastAsia="仿宋_GB2312" w:cs="仿宋_GB2312"/>
          <w:color w:val="000000"/>
          <w:kern w:val="2"/>
          <w:sz w:val="32"/>
          <w:szCs w:val="32"/>
          <w:lang w:val="en-US" w:eastAsia="zh-CN" w:bidi="ar-SA"/>
        </w:rPr>
        <w:t>类</w:t>
      </w:r>
      <w:r>
        <w:rPr>
          <w:rFonts w:hint="eastAsia" w:eastAsia="仿宋_GB2312" w:cs="仿宋_GB2312"/>
          <w:color w:val="000000"/>
          <w:kern w:val="2"/>
          <w:sz w:val="32"/>
          <w:szCs w:val="32"/>
          <w:lang w:val="en-US" w:eastAsia="zh-CN" w:bidi="ar-SA"/>
        </w:rPr>
        <w:t>标准限值要求</w:t>
      </w:r>
      <w:r>
        <w:rPr>
          <w:rFonts w:hint="eastAsia" w:ascii="Times New Roman" w:hAnsi="Times New Roman" w:eastAsia="仿宋_GB2312" w:cs="仿宋_GB2312"/>
          <w:color w:val="000000"/>
          <w:kern w:val="2"/>
          <w:sz w:val="32"/>
          <w:szCs w:val="32"/>
          <w:lang w:val="en-US" w:eastAsia="zh-CN" w:bidi="ar-SA"/>
        </w:rPr>
        <w:t>。</w:t>
      </w:r>
    </w:p>
    <w:p w14:paraId="51E759E1">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须</w:t>
      </w:r>
      <w:r>
        <w:rPr>
          <w:rFonts w:hint="eastAsia" w:ascii="Times New Roman" w:hAnsi="Times New Roman" w:eastAsia="仿宋_GB2312" w:cs="仿宋_GB2312"/>
          <w:color w:val="000000"/>
          <w:kern w:val="2"/>
          <w:sz w:val="32"/>
          <w:szCs w:val="32"/>
          <w:lang w:val="en-US" w:eastAsia="zh-CN" w:bidi="ar-SA"/>
        </w:rPr>
        <w:t>做好一般固体废物的综合利用和妥善处置工作。</w:t>
      </w:r>
      <w:r>
        <w:rPr>
          <w:rFonts w:hint="eastAsia" w:eastAsia="仿宋_GB2312" w:cs="仿宋_GB2312"/>
          <w:color w:val="000000"/>
          <w:kern w:val="2"/>
          <w:sz w:val="32"/>
          <w:szCs w:val="32"/>
          <w:lang w:val="en-US" w:eastAsia="zh-CN" w:bidi="ar-SA"/>
        </w:rPr>
        <w:t>对</w:t>
      </w:r>
      <w:r>
        <w:rPr>
          <w:rFonts w:hint="eastAsia" w:ascii="Times New Roman" w:hAnsi="Times New Roman" w:eastAsia="仿宋_GB2312" w:cs="仿宋_GB2312"/>
          <w:color w:val="000000"/>
          <w:kern w:val="2"/>
          <w:sz w:val="32"/>
          <w:szCs w:val="32"/>
          <w:lang w:val="en-US" w:eastAsia="zh-CN" w:bidi="ar-SA"/>
        </w:rPr>
        <w:t>废石英砂</w:t>
      </w:r>
      <w:r>
        <w:rPr>
          <w:rFonts w:hint="eastAsia" w:eastAsia="仿宋_GB2312" w:cs="仿宋_GB2312"/>
          <w:color w:val="000000"/>
          <w:kern w:val="2"/>
          <w:sz w:val="32"/>
          <w:szCs w:val="32"/>
          <w:lang w:val="en-US" w:eastAsia="zh-CN" w:bidi="ar-SA"/>
        </w:rPr>
        <w:t>、布袋</w:t>
      </w:r>
      <w:r>
        <w:rPr>
          <w:rFonts w:hint="eastAsia" w:ascii="Times New Roman" w:hAnsi="Times New Roman" w:eastAsia="仿宋_GB2312" w:cs="仿宋_GB2312"/>
          <w:color w:val="000000"/>
          <w:kern w:val="2"/>
          <w:sz w:val="32"/>
          <w:szCs w:val="32"/>
          <w:lang w:val="en-US" w:eastAsia="zh-CN" w:bidi="ar-SA"/>
        </w:rPr>
        <w:t>除尘器收集尘及自然沉降粉尘</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一般废包装材料</w:t>
      </w:r>
      <w:r>
        <w:rPr>
          <w:rFonts w:hint="eastAsia" w:eastAsia="仿宋_GB2312" w:cs="仿宋_GB2312"/>
          <w:color w:val="000000"/>
          <w:kern w:val="2"/>
          <w:sz w:val="32"/>
          <w:szCs w:val="32"/>
          <w:lang w:val="en-US" w:eastAsia="zh-CN" w:bidi="ar-SA"/>
        </w:rPr>
        <w:t>分类收集后外售处置；生活垃圾经收集后交由环卫部门统一清运处理</w:t>
      </w:r>
      <w:r>
        <w:rPr>
          <w:rFonts w:hint="eastAsia" w:ascii="Times New Roman" w:hAnsi="Times New Roman" w:eastAsia="仿宋_GB2312" w:cs="仿宋_GB2312"/>
          <w:color w:val="000000"/>
          <w:kern w:val="2"/>
          <w:sz w:val="32"/>
          <w:szCs w:val="32"/>
          <w:lang w:val="en-US" w:eastAsia="zh-CN" w:bidi="ar-SA"/>
        </w:rPr>
        <w:t>。须</w:t>
      </w:r>
      <w:r>
        <w:rPr>
          <w:rFonts w:hint="eastAsia" w:eastAsia="仿宋_GB2312" w:cs="仿宋_GB2312"/>
          <w:color w:val="000000"/>
          <w:kern w:val="2"/>
          <w:sz w:val="32"/>
          <w:szCs w:val="32"/>
          <w:lang w:val="en-US" w:eastAsia="zh-CN" w:bidi="ar-SA"/>
        </w:rPr>
        <w:t>按</w:t>
      </w:r>
      <w:r>
        <w:rPr>
          <w:rFonts w:hint="eastAsia" w:ascii="Times New Roman" w:hAnsi="Times New Roman" w:eastAsia="仿宋_GB2312" w:cs="仿宋_GB2312"/>
          <w:color w:val="000000"/>
          <w:kern w:val="2"/>
          <w:sz w:val="32"/>
          <w:szCs w:val="32"/>
          <w:lang w:val="en-US" w:eastAsia="zh-CN" w:bidi="ar-SA"/>
        </w:rPr>
        <w:t>GB 18599-2020《一般工业固体废物贮存和填埋污染控制标准》要求，建设规范的一般固体废物贮存设施。</w:t>
      </w:r>
    </w:p>
    <w:p w14:paraId="104BC295">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须按GB</w:t>
      </w:r>
      <w:r>
        <w:rPr>
          <w:rFonts w:hint="eastAsia" w:eastAsia="仿宋_GB2312" w:cs="仿宋_GB2312"/>
          <w:color w:val="000000"/>
          <w:kern w:val="2"/>
          <w:sz w:val="32"/>
          <w:szCs w:val="32"/>
          <w:lang w:val="en-US" w:eastAsia="zh-CN" w:bidi="ar-SA"/>
        </w:rPr>
        <w:t xml:space="preserve"> </w:t>
      </w:r>
      <w:r>
        <w:rPr>
          <w:rFonts w:hint="eastAsia" w:ascii="Times New Roman" w:hAnsi="Times New Roman" w:eastAsia="仿宋_GB2312" w:cs="仿宋_GB2312"/>
          <w:color w:val="000000"/>
          <w:kern w:val="2"/>
          <w:sz w:val="32"/>
          <w:szCs w:val="32"/>
          <w:lang w:val="en-US" w:eastAsia="zh-CN" w:bidi="ar-SA"/>
        </w:rPr>
        <w:t>18597-2023《危险废物贮存污染控制标准》及其修改单的要求，建设规范的废润滑油</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废润滑油桶</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废活性炭</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废含油抹布及劳保用品</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废包装桶</w:t>
      </w:r>
      <w:r>
        <w:rPr>
          <w:rFonts w:hint="eastAsia" w:eastAsia="仿宋_GB2312" w:cs="仿宋_GB2312"/>
          <w:color w:val="000000"/>
          <w:kern w:val="2"/>
          <w:sz w:val="32"/>
          <w:szCs w:val="32"/>
          <w:lang w:val="en-US" w:eastAsia="zh-CN" w:bidi="ar-SA"/>
        </w:rPr>
        <w:t>及</w:t>
      </w:r>
      <w:r>
        <w:rPr>
          <w:rFonts w:hint="eastAsia" w:ascii="Times New Roman" w:hAnsi="Times New Roman" w:eastAsia="仿宋_GB2312" w:cs="仿宋_GB2312"/>
          <w:color w:val="000000"/>
          <w:kern w:val="2"/>
          <w:sz w:val="32"/>
          <w:szCs w:val="32"/>
          <w:lang w:val="en-US" w:eastAsia="zh-CN" w:bidi="ar-SA"/>
        </w:rPr>
        <w:t>包装袋等</w:t>
      </w:r>
      <w:r>
        <w:rPr>
          <w:rFonts w:hint="eastAsia" w:eastAsia="仿宋_GB2312" w:cs="仿宋_GB2312"/>
          <w:color w:val="000000"/>
          <w:kern w:val="2"/>
          <w:sz w:val="32"/>
          <w:szCs w:val="32"/>
          <w:lang w:val="en-US" w:eastAsia="zh-CN" w:bidi="ar-SA"/>
        </w:rPr>
        <w:t>的</w:t>
      </w:r>
      <w:r>
        <w:rPr>
          <w:rFonts w:hint="eastAsia" w:ascii="Times New Roman" w:hAnsi="Times New Roman" w:eastAsia="仿宋_GB2312" w:cs="仿宋_GB2312"/>
          <w:color w:val="000000"/>
          <w:kern w:val="2"/>
          <w:sz w:val="32"/>
          <w:szCs w:val="32"/>
          <w:lang w:val="en-US" w:eastAsia="zh-CN" w:bidi="ar-SA"/>
        </w:rPr>
        <w:t>收集</w:t>
      </w:r>
      <w:r>
        <w:rPr>
          <w:rFonts w:hint="eastAsia" w:eastAsia="仿宋_GB2312" w:cs="仿宋_GB2312"/>
          <w:color w:val="000000"/>
          <w:kern w:val="2"/>
          <w:sz w:val="32"/>
          <w:szCs w:val="32"/>
          <w:lang w:val="en-US" w:eastAsia="zh-CN" w:bidi="ar-SA"/>
        </w:rPr>
        <w:t>和</w:t>
      </w:r>
      <w:r>
        <w:rPr>
          <w:rFonts w:hint="eastAsia" w:ascii="Times New Roman" w:hAnsi="Times New Roman" w:eastAsia="仿宋_GB2312" w:cs="仿宋_GB2312"/>
          <w:color w:val="000000"/>
          <w:kern w:val="2"/>
          <w:sz w:val="32"/>
          <w:szCs w:val="32"/>
          <w:lang w:val="en-US" w:eastAsia="zh-CN" w:bidi="ar-SA"/>
        </w:rPr>
        <w:t>临时存放设施，并设立明显的</w:t>
      </w:r>
      <w:r>
        <w:rPr>
          <w:rFonts w:hint="eastAsia" w:eastAsia="仿宋_GB2312" w:cs="仿宋_GB2312"/>
          <w:color w:val="000000"/>
          <w:kern w:val="2"/>
          <w:sz w:val="32"/>
          <w:szCs w:val="32"/>
          <w:lang w:val="en-US" w:eastAsia="zh-CN" w:bidi="ar-SA"/>
        </w:rPr>
        <w:t>危险废物</w:t>
      </w:r>
      <w:r>
        <w:rPr>
          <w:rFonts w:hint="eastAsia" w:ascii="Times New Roman" w:hAnsi="Times New Roman" w:eastAsia="仿宋_GB2312" w:cs="仿宋_GB2312"/>
          <w:color w:val="000000"/>
          <w:kern w:val="2"/>
          <w:sz w:val="32"/>
          <w:szCs w:val="32"/>
          <w:lang w:val="en-US" w:eastAsia="zh-CN" w:bidi="ar-SA"/>
        </w:rPr>
        <w:t>标志，危险废物须定期收集并交由有危险废物处置资质的单位按规定处理</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处置，不得擅自倾倒、堆放。</w:t>
      </w:r>
      <w:r>
        <w:rPr>
          <w:rFonts w:hint="eastAsia" w:eastAsia="仿宋_GB2312" w:cs="仿宋_GB2312"/>
          <w:color w:val="000000"/>
          <w:kern w:val="2"/>
          <w:sz w:val="32"/>
          <w:szCs w:val="32"/>
          <w:lang w:val="en-US" w:eastAsia="zh-CN" w:bidi="ar-SA"/>
        </w:rPr>
        <w:t>按要求</w:t>
      </w:r>
      <w:r>
        <w:rPr>
          <w:rFonts w:hint="eastAsia" w:ascii="Times New Roman" w:hAnsi="Times New Roman" w:eastAsia="仿宋_GB2312" w:cs="仿宋_GB2312"/>
          <w:color w:val="000000"/>
          <w:kern w:val="2"/>
          <w:sz w:val="32"/>
          <w:szCs w:val="32"/>
          <w:lang w:val="en-US" w:eastAsia="zh-CN" w:bidi="ar-SA"/>
        </w:rPr>
        <w:t>做好危险废物处置及转移联单的台</w:t>
      </w:r>
      <w:r>
        <w:rPr>
          <w:rFonts w:hint="eastAsia" w:eastAsia="仿宋_GB2312" w:cs="仿宋_GB2312"/>
          <w:color w:val="000000"/>
          <w:kern w:val="2"/>
          <w:sz w:val="32"/>
          <w:szCs w:val="32"/>
          <w:lang w:val="en-US" w:eastAsia="zh-CN" w:bidi="ar-SA"/>
        </w:rPr>
        <w:t>账</w:t>
      </w:r>
      <w:r>
        <w:rPr>
          <w:rFonts w:hint="eastAsia" w:ascii="Times New Roman" w:hAnsi="Times New Roman" w:eastAsia="仿宋_GB2312" w:cs="仿宋_GB2312"/>
          <w:color w:val="000000"/>
          <w:kern w:val="2"/>
          <w:sz w:val="32"/>
          <w:szCs w:val="32"/>
          <w:lang w:val="en-US" w:eastAsia="zh-CN" w:bidi="ar-SA"/>
        </w:rPr>
        <w:t>记录。</w:t>
      </w:r>
    </w:p>
    <w:p w14:paraId="53633AD6">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按分区防渗原则落实各项防渗措施。须对仓库呋喃树脂、磺酸固化剂储存区域</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危废暂存间等区域按要求做好重点防渗处理；</w:t>
      </w:r>
      <w:r>
        <w:rPr>
          <w:rFonts w:hint="eastAsia" w:eastAsia="仿宋_GB2312" w:cs="仿宋_GB2312"/>
          <w:color w:val="000000"/>
          <w:kern w:val="2"/>
          <w:sz w:val="32"/>
          <w:szCs w:val="32"/>
          <w:lang w:val="en-US" w:eastAsia="zh-CN" w:bidi="ar-SA"/>
        </w:rPr>
        <w:t>对</w:t>
      </w:r>
      <w:r>
        <w:rPr>
          <w:rFonts w:hint="eastAsia" w:ascii="Times New Roman" w:hAnsi="Times New Roman" w:eastAsia="仿宋_GB2312" w:cs="仿宋_GB2312"/>
          <w:color w:val="000000"/>
          <w:kern w:val="2"/>
          <w:sz w:val="32"/>
          <w:szCs w:val="32"/>
          <w:lang w:val="en-US" w:eastAsia="zh-CN" w:bidi="ar-SA"/>
        </w:rPr>
        <w:t>化粪池等区域按要求做好一般防渗</w:t>
      </w:r>
      <w:r>
        <w:rPr>
          <w:rFonts w:hint="eastAsia" w:eastAsia="仿宋_GB2312" w:cs="仿宋_GB2312"/>
          <w:color w:val="000000"/>
          <w:kern w:val="2"/>
          <w:sz w:val="32"/>
          <w:szCs w:val="32"/>
          <w:lang w:val="en-US" w:eastAsia="zh-CN" w:bidi="ar-SA"/>
        </w:rPr>
        <w:t>处理，对除重点、一般防渗区以外的区域按要求做好简单</w:t>
      </w:r>
      <w:r>
        <w:rPr>
          <w:rFonts w:hint="eastAsia" w:ascii="Times New Roman" w:hAnsi="Times New Roman" w:eastAsia="仿宋_GB2312" w:cs="仿宋_GB2312"/>
          <w:color w:val="000000"/>
          <w:kern w:val="2"/>
          <w:sz w:val="32"/>
          <w:szCs w:val="32"/>
          <w:lang w:val="en-US" w:eastAsia="zh-CN" w:bidi="ar-SA"/>
        </w:rPr>
        <w:t>防渗处理。按照《环境保护图形标志</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排污口（源）》和原国家环保总局《关于开展排污口规范化整治工作的通知》（环发〔1999〕24号）附件有关规定建设规范化排污口。须按排污许可相关管理要求</w:t>
      </w:r>
      <w:r>
        <w:rPr>
          <w:rFonts w:hint="eastAsia" w:eastAsia="仿宋_GB2312" w:cs="仿宋_GB2312"/>
          <w:color w:val="000000"/>
          <w:kern w:val="2"/>
          <w:sz w:val="32"/>
          <w:szCs w:val="32"/>
          <w:lang w:val="en-US" w:eastAsia="zh-CN" w:bidi="ar-SA"/>
        </w:rPr>
        <w:t>及《报告表》内要求</w:t>
      </w:r>
      <w:r>
        <w:rPr>
          <w:rFonts w:hint="eastAsia" w:ascii="Times New Roman" w:hAnsi="Times New Roman" w:eastAsia="仿宋_GB2312" w:cs="仿宋_GB2312"/>
          <w:color w:val="000000"/>
          <w:kern w:val="2"/>
          <w:sz w:val="32"/>
          <w:szCs w:val="32"/>
          <w:lang w:val="en-US" w:eastAsia="zh-CN" w:bidi="ar-SA"/>
        </w:rPr>
        <w:t>定期进行监测。</w:t>
      </w:r>
    </w:p>
    <w:p w14:paraId="5A485C26">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加强环境管理，落实环境保护规章制度。确保环保措施的正常运转以及各项污染物稳定达标排放。</w:t>
      </w:r>
    </w:p>
    <w:p w14:paraId="582C0FFA">
      <w:pPr>
        <w:pStyle w:val="54"/>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按照《关于印发</w:t>
      </w:r>
      <w:r>
        <w:rPr>
          <w:rFonts w:hint="default" w:eastAsia="仿宋_GB2312" w:cs="仿宋_GB2312"/>
          <w:color w:val="000000"/>
          <w:kern w:val="2"/>
          <w:sz w:val="32"/>
          <w:szCs w:val="32"/>
          <w:lang w:val="en-US" w:eastAsia="zh-CN" w:bidi="ar-SA"/>
        </w:rPr>
        <w:t>&lt;</w:t>
      </w:r>
      <w:r>
        <w:rPr>
          <w:rFonts w:hint="eastAsia" w:ascii="Times New Roman" w:hAnsi="Times New Roman" w:eastAsia="仿宋_GB2312" w:cs="仿宋_GB2312"/>
          <w:color w:val="000000"/>
          <w:kern w:val="2"/>
          <w:sz w:val="32"/>
          <w:szCs w:val="32"/>
          <w:lang w:val="en-US" w:eastAsia="zh-CN" w:bidi="ar-SA"/>
        </w:rPr>
        <w:t>企业事业单位突发环境事件应急预案备案管理办法</w:t>
      </w:r>
      <w:r>
        <w:rPr>
          <w:rFonts w:hint="default" w:eastAsia="仿宋_GB2312" w:cs="仿宋_GB2312"/>
          <w:color w:val="000000"/>
          <w:kern w:val="2"/>
          <w:sz w:val="32"/>
          <w:szCs w:val="32"/>
          <w:lang w:val="en-US" w:eastAsia="zh-CN" w:bidi="ar-SA"/>
        </w:rPr>
        <w:t>&gt;</w:t>
      </w:r>
      <w:r>
        <w:rPr>
          <w:rFonts w:hint="eastAsia" w:ascii="Times New Roman" w:hAnsi="Times New Roman" w:eastAsia="仿宋_GB2312" w:cs="仿宋_GB2312"/>
          <w:color w:val="000000"/>
          <w:kern w:val="2"/>
          <w:sz w:val="32"/>
          <w:szCs w:val="32"/>
          <w:lang w:val="en-US" w:eastAsia="zh-CN" w:bidi="ar-SA"/>
        </w:rPr>
        <w: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2C3A81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w:t>
      </w:r>
      <w:r>
        <w:rPr>
          <w:rFonts w:hint="eastAsia" w:eastAsia="仿宋_GB2312" w:cs="仿宋_GB2312"/>
          <w:color w:val="000000"/>
          <w:kern w:val="2"/>
          <w:sz w:val="32"/>
          <w:szCs w:val="32"/>
          <w:lang w:val="en-US" w:eastAsia="zh-CN" w:bidi="ar-SA"/>
        </w:rPr>
        <w:t>保护</w:t>
      </w:r>
      <w:r>
        <w:rPr>
          <w:rFonts w:hint="eastAsia" w:ascii="Times New Roman" w:hAnsi="Times New Roman" w:eastAsia="仿宋_GB2312" w:cs="仿宋_GB2312"/>
          <w:color w:val="000000"/>
          <w:kern w:val="2"/>
          <w:sz w:val="32"/>
          <w:szCs w:val="32"/>
          <w:lang w:val="en-US" w:eastAsia="zh-CN" w:bidi="ar-SA"/>
        </w:rPr>
        <w:t>验收擅自投入生产的、未向社会公开有关信息的，应承担相应的法律责任。</w:t>
      </w:r>
    </w:p>
    <w:p w14:paraId="6B4F30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rPr>
      </w:pPr>
      <w:r>
        <w:rPr>
          <w:rFonts w:hint="eastAsia" w:ascii="Times New Roman" w:hAnsi="Times New Roman" w:eastAsia="仿宋_GB2312" w:cs="仿宋_GB2312"/>
          <w:color w:val="000000"/>
          <w:kern w:val="2"/>
          <w:sz w:val="32"/>
          <w:szCs w:val="32"/>
          <w:lang w:val="en-US" w:eastAsia="zh-CN" w:bidi="ar-SA"/>
        </w:rPr>
        <w:t>五、建设单位自收到本批复之日起5个工作日内，将批复文件及批准后的《报告表》（报批稿）送达柳州市柳城生态环境局，并按规定接受辖区生态环境部门的监管检查。</w:t>
      </w:r>
    </w:p>
    <w:p w14:paraId="3B2D13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rPr>
      </w:pPr>
    </w:p>
    <w:p w14:paraId="1ED71940">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eastAsia="仿宋_GB2312" w:cs="仿宋_GB2312"/>
          <w:color w:val="000000"/>
          <w:sz w:val="32"/>
          <w:szCs w:val="32"/>
        </w:rPr>
      </w:pPr>
      <w:r>
        <w:rPr>
          <w:rFonts w:hint="eastAsia" w:eastAsia="仿宋_GB2312" w:cs="仿宋_GB2312"/>
          <w:color w:val="000000"/>
          <w:sz w:val="32"/>
          <w:szCs w:val="32"/>
        </w:rPr>
        <w:t>202</w:t>
      </w:r>
      <w:r>
        <w:rPr>
          <w:rFonts w:hint="eastAsia" w:eastAsia="仿宋_GB2312" w:cs="仿宋_GB2312"/>
          <w:color w:val="000000"/>
          <w:sz w:val="32"/>
          <w:szCs w:val="32"/>
          <w:lang w:val="en-US" w:eastAsia="zh-CN"/>
        </w:rPr>
        <w:t>6</w:t>
      </w:r>
      <w:r>
        <w:rPr>
          <w:rFonts w:hint="eastAsia" w:eastAsia="仿宋_GB2312" w:cs="仿宋_GB2312"/>
          <w:color w:val="000000"/>
          <w:sz w:val="32"/>
          <w:szCs w:val="32"/>
        </w:rPr>
        <w:t>年</w:t>
      </w:r>
      <w:r>
        <w:rPr>
          <w:rFonts w:hint="eastAsia" w:eastAsia="仿宋_GB2312" w:cs="仿宋_GB2312"/>
          <w:color w:val="000000"/>
          <w:sz w:val="32"/>
          <w:szCs w:val="32"/>
          <w:lang w:val="en-US" w:eastAsia="zh-CN"/>
        </w:rPr>
        <w:t>3</w:t>
      </w:r>
      <w:r>
        <w:rPr>
          <w:rFonts w:hint="eastAsia" w:eastAsia="仿宋_GB2312" w:cs="仿宋_GB2312"/>
          <w:color w:val="000000"/>
          <w:sz w:val="32"/>
          <w:szCs w:val="32"/>
        </w:rPr>
        <w:t>月</w:t>
      </w:r>
      <w:r>
        <w:rPr>
          <w:rFonts w:hint="eastAsia" w:eastAsia="仿宋_GB2312" w:cs="仿宋_GB2312"/>
          <w:color w:val="000000"/>
          <w:sz w:val="32"/>
          <w:szCs w:val="32"/>
          <w:lang w:val="en-US" w:eastAsia="zh-CN"/>
        </w:rPr>
        <w:t>6</w:t>
      </w:r>
      <w:r>
        <w:rPr>
          <w:rFonts w:hint="eastAsia" w:eastAsia="仿宋_GB2312" w:cs="仿宋_GB2312"/>
          <w:color w:val="000000"/>
          <w:sz w:val="32"/>
          <w:szCs w:val="32"/>
        </w:rPr>
        <w:t>日</w:t>
      </w:r>
    </w:p>
    <w:p w14:paraId="320CCEC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eastAsia="仿宋_GB2312" w:cs="仿宋_GB2312"/>
          <w:color w:val="000000"/>
          <w:sz w:val="32"/>
          <w:szCs w:val="32"/>
        </w:rPr>
      </w:pPr>
    </w:p>
    <w:p w14:paraId="07FB9056">
      <w:pPr>
        <w:pStyle w:val="37"/>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（此件公开发布）</w:t>
      </w:r>
    </w:p>
    <w:p w14:paraId="300FA5F0">
      <w:pPr>
        <w:pStyle w:val="37"/>
        <w:spacing w:beforeLines="0" w:line="240" w:lineRule="auto"/>
        <w:ind w:left="0" w:leftChars="0" w:right="0" w:rightChars="0" w:firstLine="0" w:firstLineChars="0"/>
        <w:jc w:val="both"/>
        <w:rPr>
          <w:rFonts w:hint="eastAsia" w:ascii="Times New Roman" w:hAnsi="Times New Roman" w:eastAsia="仿宋_GB2312" w:cs="仿宋_GB2312"/>
          <w:color w:val="000000"/>
        </w:rPr>
      </w:pPr>
    </w:p>
    <w:p w14:paraId="158CCDA9">
      <w:pPr>
        <w:pStyle w:val="37"/>
        <w:keepNext w:val="0"/>
        <w:keepLines w:val="0"/>
        <w:pageBreakBefore w:val="0"/>
        <w:widowControl w:val="0"/>
        <w:kinsoku/>
        <w:wordWrap/>
        <w:overflowPunct/>
        <w:topLinePunct w:val="0"/>
        <w:autoSpaceDE/>
        <w:autoSpaceDN/>
        <w:bidi w:val="0"/>
        <w:adjustRightInd/>
        <w:snapToGrid/>
        <w:spacing w:beforeLines="0" w:line="240" w:lineRule="auto"/>
        <w:ind w:left="0" w:leftChars="0" w:right="0" w:rightChars="0" w:firstLine="0" w:firstLineChars="0"/>
        <w:jc w:val="both"/>
        <w:textAlignment w:val="auto"/>
        <w:rPr>
          <w:rFonts w:hint="eastAsia" w:ascii="Times New Roman" w:hAnsi="Times New Roman" w:eastAsia="仿宋_GB2312" w:cs="仿宋_GB2312"/>
          <w:color w:val="000000"/>
          <w:lang w:eastAsia="zh-CN"/>
        </w:rPr>
      </w:pPr>
    </w:p>
    <w:p w14:paraId="18D29E07">
      <w:pPr>
        <w:pStyle w:val="37"/>
        <w:keepNext w:val="0"/>
        <w:keepLines w:val="0"/>
        <w:pageBreakBefore w:val="0"/>
        <w:widowControl w:val="0"/>
        <w:kinsoku/>
        <w:wordWrap/>
        <w:overflowPunct/>
        <w:topLinePunct w:val="0"/>
        <w:autoSpaceDE/>
        <w:autoSpaceDN/>
        <w:bidi w:val="0"/>
        <w:adjustRightInd/>
        <w:snapToGrid/>
        <w:spacing w:beforeLines="0" w:line="240" w:lineRule="auto"/>
        <w:ind w:left="0" w:leftChars="0" w:right="0" w:rightChars="0" w:firstLine="0" w:firstLineChars="0"/>
        <w:jc w:val="both"/>
        <w:textAlignment w:val="auto"/>
        <w:rPr>
          <w:rFonts w:hint="eastAsia" w:ascii="Times New Roman" w:hAnsi="Times New Roman" w:eastAsia="仿宋_GB2312" w:cs="仿宋_GB2312"/>
          <w:color w:val="000000"/>
          <w:lang w:eastAsia="zh-CN"/>
        </w:rPr>
      </w:pPr>
    </w:p>
    <w:p w14:paraId="23649BEE">
      <w:pPr>
        <w:spacing w:line="480" w:lineRule="exact"/>
        <w:jc w:val="distribute"/>
        <w:rPr>
          <w:rFonts w:eastAsia="仿宋_GB2312" w:cs="仿宋_GB2312"/>
          <w:bCs/>
          <w:color w:val="000000"/>
          <w:sz w:val="28"/>
          <w:szCs w:val="28"/>
          <w:u w:val="single"/>
        </w:rPr>
      </w:pPr>
      <w:r>
        <w:rPr>
          <w:rFonts w:hint="eastAsia" w:eastAsia="仿宋_GB2312" w:cs="仿宋_GB2312"/>
          <w:bCs/>
          <w:color w:val="000000"/>
          <w:sz w:val="28"/>
          <w:szCs w:val="28"/>
          <w:u w:val="single"/>
        </w:rPr>
        <w:t>投资项目在线审批监管平台项目代码：2511-450222-07-01-736610</w:t>
      </w:r>
    </w:p>
    <w:p w14:paraId="10E68079">
      <w:pPr>
        <w:spacing w:line="480" w:lineRule="exact"/>
        <w:rPr>
          <w:rFonts w:eastAsia="仿宋_GB2312" w:cs="仿宋_GB2312"/>
          <w:color w:val="000000"/>
          <w:sz w:val="30"/>
          <w:u w:val="single"/>
        </w:rPr>
      </w:pPr>
      <w:r>
        <w:rPr>
          <w:rFonts w:hint="eastAsia" w:eastAsia="仿宋_GB2312" w:cs="仿宋_GB2312"/>
          <w:color w:val="000000"/>
          <w:sz w:val="32"/>
          <w:szCs w:val="32"/>
          <w:u w:val="single"/>
        </w:rPr>
        <w:t xml:space="preserve">抄送:柳州市柳城生态环境局                               </w:t>
      </w:r>
    </w:p>
    <w:p w14:paraId="0E421231">
      <w:pPr>
        <w:pStyle w:val="36"/>
        <w:ind w:firstLine="0" w:firstLineChars="0"/>
        <w:jc w:val="both"/>
        <w:rPr>
          <w:rFonts w:ascii="仿宋_GB2312" w:hAnsi="仿宋_GB2312" w:eastAsia="仿宋_GB2312" w:cs="仿宋_GB2312"/>
          <w:color w:val="000000"/>
          <w:u w:val="single"/>
        </w:rPr>
      </w:pPr>
      <w:r>
        <w:rPr>
          <w:rFonts w:hint="eastAsia" w:eastAsia="仿宋_GB2312" w:cs="仿宋_GB2312"/>
          <w:color w:val="000000"/>
          <w:u w:val="single"/>
        </w:rPr>
        <w:t xml:space="preserve">柳城县行政审批局                   </w:t>
      </w:r>
      <w:r>
        <w:rPr>
          <w:rFonts w:hint="eastAsia" w:eastAsia="仿宋_GB2312" w:cs="仿宋_GB2312"/>
          <w:color w:val="000000"/>
          <w:u w:val="single"/>
          <w:lang w:val="en-US" w:eastAsia="zh-CN"/>
        </w:rPr>
        <w:t xml:space="preserve">  </w:t>
      </w:r>
      <w:r>
        <w:rPr>
          <w:rFonts w:hint="eastAsia" w:eastAsia="仿宋_GB2312" w:cs="仿宋_GB2312"/>
          <w:color w:val="000000"/>
          <w:u w:val="single"/>
        </w:rPr>
        <w:t>202</w:t>
      </w:r>
      <w:r>
        <w:rPr>
          <w:rFonts w:hint="eastAsia" w:eastAsia="仿宋_GB2312" w:cs="仿宋_GB2312"/>
          <w:color w:val="000000"/>
          <w:u w:val="single"/>
          <w:lang w:val="en-US" w:eastAsia="zh-CN"/>
        </w:rPr>
        <w:t>6</w:t>
      </w:r>
      <w:r>
        <w:rPr>
          <w:rFonts w:hint="eastAsia" w:eastAsia="仿宋_GB2312" w:cs="仿宋_GB2312"/>
          <w:color w:val="000000"/>
          <w:u w:val="single"/>
        </w:rPr>
        <w:t>年</w:t>
      </w:r>
      <w:r>
        <w:rPr>
          <w:rFonts w:hint="eastAsia" w:eastAsia="仿宋_GB2312" w:cs="仿宋_GB2312"/>
          <w:color w:val="auto"/>
          <w:u w:val="single"/>
          <w:lang w:val="en-US" w:eastAsia="zh-CN"/>
        </w:rPr>
        <w:t>3</w:t>
      </w:r>
      <w:r>
        <w:rPr>
          <w:rFonts w:hint="eastAsia" w:eastAsia="仿宋_GB2312" w:cs="仿宋_GB2312"/>
          <w:color w:val="auto"/>
          <w:u w:val="single"/>
        </w:rPr>
        <w:t>月</w:t>
      </w:r>
      <w:r>
        <w:rPr>
          <w:rFonts w:hint="eastAsia" w:eastAsia="仿宋_GB2312" w:cs="仿宋_GB2312"/>
          <w:color w:val="auto"/>
          <w:u w:val="single"/>
          <w:lang w:val="en-US" w:eastAsia="zh-CN"/>
        </w:rPr>
        <w:t>6</w:t>
      </w:r>
      <w:r>
        <w:rPr>
          <w:rFonts w:hint="eastAsia" w:eastAsia="仿宋_GB2312" w:cs="仿宋_GB2312"/>
          <w:color w:val="auto"/>
          <w:u w:val="single"/>
        </w:rPr>
        <w:t>日</w:t>
      </w:r>
      <w:r>
        <w:rPr>
          <w:rFonts w:hint="eastAsia" w:eastAsia="仿宋_GB2312" w:cs="仿宋_GB2312"/>
          <w:color w:val="000000"/>
          <w:u w:val="single"/>
        </w:rPr>
        <w:t>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1"/>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1</w:t>
    </w:r>
    <w:r>
      <w:rPr>
        <w:sz w:val="32"/>
        <w:szCs w:val="32"/>
        <w:lang w:val="zh-CN"/>
      </w:rPr>
      <w:fldChar w:fldCharType="end"/>
    </w:r>
  </w:p>
  <w:p w14:paraId="3167E61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1"/>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A66A4"/>
    <w:multiLevelType w:val="singleLevel"/>
    <w:tmpl w:val="958A66A4"/>
    <w:lvl w:ilvl="0" w:tentative="0">
      <w:start w:val="1"/>
      <w:numFmt w:val="chineseCounting"/>
      <w:suff w:val="nothing"/>
      <w:lvlText w:val="%1、"/>
      <w:lvlJc w:val="left"/>
      <w:rPr>
        <w:rFonts w:hint="eastAsia"/>
      </w:rPr>
    </w:lvl>
  </w:abstractNum>
  <w:abstractNum w:abstractNumId="1">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2I1ZmU0Y2UwYmI4MzhkNGE1Nzc2MmY1NGU1YWYifQ=="/>
  </w:docVars>
  <w:rsids>
    <w:rsidRoot w:val="00172A27"/>
    <w:rsid w:val="00172A27"/>
    <w:rsid w:val="001922CC"/>
    <w:rsid w:val="00206813"/>
    <w:rsid w:val="002417E1"/>
    <w:rsid w:val="00255C08"/>
    <w:rsid w:val="00395B51"/>
    <w:rsid w:val="003A481E"/>
    <w:rsid w:val="0051438B"/>
    <w:rsid w:val="005C1AC5"/>
    <w:rsid w:val="005D2033"/>
    <w:rsid w:val="005F72A2"/>
    <w:rsid w:val="00646AD1"/>
    <w:rsid w:val="00663F54"/>
    <w:rsid w:val="007315F5"/>
    <w:rsid w:val="00770B2A"/>
    <w:rsid w:val="009269D4"/>
    <w:rsid w:val="00944E16"/>
    <w:rsid w:val="009F57AD"/>
    <w:rsid w:val="00AC411B"/>
    <w:rsid w:val="00B051A8"/>
    <w:rsid w:val="00B202D5"/>
    <w:rsid w:val="00D1559E"/>
    <w:rsid w:val="00D760D3"/>
    <w:rsid w:val="00FC2277"/>
    <w:rsid w:val="012515C4"/>
    <w:rsid w:val="01EE7C08"/>
    <w:rsid w:val="0252066A"/>
    <w:rsid w:val="02E371E7"/>
    <w:rsid w:val="03B70064"/>
    <w:rsid w:val="04311444"/>
    <w:rsid w:val="049F2426"/>
    <w:rsid w:val="05E05A25"/>
    <w:rsid w:val="06053772"/>
    <w:rsid w:val="077A3D48"/>
    <w:rsid w:val="086E3851"/>
    <w:rsid w:val="095A6639"/>
    <w:rsid w:val="0A410022"/>
    <w:rsid w:val="0A4D58DB"/>
    <w:rsid w:val="0A562A0F"/>
    <w:rsid w:val="0B5A4560"/>
    <w:rsid w:val="0CA74451"/>
    <w:rsid w:val="0CCC4FEA"/>
    <w:rsid w:val="0E7A1DC9"/>
    <w:rsid w:val="0EE77EB9"/>
    <w:rsid w:val="0F3C2D50"/>
    <w:rsid w:val="0FB44CBD"/>
    <w:rsid w:val="0FFA73AA"/>
    <w:rsid w:val="10D00A20"/>
    <w:rsid w:val="118218DF"/>
    <w:rsid w:val="12AA36D7"/>
    <w:rsid w:val="13BD0334"/>
    <w:rsid w:val="13C7650B"/>
    <w:rsid w:val="14C20BA7"/>
    <w:rsid w:val="14CC4A81"/>
    <w:rsid w:val="1546136E"/>
    <w:rsid w:val="155D4BD3"/>
    <w:rsid w:val="156839A2"/>
    <w:rsid w:val="16290DB7"/>
    <w:rsid w:val="1830299E"/>
    <w:rsid w:val="18B0569B"/>
    <w:rsid w:val="192B21BE"/>
    <w:rsid w:val="1E056F6B"/>
    <w:rsid w:val="1E4E7B4F"/>
    <w:rsid w:val="1E641526"/>
    <w:rsid w:val="20012DA5"/>
    <w:rsid w:val="21F661EB"/>
    <w:rsid w:val="22F555B9"/>
    <w:rsid w:val="246C599D"/>
    <w:rsid w:val="247C6E9E"/>
    <w:rsid w:val="24C0692C"/>
    <w:rsid w:val="24D44515"/>
    <w:rsid w:val="27F21951"/>
    <w:rsid w:val="28DC5364"/>
    <w:rsid w:val="29EE7EF6"/>
    <w:rsid w:val="2BA92EAA"/>
    <w:rsid w:val="2BEC3A4A"/>
    <w:rsid w:val="2C5C383D"/>
    <w:rsid w:val="2C641C43"/>
    <w:rsid w:val="2D972DFB"/>
    <w:rsid w:val="2E82647A"/>
    <w:rsid w:val="2E851F89"/>
    <w:rsid w:val="2EA210B7"/>
    <w:rsid w:val="2ED87595"/>
    <w:rsid w:val="321F6D79"/>
    <w:rsid w:val="322F37A1"/>
    <w:rsid w:val="340071A3"/>
    <w:rsid w:val="347033B1"/>
    <w:rsid w:val="362514DE"/>
    <w:rsid w:val="37FD6B8A"/>
    <w:rsid w:val="380D410E"/>
    <w:rsid w:val="38E0334C"/>
    <w:rsid w:val="39B95C9C"/>
    <w:rsid w:val="3A1719CA"/>
    <w:rsid w:val="3B0D21A6"/>
    <w:rsid w:val="3B4B3979"/>
    <w:rsid w:val="3B844B5E"/>
    <w:rsid w:val="3C29347A"/>
    <w:rsid w:val="3C356139"/>
    <w:rsid w:val="3E793E15"/>
    <w:rsid w:val="40D35433"/>
    <w:rsid w:val="424F3F3D"/>
    <w:rsid w:val="42CD0DF5"/>
    <w:rsid w:val="42FC147E"/>
    <w:rsid w:val="43000F6E"/>
    <w:rsid w:val="43301127"/>
    <w:rsid w:val="43810201"/>
    <w:rsid w:val="438D657A"/>
    <w:rsid w:val="43FE2FD4"/>
    <w:rsid w:val="44056A46"/>
    <w:rsid w:val="4491418D"/>
    <w:rsid w:val="44AF6A91"/>
    <w:rsid w:val="45486F69"/>
    <w:rsid w:val="457E617A"/>
    <w:rsid w:val="45A21C32"/>
    <w:rsid w:val="46DC7073"/>
    <w:rsid w:val="4715312D"/>
    <w:rsid w:val="477E5958"/>
    <w:rsid w:val="480F6AC9"/>
    <w:rsid w:val="4B6866B6"/>
    <w:rsid w:val="4C9469A0"/>
    <w:rsid w:val="4F0022F6"/>
    <w:rsid w:val="4FEA6A3C"/>
    <w:rsid w:val="500E27F0"/>
    <w:rsid w:val="50D61560"/>
    <w:rsid w:val="51131FD5"/>
    <w:rsid w:val="52803030"/>
    <w:rsid w:val="530473CA"/>
    <w:rsid w:val="535B5D4C"/>
    <w:rsid w:val="551E5CEB"/>
    <w:rsid w:val="55284354"/>
    <w:rsid w:val="556E15B6"/>
    <w:rsid w:val="56036797"/>
    <w:rsid w:val="564C1AF9"/>
    <w:rsid w:val="56521D3A"/>
    <w:rsid w:val="57867037"/>
    <w:rsid w:val="57F9079B"/>
    <w:rsid w:val="5A1F7AD4"/>
    <w:rsid w:val="5C252174"/>
    <w:rsid w:val="5DDA50E2"/>
    <w:rsid w:val="5E1C32D0"/>
    <w:rsid w:val="5F187966"/>
    <w:rsid w:val="60275934"/>
    <w:rsid w:val="6145156F"/>
    <w:rsid w:val="619D39D4"/>
    <w:rsid w:val="630B3990"/>
    <w:rsid w:val="643407A7"/>
    <w:rsid w:val="655A7348"/>
    <w:rsid w:val="66243797"/>
    <w:rsid w:val="691E364C"/>
    <w:rsid w:val="69A006B2"/>
    <w:rsid w:val="6A044068"/>
    <w:rsid w:val="6A643CE9"/>
    <w:rsid w:val="6AD14E1A"/>
    <w:rsid w:val="6B453112"/>
    <w:rsid w:val="6C832144"/>
    <w:rsid w:val="6CDD66BA"/>
    <w:rsid w:val="6D3F29A4"/>
    <w:rsid w:val="6D4019ED"/>
    <w:rsid w:val="6E6C6C08"/>
    <w:rsid w:val="6EE449F0"/>
    <w:rsid w:val="6F524050"/>
    <w:rsid w:val="6F800BBD"/>
    <w:rsid w:val="721937C4"/>
    <w:rsid w:val="72BD5C84"/>
    <w:rsid w:val="73816CB2"/>
    <w:rsid w:val="740B2A1F"/>
    <w:rsid w:val="7577622B"/>
    <w:rsid w:val="76084922"/>
    <w:rsid w:val="778F2824"/>
    <w:rsid w:val="797C1F3C"/>
    <w:rsid w:val="79B3410A"/>
    <w:rsid w:val="7B62386D"/>
    <w:rsid w:val="7B7B048A"/>
    <w:rsid w:val="7BC542E8"/>
    <w:rsid w:val="7C6F0119"/>
    <w:rsid w:val="7CB7465C"/>
    <w:rsid w:val="7CF95B0B"/>
    <w:rsid w:val="7E1D651F"/>
    <w:rsid w:val="7E6148BD"/>
    <w:rsid w:val="7F651BEB"/>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after="330" w:line="578" w:lineRule="auto"/>
    </w:pPr>
    <w:rPr>
      <w:b w:val="0"/>
      <w:bCs w:val="0"/>
      <w:kern w:val="44"/>
      <w:sz w:val="44"/>
      <w:szCs w:val="44"/>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spacing w:before="330" w:after="340"/>
      <w:jc w:val="center"/>
      <w:outlineLvl w:val="0"/>
    </w:pPr>
    <w:rPr>
      <w:b/>
      <w:bCs/>
      <w:sz w:val="32"/>
      <w:szCs w:val="32"/>
    </w:rPr>
  </w:style>
  <w:style w:type="paragraph" w:styleId="5">
    <w:name w:val="Normal Indent"/>
    <w:basedOn w:val="1"/>
    <w:next w:val="4"/>
    <w:qFormat/>
    <w:uiPriority w:val="0"/>
    <w:pPr>
      <w:spacing w:line="360" w:lineRule="auto"/>
      <w:ind w:firstLine="420" w:firstLineChars="200"/>
    </w:pPr>
    <w:rPr>
      <w:sz w:val="24"/>
    </w:rPr>
  </w:style>
  <w:style w:type="paragraph" w:styleId="6">
    <w:name w:val="annotation text"/>
    <w:basedOn w:val="1"/>
    <w:link w:val="51"/>
    <w:qFormat/>
    <w:uiPriority w:val="0"/>
    <w:pPr>
      <w:jc w:val="left"/>
    </w:pPr>
  </w:style>
  <w:style w:type="paragraph" w:styleId="7">
    <w:name w:val="Body Text"/>
    <w:basedOn w:val="1"/>
    <w:link w:val="42"/>
    <w:qFormat/>
    <w:uiPriority w:val="0"/>
    <w:rPr>
      <w:b/>
      <w:sz w:val="32"/>
      <w:szCs w:val="20"/>
    </w:rPr>
  </w:style>
  <w:style w:type="paragraph" w:styleId="8">
    <w:name w:val="Body Text Indent"/>
    <w:basedOn w:val="1"/>
    <w:qFormat/>
    <w:uiPriority w:val="0"/>
    <w:pPr>
      <w:spacing w:after="120"/>
      <w:ind w:left="420" w:leftChars="200"/>
    </w:pPr>
  </w:style>
  <w:style w:type="paragraph" w:styleId="9">
    <w:name w:val="Date"/>
    <w:basedOn w:val="1"/>
    <w:next w:val="1"/>
    <w:link w:val="41"/>
    <w:qFormat/>
    <w:uiPriority w:val="0"/>
    <w:pPr>
      <w:ind w:left="100" w:leftChars="2500"/>
    </w:pPr>
  </w:style>
  <w:style w:type="paragraph" w:styleId="10">
    <w:name w:val="Balloon Text"/>
    <w:basedOn w:val="1"/>
    <w:link w:val="53"/>
    <w:qFormat/>
    <w:uiPriority w:val="0"/>
    <w:rPr>
      <w:sz w:val="18"/>
      <w:szCs w:val="18"/>
    </w:rPr>
  </w:style>
  <w:style w:type="paragraph" w:styleId="11">
    <w:name w:val="footer"/>
    <w:basedOn w:val="1"/>
    <w:link w:val="39"/>
    <w:qFormat/>
    <w:uiPriority w:val="99"/>
    <w:pPr>
      <w:tabs>
        <w:tab w:val="center" w:pos="4153"/>
        <w:tab w:val="right" w:pos="8306"/>
      </w:tabs>
      <w:snapToGrid w:val="0"/>
      <w:jc w:val="left"/>
    </w:pPr>
    <w:rPr>
      <w:sz w:val="18"/>
      <w:szCs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45"/>
    <w:qFormat/>
    <w:uiPriority w:val="0"/>
    <w:pPr>
      <w:spacing w:line="600" w:lineRule="exact"/>
      <w:jc w:val="center"/>
    </w:pPr>
    <w:rPr>
      <w:rFonts w:ascii="方正小标宋简体" w:eastAsia="方正小标宋简体"/>
      <w:bCs/>
      <w:sz w:val="44"/>
      <w:szCs w:val="44"/>
    </w:rPr>
  </w:style>
  <w:style w:type="paragraph" w:styleId="14">
    <w:name w:val="annotation subject"/>
    <w:basedOn w:val="6"/>
    <w:next w:val="6"/>
    <w:link w:val="52"/>
    <w:qFormat/>
    <w:uiPriority w:val="0"/>
    <w:rPr>
      <w:b/>
      <w:bCs/>
    </w:rPr>
  </w:style>
  <w:style w:type="paragraph" w:styleId="15">
    <w:name w:val="Body Text First Indent 2"/>
    <w:basedOn w:val="8"/>
    <w:next w:val="1"/>
    <w:qFormat/>
    <w:uiPriority w:val="0"/>
    <w:pPr>
      <w:ind w:firstLine="420" w:firstLineChars="200"/>
    </w:p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paragraph" w:customStyle="1" w:styleId="21">
    <w:name w:val="报告正文"/>
    <w:basedOn w:val="1"/>
    <w:qFormat/>
    <w:uiPriority w:val="0"/>
    <w:pPr>
      <w:tabs>
        <w:tab w:val="left" w:pos="0"/>
      </w:tabs>
      <w:spacing w:line="360" w:lineRule="auto"/>
      <w:ind w:firstLine="420" w:firstLineChars="200"/>
    </w:pPr>
    <w:rPr>
      <w:color w:val="000000"/>
    </w:rPr>
  </w:style>
  <w:style w:type="paragraph" w:customStyle="1" w:styleId="22">
    <w:name w:val="样式 Z正文 + 首行缩进:  2 字符1"/>
    <w:basedOn w:val="23"/>
    <w:qFormat/>
    <w:uiPriority w:val="0"/>
    <w:pPr>
      <w:ind w:firstLine="480"/>
    </w:pPr>
  </w:style>
  <w:style w:type="paragraph" w:customStyle="1" w:styleId="23">
    <w:name w:val="Z正文"/>
    <w:basedOn w:val="24"/>
    <w:qFormat/>
    <w:uiPriority w:val="0"/>
    <w:pPr>
      <w:ind w:firstLine="200" w:firstLineChars="200"/>
      <w:outlineLvl w:val="9"/>
    </w:pPr>
    <w:rPr>
      <w:rFonts w:ascii="Times New Roman"/>
      <w:sz w:val="24"/>
      <w:szCs w:val="24"/>
    </w:rPr>
  </w:style>
  <w:style w:type="paragraph" w:customStyle="1" w:styleId="24">
    <w:name w:val="样式 标题 1标题 11Head 1wsah1一、标题2Part'Document章Ch + 加粗"/>
    <w:basedOn w:val="2"/>
    <w:qFormat/>
    <w:uiPriority w:val="0"/>
    <w:rPr>
      <w:rFonts w:ascii="黑体"/>
      <w:sz w:val="32"/>
    </w:rPr>
  </w:style>
  <w:style w:type="paragraph" w:customStyle="1" w:styleId="25">
    <w:name w:val="Char Char Char Char Char Char1 Char"/>
    <w:basedOn w:val="1"/>
    <w:qFormat/>
    <w:uiPriority w:val="0"/>
  </w:style>
  <w:style w:type="paragraph" w:customStyle="1" w:styleId="26">
    <w:name w:val="2"/>
    <w:basedOn w:val="1"/>
    <w:qFormat/>
    <w:uiPriority w:val="0"/>
    <w:pPr>
      <w:spacing w:line="360" w:lineRule="auto"/>
      <w:ind w:firstLine="200" w:firstLineChars="200"/>
    </w:pPr>
    <w:rPr>
      <w:rFonts w:ascii="宋体" w:hAnsi="宋体" w:cs="宋体"/>
      <w:sz w:val="24"/>
    </w:rPr>
  </w:style>
  <w:style w:type="paragraph" w:customStyle="1" w:styleId="27">
    <w:name w:val="Char Char Char Char Char Char1 Char1"/>
    <w:basedOn w:val="1"/>
    <w:qFormat/>
    <w:uiPriority w:val="0"/>
  </w:style>
  <w:style w:type="paragraph" w:customStyle="1" w:styleId="28">
    <w:name w:val="列出段落1"/>
    <w:basedOn w:val="1"/>
    <w:qFormat/>
    <w:uiPriority w:val="34"/>
    <w:pPr>
      <w:ind w:firstLine="420" w:firstLineChars="200"/>
    </w:pPr>
  </w:style>
  <w:style w:type="paragraph" w:customStyle="1" w:styleId="29">
    <w:name w:val="表文字"/>
    <w:link w:val="40"/>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0">
    <w:name w:val="Char"/>
    <w:basedOn w:val="1"/>
    <w:qFormat/>
    <w:uiPriority w:val="0"/>
    <w:pPr>
      <w:widowControl/>
      <w:tabs>
        <w:tab w:val="left" w:pos="360"/>
      </w:tabs>
      <w:jc w:val="left"/>
    </w:pPr>
    <w:rPr>
      <w:kern w:val="0"/>
      <w:sz w:val="24"/>
    </w:rPr>
  </w:style>
  <w:style w:type="paragraph" w:customStyle="1" w:styleId="31">
    <w:name w:val="Char1"/>
    <w:basedOn w:val="1"/>
    <w:qFormat/>
    <w:uiPriority w:val="0"/>
    <w:pPr>
      <w:widowControl/>
      <w:tabs>
        <w:tab w:val="left" w:pos="360"/>
      </w:tabs>
      <w:jc w:val="left"/>
    </w:pPr>
    <w:rPr>
      <w:kern w:val="0"/>
      <w:sz w:val="24"/>
    </w:rPr>
  </w:style>
  <w:style w:type="paragraph" w:customStyle="1" w:styleId="32">
    <w:name w:val="标题1"/>
    <w:basedOn w:val="7"/>
    <w:link w:val="43"/>
    <w:qFormat/>
    <w:uiPriority w:val="0"/>
    <w:pPr>
      <w:jc w:val="distribute"/>
    </w:pPr>
    <w:rPr>
      <w:rFonts w:ascii="方正小标宋简体" w:eastAsia="方正小标宋简体"/>
      <w:color w:val="FF0000"/>
      <w:spacing w:val="-8"/>
      <w:sz w:val="52"/>
      <w:szCs w:val="52"/>
    </w:rPr>
  </w:style>
  <w:style w:type="paragraph" w:customStyle="1" w:styleId="33">
    <w:name w:val="文号1"/>
    <w:basedOn w:val="1"/>
    <w:link w:val="44"/>
    <w:qFormat/>
    <w:uiPriority w:val="0"/>
    <w:pPr>
      <w:adjustRightInd w:val="0"/>
      <w:snapToGrid w:val="0"/>
      <w:spacing w:beforeLines="200" w:line="400" w:lineRule="exact"/>
      <w:jc w:val="center"/>
    </w:pPr>
    <w:rPr>
      <w:rFonts w:ascii="仿宋" w:hAnsi="仿宋" w:eastAsia="仿宋"/>
      <w:sz w:val="30"/>
      <w:szCs w:val="30"/>
    </w:rPr>
  </w:style>
  <w:style w:type="paragraph" w:customStyle="1" w:styleId="34">
    <w:name w:val="标题2"/>
    <w:basedOn w:val="13"/>
    <w:link w:val="46"/>
    <w:qFormat/>
    <w:uiPriority w:val="0"/>
    <w:rPr>
      <w:rFonts w:ascii="宋体" w:hAnsi="宋体" w:eastAsia="宋体"/>
      <w:b/>
    </w:rPr>
  </w:style>
  <w:style w:type="paragraph" w:customStyle="1" w:styleId="35">
    <w:name w:val="对象"/>
    <w:basedOn w:val="1"/>
    <w:link w:val="47"/>
    <w:qFormat/>
    <w:uiPriority w:val="0"/>
    <w:pPr>
      <w:spacing w:beforeLines="100" w:line="540" w:lineRule="exact"/>
    </w:pPr>
    <w:rPr>
      <w:rFonts w:ascii="仿宋" w:hAnsi="仿宋" w:eastAsia="仿宋"/>
      <w:sz w:val="32"/>
      <w:szCs w:val="32"/>
    </w:rPr>
  </w:style>
  <w:style w:type="paragraph" w:customStyle="1" w:styleId="36">
    <w:name w:val="正本"/>
    <w:basedOn w:val="1"/>
    <w:link w:val="48"/>
    <w:qFormat/>
    <w:uiPriority w:val="0"/>
    <w:pPr>
      <w:spacing w:line="540" w:lineRule="exact"/>
      <w:ind w:firstLine="200" w:firstLineChars="200"/>
    </w:pPr>
    <w:rPr>
      <w:rFonts w:eastAsia="仿宋"/>
      <w:sz w:val="32"/>
      <w:szCs w:val="32"/>
    </w:rPr>
  </w:style>
  <w:style w:type="paragraph" w:customStyle="1" w:styleId="37">
    <w:name w:val="落款日期"/>
    <w:basedOn w:val="1"/>
    <w:link w:val="49"/>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8">
    <w:name w:val="落款单位"/>
    <w:basedOn w:val="37"/>
    <w:link w:val="50"/>
    <w:qFormat/>
    <w:uiPriority w:val="0"/>
    <w:pPr>
      <w:ind w:right="300" w:rightChars="300" w:firstLine="0" w:firstLineChars="0"/>
    </w:pPr>
    <w:rPr>
      <w:rFonts w:eastAsia="仿宋_GB2312"/>
    </w:rPr>
  </w:style>
  <w:style w:type="character" w:customStyle="1" w:styleId="39">
    <w:name w:val="页脚 字符"/>
    <w:link w:val="11"/>
    <w:qFormat/>
    <w:uiPriority w:val="99"/>
    <w:rPr>
      <w:kern w:val="2"/>
      <w:sz w:val="18"/>
      <w:szCs w:val="18"/>
    </w:rPr>
  </w:style>
  <w:style w:type="character" w:customStyle="1" w:styleId="40">
    <w:name w:val="表文字 Char1"/>
    <w:link w:val="29"/>
    <w:semiHidden/>
    <w:qFormat/>
    <w:uiPriority w:val="0"/>
    <w:rPr>
      <w:sz w:val="21"/>
      <w:szCs w:val="21"/>
      <w:lang w:val="en-US" w:eastAsia="zh-CN" w:bidi="ar-SA"/>
    </w:rPr>
  </w:style>
  <w:style w:type="character" w:customStyle="1" w:styleId="41">
    <w:name w:val="日期 字符"/>
    <w:link w:val="9"/>
    <w:qFormat/>
    <w:uiPriority w:val="0"/>
    <w:rPr>
      <w:kern w:val="2"/>
      <w:sz w:val="21"/>
      <w:szCs w:val="24"/>
    </w:rPr>
  </w:style>
  <w:style w:type="character" w:customStyle="1" w:styleId="42">
    <w:name w:val="正文文本 字符"/>
    <w:link w:val="7"/>
    <w:qFormat/>
    <w:uiPriority w:val="0"/>
    <w:rPr>
      <w:b/>
      <w:kern w:val="2"/>
      <w:sz w:val="32"/>
    </w:rPr>
  </w:style>
  <w:style w:type="character" w:customStyle="1" w:styleId="43">
    <w:name w:val="标题1 字符"/>
    <w:link w:val="32"/>
    <w:qFormat/>
    <w:uiPriority w:val="0"/>
    <w:rPr>
      <w:rFonts w:ascii="方正小标宋简体" w:eastAsia="方正小标宋简体"/>
      <w:b/>
      <w:color w:val="FF0000"/>
      <w:spacing w:val="-8"/>
      <w:kern w:val="2"/>
      <w:sz w:val="52"/>
      <w:szCs w:val="52"/>
    </w:rPr>
  </w:style>
  <w:style w:type="character" w:customStyle="1" w:styleId="44">
    <w:name w:val="文号1 字符"/>
    <w:link w:val="33"/>
    <w:qFormat/>
    <w:uiPriority w:val="0"/>
    <w:rPr>
      <w:rFonts w:ascii="仿宋" w:hAnsi="仿宋" w:eastAsia="仿宋"/>
      <w:kern w:val="2"/>
      <w:sz w:val="30"/>
      <w:szCs w:val="30"/>
    </w:rPr>
  </w:style>
  <w:style w:type="character" w:customStyle="1" w:styleId="45">
    <w:name w:val="正文文本 2 字符"/>
    <w:link w:val="13"/>
    <w:qFormat/>
    <w:uiPriority w:val="0"/>
    <w:rPr>
      <w:rFonts w:ascii="方正小标宋简体" w:eastAsia="方正小标宋简体"/>
      <w:bCs/>
      <w:kern w:val="2"/>
      <w:sz w:val="44"/>
      <w:szCs w:val="44"/>
    </w:rPr>
  </w:style>
  <w:style w:type="character" w:customStyle="1" w:styleId="46">
    <w:name w:val="标题2 字符"/>
    <w:link w:val="34"/>
    <w:qFormat/>
    <w:uiPriority w:val="0"/>
    <w:rPr>
      <w:rFonts w:ascii="宋体" w:hAnsi="宋体"/>
      <w:b/>
      <w:bCs/>
      <w:kern w:val="2"/>
      <w:sz w:val="44"/>
      <w:szCs w:val="44"/>
    </w:rPr>
  </w:style>
  <w:style w:type="character" w:customStyle="1" w:styleId="47">
    <w:name w:val="对象 字符"/>
    <w:link w:val="35"/>
    <w:qFormat/>
    <w:uiPriority w:val="0"/>
    <w:rPr>
      <w:rFonts w:ascii="仿宋" w:hAnsi="仿宋" w:eastAsia="仿宋"/>
      <w:kern w:val="2"/>
      <w:sz w:val="32"/>
      <w:szCs w:val="32"/>
    </w:rPr>
  </w:style>
  <w:style w:type="character" w:customStyle="1" w:styleId="48">
    <w:name w:val="正本 字符"/>
    <w:link w:val="36"/>
    <w:qFormat/>
    <w:uiPriority w:val="0"/>
    <w:rPr>
      <w:rFonts w:eastAsia="仿宋"/>
      <w:kern w:val="2"/>
      <w:sz w:val="32"/>
      <w:szCs w:val="32"/>
    </w:rPr>
  </w:style>
  <w:style w:type="character" w:customStyle="1" w:styleId="49">
    <w:name w:val="落款日期 字符"/>
    <w:link w:val="37"/>
    <w:qFormat/>
    <w:uiPriority w:val="0"/>
    <w:rPr>
      <w:rFonts w:ascii="仿宋" w:hAnsi="仿宋" w:eastAsia="仿宋"/>
      <w:kern w:val="2"/>
      <w:sz w:val="32"/>
      <w:szCs w:val="32"/>
    </w:rPr>
  </w:style>
  <w:style w:type="character" w:customStyle="1" w:styleId="50">
    <w:name w:val="落款单位 字符"/>
    <w:link w:val="38"/>
    <w:qFormat/>
    <w:uiPriority w:val="0"/>
    <w:rPr>
      <w:rFonts w:ascii="仿宋" w:hAnsi="仿宋" w:eastAsia="仿宋_GB2312"/>
      <w:kern w:val="2"/>
      <w:sz w:val="32"/>
      <w:szCs w:val="32"/>
    </w:rPr>
  </w:style>
  <w:style w:type="character" w:customStyle="1" w:styleId="51">
    <w:name w:val="批注文字 字符"/>
    <w:link w:val="6"/>
    <w:qFormat/>
    <w:uiPriority w:val="0"/>
    <w:rPr>
      <w:kern w:val="2"/>
      <w:sz w:val="21"/>
      <w:szCs w:val="24"/>
    </w:rPr>
  </w:style>
  <w:style w:type="character" w:customStyle="1" w:styleId="52">
    <w:name w:val="批注主题 字符"/>
    <w:link w:val="14"/>
    <w:qFormat/>
    <w:uiPriority w:val="0"/>
    <w:rPr>
      <w:b/>
      <w:bCs/>
      <w:kern w:val="2"/>
      <w:sz w:val="21"/>
      <w:szCs w:val="24"/>
    </w:rPr>
  </w:style>
  <w:style w:type="character" w:customStyle="1" w:styleId="53">
    <w:name w:val="批注框文本 字符"/>
    <w:link w:val="10"/>
    <w:qFormat/>
    <w:uiPriority w:val="0"/>
    <w:rPr>
      <w:kern w:val="2"/>
      <w:sz w:val="18"/>
      <w:szCs w:val="18"/>
    </w:rPr>
  </w:style>
  <w:style w:type="paragraph" w:styleId="5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3109</Words>
  <Characters>3357</Characters>
  <Lines>19</Lines>
  <Paragraphs>5</Paragraphs>
  <TotalTime>13</TotalTime>
  <ScaleCrop>false</ScaleCrop>
  <LinksUpToDate>false</LinksUpToDate>
  <CharactersWithSpaces>3443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2025-01-23T02:55:00Z</dcterms:created>
  <dc:creator>雨林木风</dc:creator>
  <cp:lastModifiedBy>不忘初心</cp:lastModifiedBy>
  <cp:lastPrinted>2026-03-02T03:30:00Z</cp:lastPrinted>
  <dcterms:modified xsi:type="dcterms:W3CDTF">2026-03-06T01:16:31Z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28356B3F02DD4E268195CEBF3060C03E_13</vt:lpwstr>
  </property>
  <property fmtid="{D5CDD505-2E9C-101B-9397-08002B2CF9AE}" pid="4" name="KSOTemplateDocerSaveRecord">
    <vt:lpwstr>eyJoZGlkIjoiNjdkZjg3YzQyMDQ4ZWZkODQ0MmYzZDZjYmNhZDFiOTciLCJ1c2VySWQiOiI3NDI3NDE5MTUifQ==</vt:lpwstr>
  </property>
</Properties>
</file>