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6</w:t>
      </w:r>
      <w:r>
        <w:rPr>
          <w:rFonts w:ascii="Times New Roman" w:hAnsi="Times New Roman" w:eastAsia="仿宋_GB2312"/>
        </w:rPr>
        <w:t>〕</w:t>
      </w:r>
      <w:r>
        <w:rPr>
          <w:rFonts w:hint="default" w:ascii="Times New Roman" w:hAnsi="Times New Roman" w:eastAsia="仿宋_GB2312"/>
          <w:lang w:val="en-US"/>
        </w:rPr>
        <w:t>9</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717FA4FA">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r>
        <w:rPr>
          <w:rFonts w:hint="eastAsia" w:cs="宋体"/>
        </w:rPr>
        <w:t>关于</w:t>
      </w:r>
      <w:r>
        <w:rPr>
          <w:rFonts w:hint="eastAsia" w:cs="宋体"/>
          <w:lang w:eastAsia="zh-CN"/>
        </w:rPr>
        <w:t>广西中润天盛再生资源有限公司</w:t>
      </w:r>
    </w:p>
    <w:p w14:paraId="44A48DC1">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rPr>
      </w:pPr>
      <w:r>
        <w:rPr>
          <w:rFonts w:hint="eastAsia" w:cs="宋体"/>
        </w:rPr>
        <w:t>再生资源智能化循环利用项目</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auto"/>
        </w:rPr>
      </w:pPr>
      <w:r>
        <w:rPr>
          <w:rFonts w:hint="eastAsia" w:ascii="Times New Roman" w:hAnsi="Times New Roman" w:eastAsia="仿宋_GB2312" w:cs="仿宋_GB2312"/>
          <w:color w:val="auto"/>
          <w:lang w:eastAsia="zh-CN"/>
        </w:rPr>
        <w:t>广西中润天盛再生资源有限公司</w:t>
      </w:r>
      <w:r>
        <w:rPr>
          <w:rFonts w:hint="eastAsia" w:ascii="Times New Roman" w:hAnsi="Times New Roman" w:eastAsia="仿宋_GB2312" w:cs="仿宋_GB2312"/>
          <w:color w:val="auto"/>
        </w:rPr>
        <w:t>：</w:t>
      </w:r>
    </w:p>
    <w:p w14:paraId="34CB166F">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color w:val="auto"/>
        </w:rPr>
      </w:pPr>
      <w:r>
        <w:rPr>
          <w:rFonts w:hint="eastAsia" w:eastAsia="仿宋_GB2312" w:cs="仿宋_GB2312"/>
          <w:color w:val="auto"/>
        </w:rPr>
        <w:t>你公司报来</w:t>
      </w:r>
      <w:r>
        <w:rPr>
          <w:rFonts w:hint="eastAsia" w:eastAsia="仿宋_GB2312" w:cs="仿宋_GB2312"/>
          <w:color w:val="auto"/>
          <w:lang w:val="en-US" w:eastAsia="zh-CN"/>
        </w:rPr>
        <w:t>的</w:t>
      </w:r>
      <w:r>
        <w:rPr>
          <w:rFonts w:hint="eastAsia" w:eastAsia="仿宋_GB2312" w:cs="仿宋_GB2312"/>
          <w:color w:val="auto"/>
        </w:rPr>
        <w:t>《</w:t>
      </w:r>
      <w:r>
        <w:rPr>
          <w:rFonts w:hint="eastAsia" w:eastAsia="仿宋_GB2312" w:cs="仿宋_GB2312"/>
          <w:color w:val="auto"/>
          <w:lang w:eastAsia="zh-CN"/>
        </w:rPr>
        <w:t>再生资源智能化循环利用项目环境影响报告表</w:t>
      </w:r>
      <w:r>
        <w:rPr>
          <w:rFonts w:hint="eastAsia" w:eastAsia="仿宋_GB2312" w:cs="仿宋_GB2312"/>
          <w:color w:val="auto"/>
        </w:rPr>
        <w:t>》（以下简称《报告表》）收悉。经我局审核，现批复如下：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仿宋_GB2312"/>
          <w:color w:val="auto"/>
          <w:lang w:val="en-US"/>
        </w:rPr>
      </w:pPr>
      <w:r>
        <w:rPr>
          <w:rFonts w:hint="eastAsia" w:eastAsia="仿宋_GB2312" w:cs="仿宋_GB2312"/>
          <w:color w:val="auto"/>
        </w:rPr>
        <w:t>一、本项目为</w:t>
      </w:r>
      <w:r>
        <w:rPr>
          <w:rFonts w:hint="eastAsia" w:eastAsia="仿宋_GB2312" w:cs="仿宋_GB2312"/>
          <w:color w:val="auto"/>
          <w:lang w:val="en-US" w:eastAsia="zh-CN"/>
        </w:rPr>
        <w:t>新建</w:t>
      </w:r>
      <w:r>
        <w:rPr>
          <w:rFonts w:hint="eastAsia" w:eastAsia="仿宋_GB2312" w:cs="仿宋_GB2312"/>
          <w:color w:val="auto"/>
        </w:rPr>
        <w:t>工程，位于广西壮族自治区柳州市柳城县工业区沙埔片区D-04-02地块，占地面积</w:t>
      </w:r>
      <w:r>
        <w:rPr>
          <w:rFonts w:hint="eastAsia" w:eastAsia="仿宋_GB2312" w:cs="仿宋_GB2312"/>
          <w:color w:val="auto"/>
          <w:lang w:val="en-US" w:eastAsia="zh-CN"/>
        </w:rPr>
        <w:t>13347.13</w:t>
      </w:r>
      <w:r>
        <w:rPr>
          <w:rFonts w:hint="eastAsia" w:eastAsia="仿宋_GB2312" w:cs="仿宋_GB2312"/>
          <w:color w:val="auto"/>
        </w:rPr>
        <w:t>平方米。建设规模：</w:t>
      </w:r>
      <w:r>
        <w:rPr>
          <w:rFonts w:hint="eastAsia" w:eastAsia="仿宋_GB2312" w:cs="仿宋_GB2312"/>
          <w:color w:val="auto"/>
          <w:lang w:val="en-US" w:eastAsia="zh-CN"/>
        </w:rPr>
        <w:t>年处理废不锈钢</w:t>
      </w:r>
      <w:r>
        <w:rPr>
          <w:rFonts w:hint="default" w:eastAsia="仿宋_GB2312" w:cs="仿宋_GB2312"/>
          <w:color w:val="auto"/>
          <w:lang w:val="en-US" w:eastAsia="zh-CN"/>
        </w:rPr>
        <w:t>19.4</w:t>
      </w:r>
      <w:r>
        <w:rPr>
          <w:rFonts w:hint="eastAsia" w:eastAsia="仿宋_GB2312" w:cs="仿宋_GB2312"/>
          <w:color w:val="auto"/>
          <w:lang w:val="en-US" w:eastAsia="zh-CN"/>
        </w:rPr>
        <w:t>万吨、废铁7.25万吨和</w:t>
      </w:r>
      <w:r>
        <w:rPr>
          <w:rFonts w:hint="eastAsia" w:eastAsia="仿宋_GB2312" w:cs="仿宋_GB2312"/>
          <w:color w:val="auto"/>
        </w:rPr>
        <w:t>报废汽车破碎尾料</w:t>
      </w:r>
      <w:r>
        <w:rPr>
          <w:rFonts w:hint="eastAsia" w:eastAsia="仿宋_GB2312" w:cs="仿宋_GB2312"/>
          <w:color w:val="auto"/>
          <w:lang w:val="en-US" w:eastAsia="zh-CN"/>
        </w:rPr>
        <w:t>5.86万吨，年产废不锈钢20万吨、细铁块和铁粉10万吨、铜粉0.36万吨、废塑料2.8万吨、废铝0.29万吨、废锌0.22万吨，项目不得涉及危险废物的加工和处置，不得采用化学工艺方式处理原料。</w:t>
      </w:r>
    </w:p>
    <w:p w14:paraId="502DC679">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仿宋_GB2312"/>
          <w:color w:val="auto"/>
          <w:lang w:val="en-US" w:eastAsia="zh-CN"/>
        </w:rPr>
      </w:pPr>
      <w:r>
        <w:rPr>
          <w:rFonts w:hint="eastAsia" w:eastAsia="仿宋_GB2312" w:cs="仿宋_GB2312"/>
          <w:color w:val="auto"/>
        </w:rPr>
        <w:t>项目</w:t>
      </w:r>
      <w:r>
        <w:rPr>
          <w:rFonts w:hint="eastAsia" w:eastAsia="仿宋_GB2312" w:cs="仿宋_GB2312"/>
          <w:color w:val="auto"/>
          <w:lang w:val="en-US" w:eastAsia="zh-CN"/>
        </w:rPr>
        <w:t>建设内容</w:t>
      </w:r>
      <w:r>
        <w:rPr>
          <w:rFonts w:hint="eastAsia" w:eastAsia="仿宋_GB2312" w:cs="仿宋_GB2312"/>
          <w:color w:val="auto"/>
        </w:rPr>
        <w:t>包括</w:t>
      </w:r>
      <w:r>
        <w:rPr>
          <w:rFonts w:hint="eastAsia" w:eastAsia="仿宋_GB2312" w:cs="仿宋_GB2312"/>
          <w:color w:val="auto"/>
          <w:lang w:val="en-US" w:eastAsia="zh-CN"/>
        </w:rPr>
        <w:t>主体</w:t>
      </w:r>
      <w:r>
        <w:rPr>
          <w:rFonts w:hint="eastAsia" w:eastAsia="仿宋_GB2312" w:cs="仿宋_GB2312"/>
          <w:color w:val="auto"/>
        </w:rPr>
        <w:t>工程</w:t>
      </w:r>
      <w:r>
        <w:rPr>
          <w:rFonts w:hint="eastAsia" w:eastAsia="仿宋_GB2312" w:cs="仿宋_GB2312"/>
          <w:color w:val="auto"/>
          <w:lang w:eastAsia="zh-CN"/>
        </w:rPr>
        <w:t>（</w:t>
      </w:r>
      <w:r>
        <w:rPr>
          <w:rFonts w:hint="eastAsia" w:eastAsia="仿宋_GB2312" w:cs="仿宋_GB2312"/>
          <w:color w:val="auto"/>
          <w:lang w:val="en-US" w:eastAsia="zh-CN"/>
        </w:rPr>
        <w:t>生产车间等）</w:t>
      </w:r>
      <w:r>
        <w:rPr>
          <w:rFonts w:hint="eastAsia" w:eastAsia="仿宋_GB2312" w:cs="仿宋_GB2312"/>
          <w:color w:val="auto"/>
          <w:lang w:eastAsia="zh-CN"/>
        </w:rPr>
        <w:t>；</w:t>
      </w:r>
      <w:r>
        <w:rPr>
          <w:rFonts w:hint="eastAsia" w:eastAsia="仿宋_GB2312" w:cs="仿宋_GB2312"/>
          <w:color w:val="auto"/>
          <w:lang w:val="en-US" w:eastAsia="zh-CN"/>
        </w:rPr>
        <w:t>辅助工程（办公楼、综合楼等）；公用工程（供水、排水、供电等）；环保工程（2套布袋除尘器、1个容积为675立方米的污水处理池、1个占地面积为32平方米的一般固体废物暂存间、1个占地面积为20平方米的危险废物暂存间等）；储运工程（原料存放区、废钢和废铝成品区、废不锈钢成品区、废塑料成品区等）；详见《报告表》。</w:t>
      </w:r>
    </w:p>
    <w:p w14:paraId="4BC08BC1">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color w:val="auto"/>
        </w:rPr>
      </w:pPr>
      <w:r>
        <w:rPr>
          <w:rFonts w:hint="eastAsia" w:eastAsia="仿宋_GB2312" w:cs="仿宋_GB2312"/>
          <w:color w:val="auto"/>
        </w:rPr>
        <w:t>项目不涉及自然保护区、饮用水源保护区、文物保护单位、</w:t>
      </w:r>
      <w:r>
        <w:rPr>
          <w:rFonts w:hint="eastAsia" w:eastAsia="仿宋_GB2312" w:cs="仿宋_GB2312"/>
          <w:color w:val="auto"/>
          <w:lang w:val="en-US" w:eastAsia="zh-CN"/>
        </w:rPr>
        <w:t>地质公园、风景名胜区、基本农田等特殊保护对象。项目总投资3000.00万元</w:t>
      </w:r>
      <w:r>
        <w:rPr>
          <w:rFonts w:hint="eastAsia" w:eastAsia="仿宋_GB2312" w:cs="仿宋_GB2312"/>
          <w:color w:val="auto"/>
        </w:rPr>
        <w:t>，其中环保投资</w:t>
      </w:r>
      <w:r>
        <w:rPr>
          <w:rFonts w:hint="eastAsia" w:eastAsia="仿宋_GB2312" w:cs="仿宋_GB2312"/>
          <w:color w:val="auto"/>
          <w:lang w:val="en-US" w:eastAsia="zh-CN"/>
        </w:rPr>
        <w:t>40</w:t>
      </w:r>
      <w:r>
        <w:rPr>
          <w:rFonts w:hint="eastAsia" w:eastAsia="仿宋_GB2312" w:cs="仿宋_GB2312"/>
          <w:color w:val="auto"/>
        </w:rPr>
        <w:t>.0</w:t>
      </w:r>
      <w:r>
        <w:rPr>
          <w:rFonts w:hint="eastAsia" w:eastAsia="仿宋_GB2312" w:cs="仿宋_GB2312"/>
          <w:color w:val="auto"/>
          <w:lang w:val="en-US" w:eastAsia="zh-CN"/>
        </w:rPr>
        <w:t>0</w:t>
      </w:r>
      <w:r>
        <w:rPr>
          <w:rFonts w:hint="eastAsia" w:eastAsia="仿宋_GB2312" w:cs="仿宋_GB2312"/>
          <w:color w:val="auto"/>
        </w:rPr>
        <w:t>万元</w:t>
      </w:r>
      <w:r>
        <w:rPr>
          <w:rFonts w:hint="eastAsia" w:eastAsia="仿宋_GB2312" w:cs="仿宋_GB2312"/>
          <w:color w:val="auto"/>
          <w:lang w:eastAsia="zh-CN"/>
        </w:rPr>
        <w:t>，</w:t>
      </w:r>
      <w:r>
        <w:rPr>
          <w:rFonts w:hint="eastAsia" w:eastAsia="仿宋_GB2312" w:cs="仿宋_GB2312"/>
          <w:color w:val="auto"/>
          <w:lang w:val="en-US" w:eastAsia="zh-CN"/>
        </w:rPr>
        <w:t>占比1.33%</w:t>
      </w:r>
      <w:r>
        <w:rPr>
          <w:rFonts w:hint="eastAsia" w:eastAsia="仿宋_GB2312" w:cs="仿宋_GB2312"/>
          <w:color w:val="auto"/>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color w:val="auto"/>
          <w:sz w:val="32"/>
          <w:szCs w:val="32"/>
        </w:rPr>
      </w:pPr>
      <w:r>
        <w:rPr>
          <w:rFonts w:hint="eastAsia" w:eastAsia="仿宋_GB2312" w:cs="仿宋_GB2312"/>
          <w:color w:val="auto"/>
          <w:sz w:val="32"/>
          <w:szCs w:val="32"/>
        </w:rPr>
        <w:t>项目已获得广西壮族自治区投资项目备案证明</w:t>
      </w:r>
      <w:r>
        <w:rPr>
          <w:rFonts w:hint="eastAsia" w:eastAsia="仿宋_GB2312" w:cs="仿宋_GB2312"/>
          <w:color w:val="auto"/>
          <w:sz w:val="32"/>
          <w:szCs w:val="32"/>
          <w:lang w:val="en-US" w:eastAsia="zh-CN"/>
        </w:rPr>
        <w:t>和柳城县工业区管理委员会的入园通知书</w:t>
      </w:r>
      <w:r>
        <w:rPr>
          <w:rFonts w:hint="eastAsia" w:eastAsia="仿宋_GB2312" w:cs="仿宋_GB2312"/>
          <w:color w:val="auto"/>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color w:val="auto"/>
          <w:sz w:val="32"/>
          <w:szCs w:val="32"/>
        </w:rPr>
      </w:pPr>
      <w:r>
        <w:rPr>
          <w:rFonts w:hint="eastAsia" w:eastAsia="仿宋_GB2312" w:cs="仿宋_GB2312"/>
          <w:color w:val="auto"/>
          <w:sz w:val="32"/>
          <w:szCs w:val="32"/>
        </w:rPr>
        <w:t>二、项目须落实《报告表》提出的各项环保要求，重点抓好以下环保工作：</w:t>
      </w:r>
    </w:p>
    <w:p w14:paraId="04EA6ED0">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420" w:firstLineChars="0"/>
        <w:jc w:val="distribute"/>
        <w:textAlignment w:val="auto"/>
        <w:rPr>
          <w:rFonts w:eastAsia="仿宋_GB2312" w:cs="仿宋_GB2312"/>
          <w:color w:val="auto"/>
          <w:sz w:val="32"/>
          <w:szCs w:val="32"/>
        </w:rPr>
      </w:pPr>
      <w:r>
        <w:rPr>
          <w:rFonts w:hint="eastAsia" w:eastAsia="仿宋_GB2312" w:cs="仿宋_GB2312"/>
          <w:color w:val="auto"/>
          <w:sz w:val="32"/>
          <w:szCs w:val="32"/>
        </w:rPr>
        <w:t>项目</w:t>
      </w:r>
      <w:r>
        <w:rPr>
          <w:rFonts w:hint="eastAsia" w:eastAsia="仿宋_GB2312" w:cs="仿宋_GB2312"/>
          <w:color w:val="auto"/>
          <w:sz w:val="32"/>
          <w:szCs w:val="32"/>
          <w:lang w:val="en-US" w:eastAsia="zh-CN"/>
        </w:rPr>
        <w:t>废铁破碎工序、废铁筛选工序</w:t>
      </w:r>
      <w:r>
        <w:rPr>
          <w:rFonts w:hint="eastAsia" w:eastAsia="仿宋_GB2312" w:cs="仿宋_GB2312"/>
          <w:color w:val="auto"/>
          <w:sz w:val="32"/>
          <w:szCs w:val="32"/>
        </w:rPr>
        <w:t>废气</w:t>
      </w:r>
      <w:r>
        <w:rPr>
          <w:rFonts w:hint="eastAsia" w:eastAsia="仿宋_GB2312" w:cs="仿宋_GB2312"/>
          <w:color w:val="auto"/>
          <w:sz w:val="32"/>
          <w:szCs w:val="32"/>
          <w:lang w:val="en-US" w:eastAsia="zh-CN"/>
        </w:rPr>
        <w:t>经集气罩收集，一并</w:t>
      </w:r>
      <w:r>
        <w:rPr>
          <w:rFonts w:hint="eastAsia" w:eastAsia="仿宋_GB2312" w:cs="仿宋_GB2312"/>
          <w:color w:val="auto"/>
          <w:sz w:val="32"/>
          <w:szCs w:val="32"/>
        </w:rPr>
        <w:t>通过</w:t>
      </w:r>
      <w:r>
        <w:rPr>
          <w:rFonts w:hint="eastAsia" w:eastAsia="仿宋_GB2312" w:cs="仿宋_GB2312"/>
          <w:color w:val="auto"/>
          <w:sz w:val="32"/>
          <w:szCs w:val="32"/>
          <w:lang w:val="en-US" w:eastAsia="zh-CN"/>
        </w:rPr>
        <w:t>1#布袋</w:t>
      </w:r>
      <w:r>
        <w:rPr>
          <w:rFonts w:hint="eastAsia" w:ascii="Times New Roman" w:hAnsi="Times New Roman" w:eastAsia="仿宋_GB2312" w:cs="仿宋_GB2312"/>
          <w:color w:val="auto"/>
          <w:sz w:val="32"/>
          <w:szCs w:val="32"/>
          <w:lang w:val="en-US" w:eastAsia="zh-CN"/>
        </w:rPr>
        <w:t>除尘器处理</w:t>
      </w:r>
      <w:r>
        <w:rPr>
          <w:rFonts w:hint="eastAsia" w:eastAsia="仿宋_GB2312" w:cs="仿宋_GB2312"/>
          <w:color w:val="auto"/>
          <w:sz w:val="32"/>
          <w:szCs w:val="32"/>
          <w:lang w:val="en-US" w:eastAsia="zh-CN"/>
        </w:rPr>
        <w:t>后无组织</w:t>
      </w:r>
      <w:r>
        <w:rPr>
          <w:rFonts w:hint="eastAsia" w:eastAsia="仿宋_GB2312" w:cs="仿宋_GB2312"/>
          <w:color w:val="auto"/>
          <w:sz w:val="32"/>
          <w:szCs w:val="32"/>
        </w:rPr>
        <w:t>排放</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场地泥筛选工序、空分工序和废塑料破碎工序废气经集气罩收集，一并</w:t>
      </w:r>
      <w:r>
        <w:rPr>
          <w:rFonts w:hint="eastAsia" w:eastAsia="仿宋_GB2312" w:cs="仿宋_GB2312"/>
          <w:color w:val="auto"/>
          <w:sz w:val="32"/>
          <w:szCs w:val="32"/>
        </w:rPr>
        <w:t>通过</w:t>
      </w:r>
      <w:r>
        <w:rPr>
          <w:rFonts w:hint="eastAsia" w:eastAsia="仿宋_GB2312" w:cs="仿宋_GB2312"/>
          <w:color w:val="auto"/>
          <w:sz w:val="32"/>
          <w:szCs w:val="32"/>
          <w:lang w:val="en-US" w:eastAsia="zh-CN"/>
        </w:rPr>
        <w:t>2#布袋</w:t>
      </w:r>
      <w:r>
        <w:rPr>
          <w:rFonts w:hint="eastAsia" w:ascii="Times New Roman" w:hAnsi="Times New Roman" w:eastAsia="仿宋_GB2312" w:cs="仿宋_GB2312"/>
          <w:color w:val="auto"/>
          <w:sz w:val="32"/>
          <w:szCs w:val="32"/>
          <w:lang w:val="en-US" w:eastAsia="zh-CN"/>
        </w:rPr>
        <w:t>除尘器</w:t>
      </w:r>
      <w:r>
        <w:rPr>
          <w:rFonts w:hint="eastAsia" w:eastAsia="仿宋_GB2312" w:cs="仿宋_GB2312"/>
          <w:color w:val="auto"/>
          <w:sz w:val="32"/>
          <w:szCs w:val="32"/>
        </w:rPr>
        <w:t>处理</w:t>
      </w:r>
      <w:r>
        <w:rPr>
          <w:rFonts w:hint="eastAsia" w:eastAsia="仿宋_GB2312" w:cs="仿宋_GB2312"/>
          <w:color w:val="auto"/>
          <w:sz w:val="32"/>
          <w:szCs w:val="32"/>
          <w:lang w:val="en-US" w:eastAsia="zh-CN"/>
        </w:rPr>
        <w:t>后无组织</w:t>
      </w:r>
      <w:r>
        <w:rPr>
          <w:rFonts w:hint="eastAsia" w:eastAsia="仿宋_GB2312" w:cs="仿宋_GB2312"/>
          <w:color w:val="auto"/>
          <w:sz w:val="32"/>
          <w:szCs w:val="32"/>
        </w:rPr>
        <w:t>排放</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堆场、装卸工序废气无组织排放，须采取围挡等有效的控制措施；</w:t>
      </w:r>
      <w:r>
        <w:rPr>
          <w:rFonts w:hint="eastAsia" w:eastAsia="仿宋_GB2312" w:cs="仿宋_GB2312"/>
          <w:color w:val="auto"/>
          <w:sz w:val="32"/>
          <w:szCs w:val="32"/>
        </w:rPr>
        <w:t>确保</w:t>
      </w:r>
      <w:r>
        <w:rPr>
          <w:rFonts w:hint="eastAsia" w:eastAsia="仿宋_GB2312" w:cs="仿宋_GB2312"/>
          <w:color w:val="auto"/>
          <w:sz w:val="32"/>
          <w:szCs w:val="32"/>
          <w:lang w:val="en-US" w:eastAsia="zh-CN"/>
        </w:rPr>
        <w:t>厂界</w:t>
      </w:r>
      <w:r>
        <w:rPr>
          <w:rFonts w:hint="eastAsia" w:eastAsia="仿宋_GB2312" w:cs="仿宋_GB2312"/>
          <w:color w:val="auto"/>
          <w:sz w:val="32"/>
          <w:szCs w:val="32"/>
        </w:rPr>
        <w:t>颗粒物</w:t>
      </w:r>
      <w:r>
        <w:rPr>
          <w:rFonts w:hint="eastAsia" w:eastAsia="仿宋_GB2312" w:cs="仿宋_GB2312"/>
          <w:color w:val="auto"/>
          <w:sz w:val="32"/>
          <w:szCs w:val="32"/>
          <w:lang w:val="en-US" w:eastAsia="zh-CN"/>
        </w:rPr>
        <w:t>浓度达</w:t>
      </w:r>
    </w:p>
    <w:p w14:paraId="53A05FC0">
      <w:pPr>
        <w:pStyle w:val="55"/>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eastAsia="仿宋_GB2312" w:cs="仿宋_GB2312"/>
          <w:color w:val="auto"/>
          <w:sz w:val="32"/>
          <w:szCs w:val="32"/>
        </w:rPr>
      </w:pPr>
      <w:r>
        <w:rPr>
          <w:rFonts w:hint="eastAsia" w:eastAsia="仿宋_GB2312" w:cs="仿宋_GB2312"/>
          <w:color w:val="auto"/>
          <w:sz w:val="32"/>
          <w:szCs w:val="32"/>
          <w:lang w:val="en-US" w:eastAsia="zh-CN"/>
        </w:rPr>
        <w:t>到</w:t>
      </w:r>
      <w:r>
        <w:rPr>
          <w:rFonts w:hint="eastAsia" w:eastAsia="仿宋_GB2312" w:cs="仿宋_GB2312"/>
          <w:color w:val="auto"/>
          <w:sz w:val="32"/>
          <w:szCs w:val="32"/>
        </w:rPr>
        <w:t>GB 16297-1996《大气污染物综合排放标准》中表2新污染源大气污染物排放限值二级排放标准要求</w:t>
      </w:r>
      <w:bookmarkStart w:id="0" w:name="_GoBack"/>
      <w:bookmarkEnd w:id="0"/>
      <w:r>
        <w:rPr>
          <w:rFonts w:hint="eastAsia" w:eastAsia="仿宋_GB2312" w:cs="仿宋_GB2312"/>
          <w:color w:val="auto"/>
          <w:sz w:val="32"/>
          <w:szCs w:val="32"/>
        </w:rPr>
        <w:t>。</w:t>
      </w:r>
    </w:p>
    <w:p w14:paraId="14DA378E">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项目</w:t>
      </w:r>
      <w:r>
        <w:rPr>
          <w:rFonts w:hint="eastAsia" w:eastAsia="仿宋_GB2312" w:cs="仿宋_GB2312"/>
          <w:color w:val="auto"/>
          <w:sz w:val="32"/>
          <w:szCs w:val="32"/>
          <w:lang w:val="en-US" w:eastAsia="zh-CN"/>
        </w:rPr>
        <w:t>采取雨污分流措施，雨水经厂内雨水管网收集后排入园区雨水管网；项目生产废水经厂内污水处理池采用“絮凝沉淀+隔油”工艺</w:t>
      </w:r>
      <w:r>
        <w:rPr>
          <w:rFonts w:hint="eastAsia" w:eastAsia="仿宋_GB2312" w:cs="仿宋_GB2312"/>
          <w:color w:val="auto"/>
          <w:sz w:val="32"/>
          <w:szCs w:val="32"/>
          <w:lang w:val="en-US" w:eastAsia="zh-CN"/>
        </w:rPr>
        <w:t>处理后回用于球磨工序使用，不得外排，污水处理池日设计处理能力为675立方米</w:t>
      </w:r>
      <w:r>
        <w:rPr>
          <w:rFonts w:hint="eastAsia" w:eastAsia="仿宋_GB2312" w:cs="仿宋_GB2312"/>
          <w:color w:val="auto"/>
          <w:sz w:val="32"/>
          <w:szCs w:val="32"/>
          <w:lang w:val="en-US" w:eastAsia="zh-CN"/>
        </w:rPr>
        <w:t>；项目生活污水须经化粪池处理，达到GB 8978-1996《污水综合排放标准》三级标准后经市政管网排入沙埔镇污水处理厂。</w:t>
      </w:r>
    </w:p>
    <w:p w14:paraId="142E1DAA">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项目须优化总平面布置，选择低噪先进的设备。对噪声源较大的破碎机、立式空气分选机、脱水机、泥浆泵、清水泵、压滤机、风机等高噪声设备采取消声、减振措施后，确保厂界噪声达到GB 12348-2008《工业企业厂界环境噪声排放标准》3类标准要求。</w:t>
      </w:r>
    </w:p>
    <w:p w14:paraId="7BB82DA3">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both"/>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项目须做好一般固体废物的综合利用和妥善处置工作。1#布袋除尘器收集粉尘和废布袋集中收集后外售处置；生活垃圾由环卫部门定期清运处理；尾泥、2#布袋除尘器收集粉尘、场地打扫粉尘暂按照危险废物进行管理和处置，待危险废物鉴定后依照鉴定结果合法合理处置；须按GB 18599-2020《一般工业固体废物贮存和填埋污染控制标准》要求，建设规范的一般固体废物贮存设施。</w:t>
      </w:r>
    </w:p>
    <w:p w14:paraId="1F16900F">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auto"/>
          <w:sz w:val="32"/>
          <w:szCs w:val="32"/>
        </w:rPr>
      </w:pPr>
      <w:r>
        <w:rPr>
          <w:rFonts w:hint="eastAsia" w:eastAsia="仿宋_GB2312" w:cs="仿宋_GB2312"/>
          <w:color w:val="auto"/>
          <w:sz w:val="32"/>
          <w:szCs w:val="32"/>
          <w:lang w:val="en-US" w:eastAsia="zh-CN"/>
        </w:rPr>
        <w:t>项目</w:t>
      </w:r>
      <w:r>
        <w:rPr>
          <w:rFonts w:hint="eastAsia" w:eastAsia="仿宋_GB2312" w:cs="仿宋_GB2312"/>
          <w:color w:val="auto"/>
          <w:sz w:val="32"/>
          <w:szCs w:val="32"/>
        </w:rPr>
        <w:t>须按GB</w:t>
      </w:r>
      <w:r>
        <w:rPr>
          <w:rFonts w:hint="eastAsia" w:eastAsia="仿宋_GB2312" w:cs="仿宋_GB2312"/>
          <w:color w:val="auto"/>
          <w:sz w:val="32"/>
          <w:szCs w:val="32"/>
          <w:lang w:val="en-US" w:eastAsia="zh-CN"/>
        </w:rPr>
        <w:t xml:space="preserve"> </w:t>
      </w:r>
      <w:r>
        <w:rPr>
          <w:rFonts w:hint="eastAsia" w:eastAsia="仿宋_GB2312" w:cs="仿宋_GB2312"/>
          <w:color w:val="auto"/>
          <w:sz w:val="32"/>
          <w:szCs w:val="32"/>
        </w:rPr>
        <w:t>18597-2023《危险废物贮存污染控制标准》及其修改单的要求，建设规范的废润滑油</w:t>
      </w:r>
      <w:r>
        <w:rPr>
          <w:rFonts w:hint="eastAsia" w:eastAsia="仿宋_GB2312" w:cs="仿宋_GB2312"/>
          <w:color w:val="auto"/>
          <w:sz w:val="32"/>
          <w:szCs w:val="32"/>
          <w:lang w:eastAsia="zh-CN"/>
        </w:rPr>
        <w:t>、</w:t>
      </w:r>
      <w:r>
        <w:rPr>
          <w:rFonts w:hint="eastAsia" w:eastAsia="仿宋_GB2312" w:cs="仿宋_GB2312"/>
          <w:color w:val="auto"/>
          <w:sz w:val="32"/>
          <w:szCs w:val="32"/>
        </w:rPr>
        <w:t>废润滑油桶</w:t>
      </w:r>
      <w:r>
        <w:rPr>
          <w:rFonts w:hint="eastAsia" w:eastAsia="仿宋_GB2312" w:cs="仿宋_GB2312"/>
          <w:color w:val="auto"/>
          <w:sz w:val="32"/>
          <w:szCs w:val="32"/>
          <w:lang w:val="en-US" w:eastAsia="zh-CN"/>
        </w:rPr>
        <w:t>和含油抹布</w:t>
      </w:r>
      <w:r>
        <w:rPr>
          <w:rFonts w:hint="eastAsia" w:eastAsia="仿宋_GB2312" w:cs="仿宋_GB2312"/>
          <w:color w:val="auto"/>
          <w:sz w:val="32"/>
          <w:szCs w:val="32"/>
        </w:rPr>
        <w:t>的收集临时存放设施，并设立明显的危废标志，危险废物须定期收集并交由有危险废物处置资质的单位按规定处理、处置，不得随意堆放、擅自外排。做好危险废物处置及转移联单的台</w:t>
      </w:r>
      <w:r>
        <w:rPr>
          <w:rFonts w:hint="eastAsia" w:eastAsia="仿宋_GB2312" w:cs="仿宋_GB2312"/>
          <w:color w:val="auto"/>
          <w:sz w:val="32"/>
          <w:szCs w:val="32"/>
          <w:lang w:val="en-US" w:eastAsia="zh-CN"/>
        </w:rPr>
        <w:t>账</w:t>
      </w:r>
      <w:r>
        <w:rPr>
          <w:rFonts w:hint="eastAsia" w:eastAsia="仿宋_GB2312" w:cs="仿宋_GB2312"/>
          <w:color w:val="auto"/>
          <w:sz w:val="32"/>
          <w:szCs w:val="32"/>
        </w:rPr>
        <w:t>记录。</w:t>
      </w:r>
    </w:p>
    <w:p w14:paraId="5CA6301D">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auto"/>
          <w:sz w:val="32"/>
          <w:szCs w:val="32"/>
        </w:rPr>
      </w:pPr>
      <w:r>
        <w:rPr>
          <w:rFonts w:hint="eastAsia" w:eastAsia="仿宋_GB2312" w:cs="仿宋_GB2312"/>
          <w:color w:val="auto"/>
          <w:sz w:val="32"/>
          <w:szCs w:val="32"/>
          <w:lang w:val="en-US" w:eastAsia="zh-CN"/>
        </w:rPr>
        <w:t>项目须采取有效措施，控制原料、产品、尾泥等物料中的渗滤液产出，并及时清理处置，防止污染环境。</w:t>
      </w:r>
    </w:p>
    <w:p w14:paraId="37ACA3A7">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distribute"/>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项目须</w:t>
      </w:r>
      <w:r>
        <w:rPr>
          <w:rFonts w:hint="eastAsia" w:ascii="Times New Roman" w:hAnsi="Times New Roman" w:eastAsia="仿宋_GB2312" w:cs="仿宋_GB2312"/>
          <w:color w:val="auto"/>
          <w:sz w:val="32"/>
          <w:szCs w:val="32"/>
        </w:rPr>
        <w:t>按分区防渗原则落实各项防渗措施。</w:t>
      </w:r>
      <w:r>
        <w:rPr>
          <w:rFonts w:hint="eastAsia" w:ascii="Times New Roman" w:hAnsi="Times New Roman" w:eastAsia="仿宋_GB2312" w:cs="仿宋_GB2312"/>
          <w:color w:val="auto"/>
          <w:sz w:val="32"/>
          <w:szCs w:val="32"/>
          <w:lang w:val="en-US" w:eastAsia="zh-CN"/>
        </w:rPr>
        <w:t>参</w:t>
      </w:r>
    </w:p>
    <w:p w14:paraId="5A28F8A3">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照</w:t>
      </w:r>
      <w:r>
        <w:rPr>
          <w:rFonts w:hint="eastAsia" w:ascii="Times New Roman" w:hAnsi="Times New Roman" w:eastAsia="仿宋_GB2312" w:cs="仿宋_GB2312"/>
          <w:color w:val="auto"/>
          <w:sz w:val="32"/>
          <w:szCs w:val="32"/>
        </w:rPr>
        <w:t>HJ 610</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2016</w:t>
      </w:r>
      <w:r>
        <w:rPr>
          <w:rFonts w:hint="eastAsia" w:ascii="Times New Roman" w:hAnsi="Times New Roman" w:eastAsia="仿宋_GB2312" w:cs="仿宋_GB2312"/>
          <w:color w:val="auto"/>
          <w:sz w:val="32"/>
          <w:szCs w:val="32"/>
          <w:lang w:eastAsia="zh-CN"/>
        </w:rPr>
        <w:t>《环境影响评价技术导则</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地下水环境》</w:t>
      </w:r>
      <w:r>
        <w:rPr>
          <w:rFonts w:hint="eastAsia" w:ascii="Times New Roman" w:hAnsi="Times New Roman" w:eastAsia="仿宋_GB2312" w:cs="仿宋_GB2312"/>
          <w:color w:val="auto"/>
          <w:sz w:val="32"/>
          <w:szCs w:val="32"/>
          <w:lang w:val="en-US" w:eastAsia="zh-CN"/>
        </w:rPr>
        <w:t>中建设项目污染防控对策要求和GB 18597-2023《危险废物贮存污染控制标准》中贮存设施污染控制要求，须对工艺、管道、设备、</w:t>
      </w:r>
      <w:r>
        <w:rPr>
          <w:rFonts w:hint="eastAsia" w:eastAsia="仿宋_GB2312" w:cs="仿宋_GB2312"/>
          <w:color w:val="auto"/>
          <w:sz w:val="32"/>
          <w:szCs w:val="32"/>
          <w:lang w:val="en-US" w:eastAsia="zh-CN"/>
        </w:rPr>
        <w:t>设施</w:t>
      </w:r>
      <w:r>
        <w:rPr>
          <w:rFonts w:hint="eastAsia" w:ascii="Times New Roman" w:hAnsi="Times New Roman" w:eastAsia="仿宋_GB2312" w:cs="仿宋_GB2312"/>
          <w:color w:val="auto"/>
          <w:sz w:val="32"/>
          <w:szCs w:val="32"/>
          <w:lang w:val="en-US" w:eastAsia="zh-CN"/>
        </w:rPr>
        <w:t>采取污染防控措施，</w:t>
      </w:r>
      <w:r>
        <w:rPr>
          <w:rFonts w:hint="eastAsia" w:eastAsia="仿宋_GB2312" w:cs="仿宋_GB2312"/>
          <w:color w:val="auto"/>
          <w:sz w:val="32"/>
          <w:szCs w:val="32"/>
          <w:lang w:val="en-US" w:eastAsia="zh-CN"/>
        </w:rPr>
        <w:t>杜绝</w:t>
      </w:r>
      <w:r>
        <w:rPr>
          <w:rFonts w:hint="eastAsia" w:ascii="Times New Roman" w:hAnsi="Times New Roman" w:eastAsia="仿宋_GB2312" w:cs="仿宋_GB2312"/>
          <w:color w:val="auto"/>
          <w:sz w:val="32"/>
          <w:szCs w:val="32"/>
          <w:lang w:val="en-US" w:eastAsia="zh-CN"/>
        </w:rPr>
        <w:t>跑、冒、滴、漏</w:t>
      </w:r>
      <w:r>
        <w:rPr>
          <w:rFonts w:hint="eastAsia" w:eastAsia="仿宋_GB2312" w:cs="仿宋_GB2312"/>
          <w:color w:val="auto"/>
          <w:sz w:val="32"/>
          <w:szCs w:val="32"/>
          <w:lang w:val="en-US" w:eastAsia="zh-CN"/>
        </w:rPr>
        <w:t>，防止废水及渗滤液中重金属离子对地下水和土壤造成污染</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须对生产车间、污水处理池</w:t>
      </w:r>
      <w:r>
        <w:rPr>
          <w:rFonts w:hint="eastAsia" w:eastAsia="仿宋_GB2312" w:cs="仿宋_GB2312"/>
          <w:color w:val="auto"/>
          <w:sz w:val="32"/>
          <w:szCs w:val="32"/>
          <w:lang w:val="en-US" w:eastAsia="zh-CN"/>
        </w:rPr>
        <w:t>和危险废物</w:t>
      </w:r>
      <w:r>
        <w:rPr>
          <w:rFonts w:hint="eastAsia" w:ascii="Times New Roman" w:hAnsi="Times New Roman" w:eastAsia="仿宋_GB2312" w:cs="仿宋_GB2312"/>
          <w:color w:val="auto"/>
          <w:sz w:val="32"/>
          <w:szCs w:val="32"/>
        </w:rPr>
        <w:t>暂存间</w:t>
      </w:r>
      <w:r>
        <w:rPr>
          <w:rFonts w:hint="eastAsia" w:ascii="Times New Roman" w:hAnsi="Times New Roman" w:eastAsia="仿宋_GB2312" w:cs="仿宋_GB2312"/>
          <w:color w:val="auto"/>
          <w:sz w:val="32"/>
          <w:szCs w:val="32"/>
          <w:lang w:val="en-US" w:eastAsia="zh-CN"/>
        </w:rPr>
        <w:t>等区域</w:t>
      </w:r>
      <w:r>
        <w:rPr>
          <w:rFonts w:hint="eastAsia" w:ascii="Times New Roman" w:hAnsi="Times New Roman" w:eastAsia="仿宋_GB2312" w:cs="仿宋_GB2312"/>
          <w:color w:val="auto"/>
          <w:sz w:val="32"/>
          <w:szCs w:val="32"/>
        </w:rPr>
        <w:t>按要求</w:t>
      </w:r>
      <w:r>
        <w:rPr>
          <w:rFonts w:hint="eastAsia" w:ascii="Times New Roman" w:hAnsi="Times New Roman" w:eastAsia="仿宋_GB2312" w:cs="仿宋_GB2312"/>
          <w:color w:val="auto"/>
          <w:sz w:val="32"/>
          <w:szCs w:val="32"/>
          <w:lang w:val="en-US" w:eastAsia="zh-CN"/>
        </w:rPr>
        <w:t>做好重点防渗</w:t>
      </w:r>
      <w:r>
        <w:rPr>
          <w:rFonts w:hint="eastAsia" w:ascii="Times New Roman" w:hAnsi="Times New Roman" w:eastAsia="仿宋_GB2312" w:cs="仿宋_GB2312"/>
          <w:color w:val="auto"/>
          <w:sz w:val="32"/>
          <w:szCs w:val="32"/>
        </w:rPr>
        <w:t>处理</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须</w:t>
      </w:r>
      <w:r>
        <w:rPr>
          <w:rFonts w:hint="eastAsia" w:ascii="Times New Roman" w:hAnsi="Times New Roman" w:eastAsia="仿宋_GB2312" w:cs="仿宋_GB2312"/>
          <w:color w:val="auto"/>
          <w:sz w:val="32"/>
          <w:szCs w:val="32"/>
          <w:lang w:val="en-US" w:eastAsia="zh-CN"/>
        </w:rPr>
        <w:t>对其他区域</w:t>
      </w:r>
      <w:r>
        <w:rPr>
          <w:rFonts w:hint="eastAsia" w:ascii="Times New Roman" w:hAnsi="Times New Roman" w:eastAsia="仿宋_GB2312" w:cs="仿宋_GB2312"/>
          <w:color w:val="auto"/>
          <w:sz w:val="32"/>
          <w:szCs w:val="32"/>
        </w:rPr>
        <w:t>按要求</w:t>
      </w:r>
      <w:r>
        <w:rPr>
          <w:rFonts w:hint="eastAsia" w:ascii="Times New Roman" w:hAnsi="Times New Roman" w:eastAsia="仿宋_GB2312" w:cs="仿宋_GB2312"/>
          <w:color w:val="auto"/>
          <w:sz w:val="32"/>
          <w:szCs w:val="32"/>
          <w:lang w:val="en-US" w:eastAsia="zh-CN"/>
        </w:rPr>
        <w:t>做好一般防渗</w:t>
      </w:r>
      <w:r>
        <w:rPr>
          <w:rFonts w:hint="eastAsia" w:ascii="Times New Roman" w:hAnsi="Times New Roman" w:eastAsia="仿宋_GB2312" w:cs="仿宋_GB2312"/>
          <w:color w:val="auto"/>
          <w:sz w:val="32"/>
          <w:szCs w:val="32"/>
        </w:rPr>
        <w:t>处理。按照GB 15562.1-1995《环境保护图形标志—排</w:t>
      </w:r>
      <w:r>
        <w:rPr>
          <w:rFonts w:hint="eastAsia" w:eastAsia="仿宋_GB2312" w:cs="仿宋_GB2312"/>
          <w:color w:val="auto"/>
          <w:sz w:val="32"/>
          <w:szCs w:val="32"/>
          <w:lang w:val="en-US" w:eastAsia="zh-CN"/>
        </w:rPr>
        <w:t>放</w:t>
      </w:r>
      <w:r>
        <w:rPr>
          <w:rFonts w:hint="eastAsia" w:ascii="Times New Roman" w:hAnsi="Times New Roman" w:eastAsia="仿宋_GB2312" w:cs="仿宋_GB2312"/>
          <w:color w:val="auto"/>
          <w:sz w:val="32"/>
          <w:szCs w:val="32"/>
        </w:rPr>
        <w:t>口（源）》和原国家环保总局《关于开展排污口规范化整治工作的通知》（环发〔1999〕24号）附件有关规定建设规范化排污口。须按排污许可</w:t>
      </w:r>
      <w:r>
        <w:rPr>
          <w:rFonts w:hint="eastAsia" w:eastAsia="仿宋_GB2312" w:cs="仿宋_GB2312"/>
          <w:color w:val="auto"/>
          <w:sz w:val="32"/>
          <w:szCs w:val="32"/>
          <w:lang w:val="en-US" w:eastAsia="zh-CN"/>
        </w:rPr>
        <w:t>及《报告表》的</w:t>
      </w:r>
      <w:r>
        <w:rPr>
          <w:rFonts w:hint="eastAsia" w:ascii="Times New Roman" w:hAnsi="Times New Roman" w:eastAsia="仿宋_GB2312" w:cs="仿宋_GB2312"/>
          <w:color w:val="auto"/>
          <w:sz w:val="32"/>
          <w:szCs w:val="32"/>
        </w:rPr>
        <w:t>相关管理要求定期进行监测。</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环境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auto"/>
          <w:sz w:val="32"/>
          <w:szCs w:val="32"/>
        </w:rPr>
      </w:pPr>
      <w:r>
        <w:rPr>
          <w:rFonts w:hint="eastAsia" w:eastAsia="仿宋_GB2312" w:cs="仿宋_GB2312"/>
          <w:color w:val="auto"/>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auto"/>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w:t>
      </w:r>
      <w:r>
        <w:rPr>
          <w:rFonts w:hint="eastAsia" w:eastAsia="仿宋_GB2312" w:cs="仿宋_GB2312"/>
          <w:color w:val="000000" w:themeColor="text1"/>
          <w:sz w:val="32"/>
          <w:szCs w:val="32"/>
          <w:lang w:val="en-US" w:eastAsia="zh-CN"/>
          <w14:textFill>
            <w14:solidFill>
              <w14:schemeClr w14:val="tx1"/>
            </w14:solidFill>
          </w14:textFill>
        </w:rPr>
        <w:t>6</w:t>
      </w:r>
      <w:r>
        <w:rPr>
          <w:rFonts w:hint="eastAsia" w:eastAsia="仿宋_GB2312" w:cs="仿宋_GB2312"/>
          <w:color w:val="000000" w:themeColor="text1"/>
          <w:sz w:val="32"/>
          <w:szCs w:val="32"/>
          <w14:textFill>
            <w14:solidFill>
              <w14:schemeClr w14:val="tx1"/>
            </w14:solidFill>
          </w14:textFill>
        </w:rPr>
        <w:t>年</w:t>
      </w:r>
      <w:r>
        <w:rPr>
          <w:rFonts w:hint="eastAsia" w:eastAsia="仿宋_GB2312" w:cs="仿宋_GB2312"/>
          <w:color w:val="000000" w:themeColor="text1"/>
          <w:sz w:val="32"/>
          <w:szCs w:val="32"/>
          <w:lang w:val="en-US" w:eastAsia="zh-CN"/>
          <w14:textFill>
            <w14:solidFill>
              <w14:schemeClr w14:val="tx1"/>
            </w14:solidFill>
          </w14:textFill>
        </w:rPr>
        <w:t>3</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2</w:t>
      </w:r>
      <w:r>
        <w:rPr>
          <w:rFonts w:hint="eastAsia" w:eastAsia="仿宋_GB2312" w:cs="仿宋_GB2312"/>
          <w:color w:val="000000" w:themeColor="text1"/>
          <w:sz w:val="32"/>
          <w:szCs w:val="32"/>
          <w14:textFill>
            <w14:solidFill>
              <w14:schemeClr w14:val="tx1"/>
            </w14:solidFill>
          </w14:textFill>
        </w:rPr>
        <w:t>日</w:t>
      </w:r>
    </w:p>
    <w:p w14:paraId="24057511">
      <w:pPr>
        <w:pStyle w:val="38"/>
        <w:keepNext w:val="0"/>
        <w:keepLines w:val="0"/>
        <w:pageBreakBefore w:val="0"/>
        <w:widowControl w:val="0"/>
        <w:kinsoku/>
        <w:wordWrap/>
        <w:overflowPunct/>
        <w:topLinePunct w:val="0"/>
        <w:autoSpaceDE/>
        <w:autoSpaceDN/>
        <w:bidi w:val="0"/>
        <w:adjustRightInd/>
        <w:snapToGrid/>
        <w:spacing w:beforeLines="0" w:line="500" w:lineRule="exact"/>
        <w:ind w:left="0" w:leftChars="0"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13573EA5">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74678760">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725AA00F">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7EC8554">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AC56950">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1B20CF6">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494702E2">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640" w:firstLineChars="200"/>
        <w:jc w:val="both"/>
        <w:textAlignment w:val="auto"/>
        <w:rPr>
          <w:rFonts w:hint="eastAsia" w:ascii="Times New Roman" w:hAnsi="Times New Roman" w:eastAsia="仿宋_GB2312" w:cs="仿宋_GB2312"/>
          <w:color w:val="000000" w:themeColor="text1"/>
          <w:lang w:eastAsia="zh-CN"/>
          <w14:textFill>
            <w14:solidFill>
              <w14:schemeClr w14:val="tx1"/>
            </w14:solidFill>
          </w14:textFill>
        </w:rPr>
      </w:pPr>
      <w:r>
        <w:rPr>
          <w:rFonts w:hint="eastAsia" w:ascii="Times New Roman" w:hAnsi="Times New Roman" w:eastAsia="仿宋_GB2312" w:cs="仿宋_GB2312"/>
          <w:color w:val="000000" w:themeColor="text1"/>
          <w:lang w:eastAsia="zh-CN"/>
          <w14:textFill>
            <w14:solidFill>
              <w14:schemeClr w14:val="tx1"/>
            </w14:solidFill>
          </w14:textFill>
        </w:rPr>
        <w:t>（</w:t>
      </w:r>
      <w:r>
        <w:rPr>
          <w:rFonts w:hint="eastAsia" w:ascii="Times New Roman" w:hAnsi="Times New Roman" w:eastAsia="仿宋_GB2312" w:cs="仿宋_GB2312"/>
          <w:color w:val="000000" w:themeColor="text1"/>
          <w:lang w:val="en-US" w:eastAsia="zh-CN"/>
          <w14:textFill>
            <w14:solidFill>
              <w14:schemeClr w14:val="tx1"/>
            </w14:solidFill>
          </w14:textFill>
        </w:rPr>
        <w:t>此页无正文</w:t>
      </w:r>
      <w:r>
        <w:rPr>
          <w:rFonts w:hint="eastAsia" w:ascii="Times New Roman" w:hAnsi="Times New Roman" w:eastAsia="仿宋_GB2312" w:cs="仿宋_GB2312"/>
          <w:color w:val="000000" w:themeColor="text1"/>
          <w:lang w:eastAsia="zh-CN"/>
          <w14:textFill>
            <w14:solidFill>
              <w14:schemeClr w14:val="tx1"/>
            </w14:solidFill>
          </w14:textFill>
        </w:rPr>
        <w:t>）</w:t>
      </w:r>
    </w:p>
    <w:p w14:paraId="0E2A5FEA">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79C98E9E">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2AD726D2">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0A884B0">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260F387">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AC4026B">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261AA7B8">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95901E3">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FE33E38">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0E8196B">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FBE2B82">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48507BAD">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7A19F52">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87B53ED">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6B73116">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7E3A3E59">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C37A2C9">
      <w:pPr>
        <w:pStyle w:val="38"/>
        <w:keepNext w:val="0"/>
        <w:keepLines w:val="0"/>
        <w:pageBreakBefore w:val="0"/>
        <w:widowControl w:val="0"/>
        <w:kinsoku/>
        <w:wordWrap/>
        <w:overflowPunct/>
        <w:topLinePunct w:val="0"/>
        <w:autoSpaceDE/>
        <w:autoSpaceDN/>
        <w:bidi w:val="0"/>
        <w:adjustRightInd/>
        <w:snapToGrid/>
        <w:spacing w:beforeLines="0" w:line="520" w:lineRule="exact"/>
        <w:ind w:left="0" w:leftChars="0" w:right="0" w:rightChars="0" w:firstLine="0" w:firstLineChars="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AE96713">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549A83EA">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76CE447E">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41E9549">
      <w:pPr>
        <w:pStyle w:val="2"/>
        <w:rPr>
          <w:rFonts w:hint="eastAsia"/>
        </w:rPr>
      </w:pPr>
    </w:p>
    <w:p w14:paraId="66D4CA79">
      <w:pPr>
        <w:spacing w:line="480" w:lineRule="exact"/>
        <w:jc w:val="distribute"/>
        <w:rPr>
          <w:rFonts w:eastAsia="仿宋_GB2312" w:cs="仿宋_GB2312"/>
          <w:bCs/>
          <w:color w:val="000000" w:themeColor="text1"/>
          <w:sz w:val="28"/>
          <w:szCs w:val="28"/>
          <w:u w:val="single"/>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eastAsia="zh-CN"/>
          <w14:textFill>
            <w14:solidFill>
              <w14:schemeClr w14:val="tx1"/>
            </w14:solidFill>
          </w14:textFill>
        </w:rPr>
        <w:t>2601-450222-04-01-596234</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202</w:t>
      </w:r>
      <w:r>
        <w:rPr>
          <w:rFonts w:hint="eastAsia" w:eastAsia="仿宋_GB2312" w:cs="仿宋_GB2312"/>
          <w:color w:val="000000" w:themeColor="text1"/>
          <w:u w:val="single"/>
          <w:lang w:val="en-US" w:eastAsia="zh-CN"/>
          <w14:textFill>
            <w14:solidFill>
              <w14:schemeClr w14:val="tx1"/>
            </w14:solidFill>
          </w14:textFill>
        </w:rPr>
        <w:t>6</w:t>
      </w:r>
      <w:r>
        <w:rPr>
          <w:rFonts w:hint="eastAsia" w:eastAsia="仿宋_GB2312" w:cs="仿宋_GB2312"/>
          <w:color w:val="000000" w:themeColor="text1"/>
          <w:u w:val="single"/>
          <w14:textFill>
            <w14:solidFill>
              <w14:schemeClr w14:val="tx1"/>
            </w14:solidFill>
          </w14:textFill>
        </w:rPr>
        <w:t>年</w:t>
      </w:r>
      <w:r>
        <w:rPr>
          <w:rFonts w:hint="eastAsia" w:eastAsia="仿宋_GB2312" w:cs="仿宋_GB2312"/>
          <w:color w:val="000000" w:themeColor="text1"/>
          <w:u w:val="single"/>
          <w:lang w:val="en-US" w:eastAsia="zh-CN"/>
          <w14:textFill>
            <w14:solidFill>
              <w14:schemeClr w14:val="tx1"/>
            </w14:solidFill>
          </w14:textFill>
        </w:rPr>
        <w:t>3</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2</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3"/>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3"/>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1EF572E"/>
    <w:rsid w:val="0252066A"/>
    <w:rsid w:val="047E2C4D"/>
    <w:rsid w:val="049F2426"/>
    <w:rsid w:val="05E05A25"/>
    <w:rsid w:val="06053772"/>
    <w:rsid w:val="086E3851"/>
    <w:rsid w:val="095A6639"/>
    <w:rsid w:val="09C47440"/>
    <w:rsid w:val="0A410022"/>
    <w:rsid w:val="0A4D58DB"/>
    <w:rsid w:val="0AAF03C9"/>
    <w:rsid w:val="0B5A4560"/>
    <w:rsid w:val="0CCC4FEA"/>
    <w:rsid w:val="0E7A1DC9"/>
    <w:rsid w:val="0F8C4691"/>
    <w:rsid w:val="0FFA73AA"/>
    <w:rsid w:val="10D00A20"/>
    <w:rsid w:val="118218DF"/>
    <w:rsid w:val="124D16CA"/>
    <w:rsid w:val="12AA36D7"/>
    <w:rsid w:val="12D27024"/>
    <w:rsid w:val="137F1409"/>
    <w:rsid w:val="14C20BA7"/>
    <w:rsid w:val="14CC4A81"/>
    <w:rsid w:val="156839A2"/>
    <w:rsid w:val="16290DB7"/>
    <w:rsid w:val="1650447E"/>
    <w:rsid w:val="1E641526"/>
    <w:rsid w:val="20012DA5"/>
    <w:rsid w:val="21F661EB"/>
    <w:rsid w:val="22AE0FC2"/>
    <w:rsid w:val="23634FD8"/>
    <w:rsid w:val="246C599D"/>
    <w:rsid w:val="247C6E9E"/>
    <w:rsid w:val="24D44515"/>
    <w:rsid w:val="27D01156"/>
    <w:rsid w:val="27F21951"/>
    <w:rsid w:val="28024D7C"/>
    <w:rsid w:val="28452F03"/>
    <w:rsid w:val="29EE7EF6"/>
    <w:rsid w:val="2C5C383D"/>
    <w:rsid w:val="2E351088"/>
    <w:rsid w:val="2E82647A"/>
    <w:rsid w:val="2EA210B7"/>
    <w:rsid w:val="2ED87595"/>
    <w:rsid w:val="312B3D9E"/>
    <w:rsid w:val="314174A5"/>
    <w:rsid w:val="321F6D79"/>
    <w:rsid w:val="322F37A1"/>
    <w:rsid w:val="32A970B0"/>
    <w:rsid w:val="333C157F"/>
    <w:rsid w:val="340071A3"/>
    <w:rsid w:val="37FD6B8A"/>
    <w:rsid w:val="38E0334C"/>
    <w:rsid w:val="39EA1322"/>
    <w:rsid w:val="3B0D21A6"/>
    <w:rsid w:val="3B4B3979"/>
    <w:rsid w:val="3B844B5E"/>
    <w:rsid w:val="3C29347A"/>
    <w:rsid w:val="3C356139"/>
    <w:rsid w:val="3C3C2D43"/>
    <w:rsid w:val="3D3F6F8E"/>
    <w:rsid w:val="3F217805"/>
    <w:rsid w:val="40D35433"/>
    <w:rsid w:val="41E225DE"/>
    <w:rsid w:val="43000F6E"/>
    <w:rsid w:val="436C2636"/>
    <w:rsid w:val="438D657A"/>
    <w:rsid w:val="43FE2FD4"/>
    <w:rsid w:val="44056A46"/>
    <w:rsid w:val="447E796D"/>
    <w:rsid w:val="4491418D"/>
    <w:rsid w:val="44AF6A91"/>
    <w:rsid w:val="457E617A"/>
    <w:rsid w:val="45A21C32"/>
    <w:rsid w:val="46CB65D1"/>
    <w:rsid w:val="480F6AC9"/>
    <w:rsid w:val="4A863467"/>
    <w:rsid w:val="4AEC23A3"/>
    <w:rsid w:val="4D0C04AB"/>
    <w:rsid w:val="4F0022F6"/>
    <w:rsid w:val="4FB82BD0"/>
    <w:rsid w:val="500E27F0"/>
    <w:rsid w:val="50D61560"/>
    <w:rsid w:val="523F1387"/>
    <w:rsid w:val="530473CA"/>
    <w:rsid w:val="535B5D4C"/>
    <w:rsid w:val="539A3616"/>
    <w:rsid w:val="551E5CEB"/>
    <w:rsid w:val="55284354"/>
    <w:rsid w:val="564C1AF9"/>
    <w:rsid w:val="56521D3A"/>
    <w:rsid w:val="57867037"/>
    <w:rsid w:val="58DA37D1"/>
    <w:rsid w:val="5C0A11E2"/>
    <w:rsid w:val="5C252174"/>
    <w:rsid w:val="5E315C1A"/>
    <w:rsid w:val="60275934"/>
    <w:rsid w:val="61E04DA4"/>
    <w:rsid w:val="6230536B"/>
    <w:rsid w:val="628C5986"/>
    <w:rsid w:val="62A55DE6"/>
    <w:rsid w:val="643407A7"/>
    <w:rsid w:val="655A7348"/>
    <w:rsid w:val="684C1609"/>
    <w:rsid w:val="691E364C"/>
    <w:rsid w:val="69A006B2"/>
    <w:rsid w:val="6A044068"/>
    <w:rsid w:val="6AD14E1A"/>
    <w:rsid w:val="6B453112"/>
    <w:rsid w:val="6C832144"/>
    <w:rsid w:val="6CDD66BA"/>
    <w:rsid w:val="6D3F29A4"/>
    <w:rsid w:val="6E147762"/>
    <w:rsid w:val="6E423939"/>
    <w:rsid w:val="6E6C6C08"/>
    <w:rsid w:val="6F524050"/>
    <w:rsid w:val="6F800BBD"/>
    <w:rsid w:val="71B72890"/>
    <w:rsid w:val="72867D7E"/>
    <w:rsid w:val="72DB4EE8"/>
    <w:rsid w:val="73816CB2"/>
    <w:rsid w:val="77F1407E"/>
    <w:rsid w:val="797C1F3C"/>
    <w:rsid w:val="79B3410A"/>
    <w:rsid w:val="7B62386D"/>
    <w:rsid w:val="7B7B048A"/>
    <w:rsid w:val="7CB7465C"/>
    <w:rsid w:val="7CF95B0B"/>
    <w:rsid w:val="7E435D95"/>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val="0"/>
      <w:kern w:val="44"/>
      <w:sz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330" w:after="340"/>
      <w:jc w:val="center"/>
      <w:outlineLvl w:val="0"/>
    </w:pPr>
    <w:rPr>
      <w:b/>
      <w:bCs/>
      <w:sz w:val="32"/>
      <w:szCs w:val="32"/>
    </w:rPr>
  </w:style>
  <w:style w:type="paragraph" w:styleId="7">
    <w:name w:val="Normal Indent"/>
    <w:basedOn w:val="1"/>
    <w:next w:val="6"/>
    <w:qFormat/>
    <w:uiPriority w:val="0"/>
    <w:pPr>
      <w:spacing w:line="360" w:lineRule="auto"/>
      <w:ind w:firstLine="420" w:firstLineChars="200"/>
    </w:pPr>
    <w:rPr>
      <w:sz w:val="24"/>
    </w:rPr>
  </w:style>
  <w:style w:type="paragraph" w:styleId="8">
    <w:name w:val="annotation text"/>
    <w:basedOn w:val="1"/>
    <w:link w:val="52"/>
    <w:qFormat/>
    <w:uiPriority w:val="0"/>
    <w:pPr>
      <w:jc w:val="left"/>
    </w:pPr>
  </w:style>
  <w:style w:type="paragraph" w:styleId="9">
    <w:name w:val="Body Text"/>
    <w:basedOn w:val="1"/>
    <w:link w:val="43"/>
    <w:qFormat/>
    <w:uiPriority w:val="0"/>
    <w:rPr>
      <w:b/>
      <w:sz w:val="32"/>
      <w:szCs w:val="20"/>
    </w:rPr>
  </w:style>
  <w:style w:type="paragraph" w:styleId="10">
    <w:name w:val="Body Text Indent"/>
    <w:basedOn w:val="1"/>
    <w:qFormat/>
    <w:uiPriority w:val="0"/>
    <w:pPr>
      <w:spacing w:after="120"/>
      <w:ind w:left="420" w:leftChars="200"/>
    </w:pPr>
  </w:style>
  <w:style w:type="paragraph" w:styleId="11">
    <w:name w:val="Date"/>
    <w:basedOn w:val="1"/>
    <w:next w:val="1"/>
    <w:link w:val="42"/>
    <w:qFormat/>
    <w:uiPriority w:val="0"/>
    <w:pPr>
      <w:ind w:left="100" w:leftChars="2500"/>
    </w:pPr>
  </w:style>
  <w:style w:type="paragraph" w:styleId="12">
    <w:name w:val="Balloon Text"/>
    <w:basedOn w:val="1"/>
    <w:link w:val="54"/>
    <w:qFormat/>
    <w:uiPriority w:val="0"/>
    <w:rPr>
      <w:sz w:val="18"/>
      <w:szCs w:val="18"/>
    </w:rPr>
  </w:style>
  <w:style w:type="paragraph" w:styleId="13">
    <w:name w:val="footer"/>
    <w:basedOn w:val="1"/>
    <w:link w:val="40"/>
    <w:qFormat/>
    <w:uiPriority w:val="99"/>
    <w:pPr>
      <w:tabs>
        <w:tab w:val="center" w:pos="4153"/>
        <w:tab w:val="right" w:pos="8306"/>
      </w:tabs>
      <w:snapToGrid w:val="0"/>
      <w:jc w:val="left"/>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8"/>
    <w:next w:val="8"/>
    <w:link w:val="53"/>
    <w:qFormat/>
    <w:uiPriority w:val="0"/>
    <w:rPr>
      <w:b/>
      <w:bCs/>
    </w:rPr>
  </w:style>
  <w:style w:type="paragraph" w:styleId="16">
    <w:name w:val="Body Text First Indent 2"/>
    <w:basedOn w:val="10"/>
    <w:next w:val="1"/>
    <w:qFormat/>
    <w:uiPriority w:val="0"/>
    <w:pPr>
      <w:ind w:firstLine="420" w:firstLineChars="200"/>
    </w:p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报告正文"/>
    <w:basedOn w:val="1"/>
    <w:qFormat/>
    <w:uiPriority w:val="0"/>
    <w:pPr>
      <w:tabs>
        <w:tab w:val="left" w:pos="0"/>
      </w:tabs>
      <w:spacing w:line="360" w:lineRule="auto"/>
      <w:ind w:firstLine="420" w:firstLineChars="200"/>
    </w:pPr>
    <w:rPr>
      <w:color w:val="000000"/>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3"/>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9"/>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3"/>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1"/>
    <w:qFormat/>
    <w:uiPriority w:val="0"/>
    <w:rPr>
      <w:kern w:val="2"/>
      <w:sz w:val="21"/>
      <w:szCs w:val="24"/>
    </w:rPr>
  </w:style>
  <w:style w:type="character" w:customStyle="1" w:styleId="43">
    <w:name w:val="正文文本 字符"/>
    <w:link w:val="9"/>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8"/>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2"/>
    <w:qFormat/>
    <w:uiPriority w:val="0"/>
    <w:rPr>
      <w:kern w:val="2"/>
      <w:sz w:val="18"/>
      <w:szCs w:val="18"/>
    </w:rPr>
  </w:style>
  <w:style w:type="paragraph" w:styleId="55">
    <w:name w:val="List Paragraph"/>
    <w:basedOn w:val="1"/>
    <w:qFormat/>
    <w:uiPriority w:val="99"/>
    <w:pPr>
      <w:ind w:firstLine="420" w:firstLineChars="200"/>
    </w:pPr>
  </w:style>
  <w:style w:type="character" w:customStyle="1" w:styleId="5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2556</Words>
  <Characters>2745</Characters>
  <Lines>25</Lines>
  <Paragraphs>7</Paragraphs>
  <TotalTime>67</TotalTime>
  <ScaleCrop>false</ScaleCrop>
  <LinksUpToDate>false</LinksUpToDate>
  <CharactersWithSpaces>2827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2026-02-27T02:00:00Z</cp:lastPrinted>
  <dcterms:modified xsi:type="dcterms:W3CDTF">2026-03-02T02:25:57Z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F5E5CBCFD89E42E986F29738E96A5B63_13</vt:lpwstr>
  </property>
  <property fmtid="{D5CDD505-2E9C-101B-9397-08002B2CF9AE}" pid="4" name="KSOTemplateDocerSaveRecord">
    <vt:lpwstr>eyJoZGlkIjoiNjdkZjg3YzQyMDQ4ZWZkODQ0MmYzZDZjYmNhZDFiOTciLCJ1c2VySWQiOiI3NDI3NDE5MTUifQ==</vt:lpwstr>
  </property>
</Properties>
</file>