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EB69BE">
      <w:pPr>
        <w:pStyle w:val="33"/>
      </w:pPr>
      <w:r>
        <w:rPr>
          <w:rFonts w:hint="eastAsia"/>
        </w:rPr>
        <w:t>柳城县行政审批局文件</w:t>
      </w:r>
    </w:p>
    <w:p w14:paraId="1952C7F4">
      <w:pPr>
        <w:pStyle w:val="34"/>
        <w:spacing w:before="624"/>
        <w:rPr>
          <w:rFonts w:ascii="Times New Roman" w:hAnsi="Times New Roman" w:eastAsia="楷体_GB2312"/>
          <w:color w:val="000000"/>
          <w:sz w:val="32"/>
          <w:szCs w:val="32"/>
        </w:rPr>
      </w:pPr>
      <w:r>
        <w:rPr>
          <w:rFonts w:hint="eastAsia" w:ascii="Times New Roman" w:hAnsi="Times New Roman" w:eastAsia="仿宋_GB2312" w:cs="仿宋_GB2312"/>
        </w:rPr>
        <w:t>柳城审批项投审字</w:t>
      </w:r>
      <w:r>
        <w:rPr>
          <w:rFonts w:ascii="Times New Roman" w:hAnsi="Times New Roman" w:eastAsia="仿宋_GB2312"/>
        </w:rPr>
        <w:t>〔202</w:t>
      </w:r>
      <w:r>
        <w:rPr>
          <w:rFonts w:hint="eastAsia" w:ascii="Times New Roman" w:hAnsi="Times New Roman" w:eastAsia="仿宋_GB2312"/>
          <w:lang w:val="en-US" w:eastAsia="zh-CN"/>
        </w:rPr>
        <w:t>6</w:t>
      </w:r>
      <w:r>
        <w:rPr>
          <w:rFonts w:ascii="Times New Roman" w:hAnsi="Times New Roman" w:eastAsia="仿宋_GB2312"/>
        </w:rPr>
        <w:t>〕</w:t>
      </w:r>
      <w:r>
        <w:rPr>
          <w:rFonts w:hint="eastAsia" w:ascii="Times New Roman" w:hAnsi="Times New Roman" w:eastAsia="仿宋_GB2312"/>
          <w:lang w:val="en-US" w:eastAsia="zh-CN"/>
        </w:rPr>
        <w:t>2</w:t>
      </w:r>
      <w:r>
        <w:rPr>
          <w:rFonts w:ascii="Times New Roman" w:hAnsi="Times New Roman" w:eastAsia="仿宋_GB2312"/>
        </w:rPr>
        <w:t>号</w:t>
      </w:r>
    </w:p>
    <w:p w14:paraId="4BAC4154">
      <w:pPr>
        <w:spacing w:line="640" w:lineRule="exact"/>
        <w:rPr>
          <w:sz w:val="28"/>
          <w:szCs w:val="28"/>
        </w:rPr>
      </w:pPr>
      <w:r>
        <w:rPr>
          <w:rFonts w:eastAsia="黑体"/>
          <w:color w:val="FF0000"/>
          <w:sz w:val="96"/>
          <w:szCs w:val="20"/>
          <w:u w:val="single"/>
        </w:rPr>
        <w:t xml:space="preserve">                  </w:t>
      </w:r>
    </w:p>
    <w:p w14:paraId="717FA4FA">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hint="eastAsia" w:cs="宋体"/>
          <w:lang w:eastAsia="zh-CN"/>
        </w:rPr>
      </w:pPr>
      <w:r>
        <w:rPr>
          <w:rFonts w:hint="eastAsia" w:cs="宋体"/>
        </w:rPr>
        <w:t>关于</w:t>
      </w:r>
      <w:r>
        <w:rPr>
          <w:rFonts w:hint="eastAsia" w:cs="宋体"/>
          <w:lang w:eastAsia="zh-CN"/>
        </w:rPr>
        <w:t>广西柳州腾特建材有限公司</w:t>
      </w:r>
    </w:p>
    <w:p w14:paraId="2DE8D66E">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hint="eastAsia" w:cs="宋体"/>
        </w:rPr>
      </w:pPr>
      <w:r>
        <w:rPr>
          <w:rFonts w:hint="eastAsia" w:cs="宋体"/>
        </w:rPr>
        <w:t>广西柳州腾特建材有限公司机制砂生产项目</w:t>
      </w:r>
    </w:p>
    <w:p w14:paraId="7038CADE">
      <w:pPr>
        <w:pStyle w:val="35"/>
        <w:keepNext w:val="0"/>
        <w:keepLines w:val="0"/>
        <w:pageBreakBefore w:val="0"/>
        <w:widowControl w:val="0"/>
        <w:kinsoku/>
        <w:wordWrap/>
        <w:overflowPunct/>
        <w:topLinePunct w:val="0"/>
        <w:autoSpaceDE/>
        <w:autoSpaceDN/>
        <w:bidi w:val="0"/>
        <w:adjustRightInd/>
        <w:snapToGrid/>
        <w:spacing w:before="100" w:line="520" w:lineRule="exact"/>
        <w:jc w:val="center"/>
        <w:textAlignment w:val="auto"/>
        <w:rPr>
          <w:rFonts w:cs="宋体"/>
        </w:rPr>
      </w:pPr>
      <w:r>
        <w:rPr>
          <w:rFonts w:hint="eastAsia" w:cs="宋体"/>
        </w:rPr>
        <w:t>环境影响报告表的批复</w:t>
      </w:r>
    </w:p>
    <w:p w14:paraId="13A60381">
      <w:pPr>
        <w:pStyle w:val="36"/>
        <w:keepNext w:val="0"/>
        <w:keepLines w:val="0"/>
        <w:pageBreakBefore w:val="0"/>
        <w:widowControl w:val="0"/>
        <w:kinsoku/>
        <w:wordWrap/>
        <w:overflowPunct/>
        <w:topLinePunct w:val="0"/>
        <w:autoSpaceDE/>
        <w:autoSpaceDN/>
        <w:bidi w:val="0"/>
        <w:adjustRightInd/>
        <w:snapToGrid/>
        <w:spacing w:before="312" w:line="520" w:lineRule="exact"/>
        <w:textAlignment w:val="auto"/>
        <w:rPr>
          <w:rFonts w:ascii="Times New Roman" w:hAnsi="Times New Roman" w:eastAsia="仿宋_GB2312" w:cs="仿宋_GB2312"/>
          <w:color w:val="000000"/>
        </w:rPr>
      </w:pPr>
      <w:r>
        <w:rPr>
          <w:rFonts w:hint="eastAsia" w:ascii="Times New Roman" w:hAnsi="Times New Roman" w:eastAsia="仿宋_GB2312" w:cs="仿宋_GB2312"/>
          <w:color w:val="000000"/>
          <w:lang w:eastAsia="zh-CN"/>
        </w:rPr>
        <w:t>广西柳州腾特建材有限公司</w:t>
      </w:r>
      <w:r>
        <w:rPr>
          <w:rFonts w:hint="eastAsia" w:ascii="Times New Roman" w:hAnsi="Times New Roman" w:eastAsia="仿宋_GB2312" w:cs="仿宋_GB2312"/>
          <w:color w:val="000000"/>
        </w:rPr>
        <w:t>：</w:t>
      </w:r>
    </w:p>
    <w:p w14:paraId="7A8DB69B">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000000"/>
          <w:lang w:eastAsia="zh-CN"/>
        </w:rPr>
      </w:pPr>
      <w:r>
        <w:rPr>
          <w:rFonts w:hint="eastAsia" w:eastAsia="仿宋_GB2312" w:cs="仿宋_GB2312"/>
          <w:color w:val="000000"/>
        </w:rPr>
        <w:t>你公司报来《</w:t>
      </w:r>
      <w:r>
        <w:rPr>
          <w:rFonts w:hint="eastAsia" w:eastAsia="仿宋_GB2312" w:cs="仿宋_GB2312"/>
          <w:color w:val="000000"/>
          <w:lang w:eastAsia="zh-CN"/>
        </w:rPr>
        <w:t>广西柳州腾特建材有限公司机制砂生产项目</w:t>
      </w:r>
    </w:p>
    <w:p w14:paraId="34CB166F">
      <w:pPr>
        <w:pStyle w:val="37"/>
        <w:keepNext w:val="0"/>
        <w:keepLines w:val="0"/>
        <w:pageBreakBefore w:val="0"/>
        <w:widowControl w:val="0"/>
        <w:kinsoku/>
        <w:wordWrap/>
        <w:overflowPunct/>
        <w:topLinePunct w:val="0"/>
        <w:autoSpaceDE/>
        <w:autoSpaceDN/>
        <w:bidi w:val="0"/>
        <w:adjustRightInd/>
        <w:snapToGrid/>
        <w:spacing w:line="520" w:lineRule="exact"/>
        <w:ind w:left="0" w:leftChars="0" w:firstLine="0" w:firstLineChars="0"/>
        <w:textAlignment w:val="auto"/>
        <w:rPr>
          <w:rFonts w:eastAsia="仿宋_GB2312" w:cs="仿宋_GB2312"/>
          <w:color w:val="000000"/>
        </w:rPr>
      </w:pPr>
      <w:r>
        <w:rPr>
          <w:rFonts w:hint="eastAsia" w:eastAsia="仿宋_GB2312" w:cs="仿宋_GB2312"/>
          <w:color w:val="000000"/>
          <w:lang w:eastAsia="zh-CN"/>
        </w:rPr>
        <w:t>环境影响报告表</w:t>
      </w:r>
      <w:r>
        <w:rPr>
          <w:rFonts w:hint="eastAsia" w:eastAsia="仿宋_GB2312" w:cs="仿宋_GB2312"/>
          <w:color w:val="000000"/>
        </w:rPr>
        <w:t>》（以下简称《报告表》）收悉。经我局审核，现批复如下：</w:t>
      </w:r>
    </w:p>
    <w:p w14:paraId="0214F612">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rPr>
      </w:pPr>
      <w:r>
        <w:rPr>
          <w:rFonts w:hint="eastAsia" w:eastAsia="仿宋_GB2312" w:cs="仿宋_GB2312"/>
          <w:color w:val="000000"/>
        </w:rPr>
        <w:t>一、本项目为</w:t>
      </w:r>
      <w:r>
        <w:rPr>
          <w:rFonts w:hint="eastAsia" w:eastAsia="仿宋_GB2312" w:cs="仿宋_GB2312"/>
          <w:color w:val="000000"/>
          <w:lang w:val="en-US" w:eastAsia="zh-CN"/>
        </w:rPr>
        <w:t>新建</w:t>
      </w:r>
      <w:r>
        <w:rPr>
          <w:rFonts w:hint="eastAsia" w:eastAsia="仿宋_GB2312" w:cs="仿宋_GB2312"/>
          <w:color w:val="000000"/>
        </w:rPr>
        <w:t>工程，位于柳州市柳城县东泉镇走马村，</w:t>
      </w:r>
      <w:r>
        <w:rPr>
          <w:rFonts w:hint="eastAsia" w:eastAsia="仿宋_GB2312" w:cs="仿宋_GB2312"/>
        </w:rPr>
        <w:t>占地面积</w:t>
      </w:r>
      <w:r>
        <w:rPr>
          <w:rFonts w:hint="eastAsia" w:eastAsia="仿宋_GB2312" w:cs="仿宋_GB2312"/>
          <w:lang w:val="en-US" w:eastAsia="zh-CN"/>
        </w:rPr>
        <w:t>9555.24</w:t>
      </w:r>
      <w:r>
        <w:rPr>
          <w:rFonts w:hint="eastAsia" w:eastAsia="仿宋_GB2312" w:cs="仿宋_GB2312"/>
        </w:rPr>
        <w:t>平方米。建设规模：</w:t>
      </w:r>
      <w:r>
        <w:rPr>
          <w:rFonts w:hint="eastAsia" w:eastAsia="仿宋_GB2312" w:cs="仿宋_GB2312"/>
          <w:lang w:val="en-US" w:eastAsia="zh-CN"/>
        </w:rPr>
        <w:t>建设2条生产线，年产10万吨机制砂，项目不涉及酸洗工艺、不涉及物料烘干</w:t>
      </w:r>
      <w:r>
        <w:rPr>
          <w:rFonts w:hint="eastAsia" w:eastAsia="仿宋_GB2312" w:cs="仿宋_GB2312"/>
        </w:rPr>
        <w:t>。</w:t>
      </w:r>
    </w:p>
    <w:p w14:paraId="502DC679">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hint="default" w:eastAsia="仿宋_GB2312" w:cs="仿宋_GB2312"/>
          <w:lang w:val="en-US" w:eastAsia="zh-CN"/>
        </w:rPr>
      </w:pPr>
      <w:r>
        <w:rPr>
          <w:rFonts w:hint="eastAsia" w:eastAsia="仿宋_GB2312" w:cs="仿宋_GB2312"/>
        </w:rPr>
        <w:t>项目建设内容包括</w:t>
      </w:r>
      <w:r>
        <w:rPr>
          <w:rFonts w:hint="eastAsia" w:eastAsia="仿宋_GB2312" w:cs="仿宋_GB2312"/>
          <w:lang w:val="en-US" w:eastAsia="zh-CN"/>
        </w:rPr>
        <w:t>主体</w:t>
      </w:r>
      <w:r>
        <w:rPr>
          <w:rFonts w:hint="eastAsia" w:eastAsia="仿宋_GB2312" w:cs="仿宋_GB2312"/>
        </w:rPr>
        <w:t>工程</w:t>
      </w:r>
      <w:r>
        <w:rPr>
          <w:rFonts w:hint="eastAsia" w:eastAsia="仿宋_GB2312" w:cs="仿宋_GB2312"/>
          <w:lang w:eastAsia="zh-CN"/>
        </w:rPr>
        <w:t>（</w:t>
      </w:r>
      <w:r>
        <w:rPr>
          <w:rFonts w:hint="eastAsia" w:eastAsia="仿宋_GB2312" w:cs="仿宋_GB2312"/>
          <w:lang w:val="en-US" w:eastAsia="zh-CN"/>
        </w:rPr>
        <w:t>1#生产车间、2#生产车间均占地2000平方米）</w:t>
      </w:r>
      <w:r>
        <w:rPr>
          <w:rFonts w:hint="eastAsia" w:eastAsia="仿宋_GB2312" w:cs="仿宋_GB2312"/>
          <w:lang w:eastAsia="zh-CN"/>
        </w:rPr>
        <w:t>；</w:t>
      </w:r>
      <w:r>
        <w:rPr>
          <w:rFonts w:hint="eastAsia" w:eastAsia="仿宋_GB2312" w:cs="仿宋_GB2312"/>
          <w:lang w:val="en-US" w:eastAsia="zh-CN"/>
        </w:rPr>
        <w:t>储运工程（1个15</w:t>
      </w:r>
      <w:r>
        <w:rPr>
          <w:rFonts w:hint="eastAsia"/>
          <w:color w:val="auto"/>
          <w:highlight w:val="none"/>
          <w:lang w:val="en-US" w:eastAsia="zh-CN"/>
        </w:rPr>
        <w:t>00</w:t>
      </w:r>
      <w:r>
        <w:rPr>
          <w:rFonts w:hint="eastAsia" w:eastAsia="仿宋_GB2312" w:cs="仿宋_GB2312"/>
          <w:lang w:val="en-US" w:eastAsia="zh-CN"/>
        </w:rPr>
        <w:t>平方米的原料堆场、1个1000平方米的产品堆场1、1个1500平方米的产品堆场2）；环保工程（1根15米排气筒、1套脉冲式布袋除尘器、1个容积为150立方米的三级沉淀池、1个20平方米一般固体废物暂存间、1个20平方米危险废物暂存间等）、公用工程（供水、排水、供电等）；</w:t>
      </w:r>
      <w:r>
        <w:rPr>
          <w:rFonts w:hint="eastAsia" w:eastAsia="仿宋_GB2312" w:cs="仿宋_GB2312"/>
          <w:color w:val="auto"/>
          <w:lang w:val="en-US" w:eastAsia="zh-CN"/>
        </w:rPr>
        <w:t>详见《报告表》。</w:t>
      </w:r>
    </w:p>
    <w:p w14:paraId="4BC08BC1">
      <w:pPr>
        <w:pStyle w:val="37"/>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rPr>
      </w:pPr>
      <w:r>
        <w:rPr>
          <w:rFonts w:hint="eastAsia" w:eastAsia="仿宋_GB2312" w:cs="仿宋_GB2312"/>
        </w:rPr>
        <w:t>项目不涉及自然保护区、饮用水源保护区、文物保护单位、</w:t>
      </w:r>
      <w:r>
        <w:rPr>
          <w:rFonts w:hint="eastAsia" w:eastAsia="仿宋_GB2312" w:cs="仿宋_GB2312"/>
          <w:lang w:val="en-US" w:eastAsia="zh-CN"/>
        </w:rPr>
        <w:t>地质公园、风景名胜区、基本农田等特殊保护对象。项目总投资1600.00万元</w:t>
      </w:r>
      <w:r>
        <w:rPr>
          <w:rFonts w:hint="eastAsia" w:eastAsia="仿宋_GB2312" w:cs="仿宋_GB2312"/>
        </w:rPr>
        <w:t>，其中环保投资</w:t>
      </w:r>
      <w:r>
        <w:rPr>
          <w:rFonts w:hint="eastAsia" w:eastAsia="仿宋_GB2312" w:cs="仿宋_GB2312"/>
          <w:lang w:val="en-US" w:eastAsia="zh-CN"/>
        </w:rPr>
        <w:t>35</w:t>
      </w:r>
      <w:r>
        <w:rPr>
          <w:rFonts w:hint="eastAsia" w:eastAsia="仿宋_GB2312" w:cs="仿宋_GB2312"/>
        </w:rPr>
        <w:t>.0</w:t>
      </w:r>
      <w:r>
        <w:rPr>
          <w:rFonts w:hint="eastAsia" w:eastAsia="仿宋_GB2312" w:cs="仿宋_GB2312"/>
          <w:lang w:val="en-US" w:eastAsia="zh-CN"/>
        </w:rPr>
        <w:t>0</w:t>
      </w:r>
      <w:r>
        <w:rPr>
          <w:rFonts w:hint="eastAsia" w:eastAsia="仿宋_GB2312" w:cs="仿宋_GB2312"/>
        </w:rPr>
        <w:t>万元</w:t>
      </w:r>
      <w:r>
        <w:rPr>
          <w:rFonts w:hint="eastAsia" w:eastAsia="仿宋_GB2312" w:cs="仿宋_GB2312"/>
          <w:lang w:eastAsia="zh-CN"/>
        </w:rPr>
        <w:t>，</w:t>
      </w:r>
      <w:r>
        <w:rPr>
          <w:rFonts w:hint="eastAsia" w:eastAsia="仿宋_GB2312" w:cs="仿宋_GB2312"/>
          <w:lang w:val="en-US" w:eastAsia="zh-CN"/>
        </w:rPr>
        <w:t>占比2.19%</w:t>
      </w:r>
      <w:r>
        <w:rPr>
          <w:rFonts w:hint="eastAsia" w:eastAsia="仿宋_GB2312" w:cs="仿宋_GB2312"/>
        </w:rPr>
        <w:t>。</w:t>
      </w:r>
    </w:p>
    <w:p w14:paraId="6F8B22EF">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项目已获得广西壮族自治区投资项目备案证明。从环境影响角度考虑，同意你公司按照《报告表》所列的建设项目的地点、性质、规模、采取的环境保护对策措施及下述要求进行项目建设。</w:t>
      </w:r>
    </w:p>
    <w:p w14:paraId="2F772932">
      <w:pPr>
        <w:keepNext w:val="0"/>
        <w:keepLines w:val="0"/>
        <w:pageBreakBefore w:val="0"/>
        <w:widowControl w:val="0"/>
        <w:kinsoku/>
        <w:wordWrap/>
        <w:overflowPunct/>
        <w:topLinePunct w:val="0"/>
        <w:autoSpaceDE/>
        <w:autoSpaceDN/>
        <w:bidi w:val="0"/>
        <w:adjustRightInd/>
        <w:snapToGrid/>
        <w:spacing w:line="520" w:lineRule="exact"/>
        <w:ind w:firstLine="640" w:firstLineChars="200"/>
        <w:textAlignment w:val="auto"/>
        <w:rPr>
          <w:rFonts w:eastAsia="仿宋_GB2312" w:cs="仿宋_GB2312"/>
          <w:sz w:val="32"/>
          <w:szCs w:val="32"/>
        </w:rPr>
      </w:pPr>
      <w:r>
        <w:rPr>
          <w:rFonts w:hint="eastAsia" w:eastAsia="仿宋_GB2312" w:cs="仿宋_GB2312"/>
          <w:sz w:val="32"/>
          <w:szCs w:val="32"/>
        </w:rPr>
        <w:t>二、项目须落实《报告表》提出的各项环保要求，重点抓好以下环保工作：</w:t>
      </w:r>
    </w:p>
    <w:p w14:paraId="5055FCCE">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jc w:val="distribute"/>
        <w:textAlignment w:val="auto"/>
        <w:rPr>
          <w:rFonts w:eastAsia="仿宋_GB2312" w:cs="仿宋_GB2312"/>
          <w:sz w:val="32"/>
          <w:szCs w:val="32"/>
        </w:rPr>
      </w:pPr>
      <w:r>
        <w:rPr>
          <w:rFonts w:hint="eastAsia" w:eastAsia="仿宋_GB2312" w:cs="仿宋_GB2312"/>
          <w:sz w:val="32"/>
          <w:szCs w:val="32"/>
        </w:rPr>
        <w:t>项目</w:t>
      </w:r>
      <w:r>
        <w:rPr>
          <w:rFonts w:hint="eastAsia" w:eastAsia="仿宋_GB2312" w:cs="仿宋_GB2312"/>
          <w:sz w:val="32"/>
          <w:szCs w:val="32"/>
          <w:lang w:val="en-US" w:eastAsia="zh-CN"/>
        </w:rPr>
        <w:t>粗破、筛分、制砂工序产生的废气经负压收集后通过脉冲式布袋除尘器处理，经1</w:t>
      </w:r>
      <w:r>
        <w:rPr>
          <w:rFonts w:hint="eastAsia" w:eastAsia="仿宋_GB2312" w:cs="仿宋_GB2312"/>
          <w:sz w:val="32"/>
          <w:szCs w:val="32"/>
        </w:rPr>
        <w:t>根</w:t>
      </w:r>
      <w:r>
        <w:rPr>
          <w:rFonts w:hint="eastAsia" w:eastAsia="仿宋_GB2312" w:cs="仿宋_GB2312"/>
          <w:sz w:val="32"/>
          <w:szCs w:val="32"/>
          <w:lang w:val="en-US" w:eastAsia="zh-CN"/>
        </w:rPr>
        <w:t>15</w:t>
      </w:r>
      <w:r>
        <w:rPr>
          <w:rFonts w:hint="eastAsia" w:eastAsia="仿宋_GB2312" w:cs="仿宋_GB2312"/>
          <w:sz w:val="32"/>
          <w:szCs w:val="32"/>
        </w:rPr>
        <w:t>米高排气筒（DA00</w:t>
      </w:r>
      <w:r>
        <w:rPr>
          <w:rFonts w:hint="eastAsia" w:eastAsia="仿宋_GB2312" w:cs="仿宋_GB2312"/>
          <w:sz w:val="32"/>
          <w:szCs w:val="32"/>
          <w:lang w:val="en-US" w:eastAsia="zh-CN"/>
        </w:rPr>
        <w:t>1</w:t>
      </w:r>
      <w:r>
        <w:rPr>
          <w:rFonts w:hint="eastAsia" w:eastAsia="仿宋_GB2312" w:cs="仿宋_GB2312"/>
          <w:sz w:val="32"/>
          <w:szCs w:val="32"/>
        </w:rPr>
        <w:t>）排放，须确保有组织外排的颗粒物</w:t>
      </w:r>
      <w:r>
        <w:rPr>
          <w:rFonts w:hint="eastAsia" w:eastAsia="仿宋_GB2312" w:cs="仿宋_GB2312"/>
          <w:sz w:val="32"/>
          <w:szCs w:val="32"/>
          <w:lang w:val="en-US" w:eastAsia="zh-CN"/>
        </w:rPr>
        <w:t>的</w:t>
      </w:r>
      <w:r>
        <w:rPr>
          <w:rFonts w:hint="eastAsia" w:eastAsia="仿宋_GB2312" w:cs="仿宋_GB2312"/>
          <w:sz w:val="32"/>
          <w:szCs w:val="32"/>
        </w:rPr>
        <w:t>排放浓度能够达</w:t>
      </w:r>
    </w:p>
    <w:p w14:paraId="43A9BA9F">
      <w:pPr>
        <w:pStyle w:val="55"/>
        <w:keepNext w:val="0"/>
        <w:keepLines w:val="0"/>
        <w:pageBreakBefore w:val="0"/>
        <w:widowControl w:val="0"/>
        <w:numPr>
          <w:numId w:val="0"/>
        </w:numPr>
        <w:kinsoku/>
        <w:wordWrap/>
        <w:overflowPunct/>
        <w:topLinePunct w:val="0"/>
        <w:autoSpaceDE/>
        <w:autoSpaceDN/>
        <w:bidi w:val="0"/>
        <w:adjustRightInd/>
        <w:snapToGrid/>
        <w:spacing w:line="520" w:lineRule="exact"/>
        <w:textAlignment w:val="auto"/>
        <w:rPr>
          <w:rFonts w:eastAsia="仿宋_GB2312" w:cs="仿宋_GB2312"/>
          <w:sz w:val="32"/>
          <w:szCs w:val="32"/>
        </w:rPr>
      </w:pPr>
      <w:r>
        <w:rPr>
          <w:rFonts w:hint="eastAsia" w:eastAsia="仿宋_GB2312" w:cs="仿宋_GB2312"/>
          <w:sz w:val="32"/>
          <w:szCs w:val="32"/>
        </w:rPr>
        <w:t>到GB 16297-1996《大气污染物综合排放标准》</w:t>
      </w:r>
      <w:r>
        <w:rPr>
          <w:rFonts w:hint="eastAsia" w:eastAsia="仿宋_GB2312" w:cs="仿宋_GB2312"/>
          <w:color w:val="000000"/>
          <w:sz w:val="32"/>
          <w:szCs w:val="32"/>
        </w:rPr>
        <w:t>表2新污染源大气污染物排放限值二级排放标准要求。</w:t>
      </w:r>
    </w:p>
    <w:p w14:paraId="03549E54">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eastAsia="仿宋_GB2312" w:cs="仿宋_GB2312"/>
          <w:color w:val="000000"/>
          <w:sz w:val="32"/>
          <w:szCs w:val="32"/>
        </w:rPr>
      </w:pPr>
      <w:r>
        <w:rPr>
          <w:rFonts w:hint="eastAsia" w:eastAsia="仿宋_GB2312" w:cs="仿宋_GB2312"/>
          <w:color w:val="000000" w:themeColor="text1"/>
          <w:sz w:val="32"/>
          <w:szCs w:val="32"/>
          <w14:textFill>
            <w14:solidFill>
              <w14:schemeClr w14:val="tx1"/>
            </w14:solidFill>
          </w14:textFill>
        </w:rPr>
        <w:t>项目</w:t>
      </w:r>
      <w:r>
        <w:rPr>
          <w:rFonts w:hint="eastAsia" w:eastAsia="仿宋_GB2312" w:cs="仿宋_GB2312"/>
          <w:color w:val="000000" w:themeColor="text1"/>
          <w:sz w:val="32"/>
          <w:szCs w:val="32"/>
          <w:lang w:val="en-US" w:eastAsia="zh-CN"/>
          <w14:textFill>
            <w14:solidFill>
              <w14:schemeClr w14:val="tx1"/>
            </w14:solidFill>
          </w14:textFill>
        </w:rPr>
        <w:t>原料堆场、</w:t>
      </w:r>
      <w:r>
        <w:rPr>
          <w:rFonts w:hint="eastAsia" w:eastAsia="仿宋_GB2312" w:cs="仿宋_GB2312"/>
          <w:sz w:val="32"/>
          <w:szCs w:val="32"/>
          <w:lang w:val="en-US" w:eastAsia="zh-CN"/>
        </w:rPr>
        <w:t>装卸工序、运输工序均</w:t>
      </w:r>
      <w:r>
        <w:rPr>
          <w:rFonts w:hint="eastAsia" w:ascii="Times New Roman" w:hAnsi="Times New Roman" w:eastAsia="仿宋_GB2312" w:cs="仿宋_GB2312"/>
          <w:sz w:val="32"/>
          <w:szCs w:val="32"/>
          <w:lang w:val="en-US" w:eastAsia="zh-CN"/>
        </w:rPr>
        <w:t>设在</w:t>
      </w:r>
      <w:r>
        <w:rPr>
          <w:rFonts w:hint="eastAsia" w:eastAsia="仿宋_GB2312" w:cs="仿宋_GB2312"/>
          <w:sz w:val="32"/>
          <w:szCs w:val="32"/>
          <w:lang w:val="en-US" w:eastAsia="zh-CN"/>
        </w:rPr>
        <w:t>厂房</w:t>
      </w:r>
      <w:r>
        <w:rPr>
          <w:rFonts w:hint="eastAsia" w:ascii="Times New Roman" w:hAnsi="Times New Roman" w:eastAsia="仿宋_GB2312" w:cs="仿宋_GB2312"/>
          <w:sz w:val="32"/>
          <w:szCs w:val="32"/>
          <w:lang w:val="en-US" w:eastAsia="zh-CN"/>
        </w:rPr>
        <w:t>内</w:t>
      </w:r>
      <w:r>
        <w:rPr>
          <w:rFonts w:hint="eastAsia" w:eastAsia="仿宋_GB2312" w:cs="仿宋_GB2312"/>
          <w:sz w:val="32"/>
          <w:szCs w:val="32"/>
          <w:lang w:val="en-US" w:eastAsia="zh-CN"/>
        </w:rPr>
        <w:t>，须采用</w:t>
      </w:r>
      <w:r>
        <w:rPr>
          <w:rFonts w:hint="eastAsia" w:ascii="Times New Roman" w:hAnsi="Times New Roman" w:eastAsia="仿宋_GB2312" w:cs="仿宋_GB2312"/>
          <w:sz w:val="32"/>
          <w:szCs w:val="32"/>
          <w:lang w:val="en-US" w:eastAsia="zh-CN"/>
        </w:rPr>
        <w:t>密闭的</w:t>
      </w:r>
      <w:r>
        <w:rPr>
          <w:rFonts w:hint="eastAsia" w:eastAsia="仿宋_GB2312" w:cs="仿宋_GB2312"/>
          <w:sz w:val="32"/>
          <w:szCs w:val="32"/>
          <w:lang w:val="en-US" w:eastAsia="zh-CN"/>
        </w:rPr>
        <w:t>输送设备、产品堆场加盖</w:t>
      </w:r>
      <w:bookmarkStart w:id="0" w:name="_GoBack"/>
      <w:bookmarkEnd w:id="0"/>
      <w:r>
        <w:rPr>
          <w:rFonts w:hint="eastAsia" w:eastAsia="仿宋_GB2312" w:cs="仿宋_GB2312"/>
          <w:sz w:val="32"/>
          <w:szCs w:val="32"/>
          <w:lang w:val="en-US" w:eastAsia="zh-CN"/>
        </w:rPr>
        <w:t>编织布、降低卸料高度、各工序设置洒水设备喷淋</w:t>
      </w:r>
      <w:r>
        <w:rPr>
          <w:rFonts w:hint="eastAsia" w:ascii="Times New Roman" w:hAnsi="Times New Roman" w:eastAsia="仿宋_GB2312" w:cs="仿宋_GB2312"/>
          <w:sz w:val="32"/>
          <w:szCs w:val="32"/>
          <w:lang w:val="en-US" w:eastAsia="zh-CN"/>
        </w:rPr>
        <w:t>等抑尘措施，</w:t>
      </w:r>
      <w:r>
        <w:rPr>
          <w:rFonts w:hint="eastAsia" w:eastAsia="仿宋_GB2312" w:cs="仿宋_GB2312"/>
          <w:sz w:val="32"/>
          <w:szCs w:val="32"/>
          <w:lang w:val="en-US" w:eastAsia="zh-CN"/>
        </w:rPr>
        <w:t>以上工序</w:t>
      </w:r>
      <w:r>
        <w:rPr>
          <w:rFonts w:hint="eastAsia" w:ascii="Times New Roman" w:hAnsi="Times New Roman" w:eastAsia="仿宋_GB2312" w:cs="仿宋_GB2312"/>
          <w:sz w:val="32"/>
          <w:szCs w:val="32"/>
          <w:lang w:val="en-US" w:eastAsia="zh-CN"/>
        </w:rPr>
        <w:t>产生的废气无组织排放，须确保厂界颗粒物排放浓度达到GB 16297-1996《大气污染物综合排放标准》中表2新污染源大气污染物排放限值中无组织排放监控浓度限值要求</w:t>
      </w:r>
      <w:r>
        <w:rPr>
          <w:rFonts w:hint="eastAsia" w:eastAsia="仿宋_GB2312" w:cs="仿宋_GB2312"/>
          <w:color w:val="000000" w:themeColor="text1"/>
          <w:sz w:val="32"/>
          <w:szCs w:val="32"/>
          <w:lang w:val="en-US" w:eastAsia="zh-CN"/>
          <w14:textFill>
            <w14:solidFill>
              <w14:schemeClr w14:val="tx1"/>
            </w14:solidFill>
          </w14:textFill>
        </w:rPr>
        <w:t>。</w:t>
      </w:r>
    </w:p>
    <w:p w14:paraId="14DA378E">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sz w:val="32"/>
          <w:szCs w:val="32"/>
        </w:rPr>
        <w:t>项目</w:t>
      </w:r>
      <w:r>
        <w:rPr>
          <w:rFonts w:hint="eastAsia" w:eastAsia="仿宋_GB2312" w:cs="仿宋_GB2312"/>
          <w:color w:val="000000"/>
          <w:sz w:val="32"/>
          <w:szCs w:val="32"/>
          <w:lang w:val="en-US" w:eastAsia="zh-CN"/>
        </w:rPr>
        <w:t>初期雨水与洗砂用水一同排入三级沉淀池，经沉淀后回用于生产，不得外排</w:t>
      </w:r>
      <w:r>
        <w:rPr>
          <w:rFonts w:hint="eastAsia" w:eastAsia="仿宋_GB2312" w:cs="仿宋_GB2312"/>
          <w:color w:val="000000" w:themeColor="text1"/>
          <w:sz w:val="32"/>
          <w:szCs w:val="32"/>
          <w:lang w:val="en-US" w:eastAsia="zh-CN"/>
          <w14:textFill>
            <w14:solidFill>
              <w14:schemeClr w14:val="tx1"/>
            </w14:solidFill>
          </w14:textFill>
        </w:rPr>
        <w:t>；项目生活污水经化粪池处理后用于周边环境施肥。</w:t>
      </w:r>
    </w:p>
    <w:p w14:paraId="142E1DAA">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优化总平面布置，选择低噪先进的设备。对噪声源较大的振动给料机、破碎机、打砂机、振动筛分机、洗砂机、输送机、风机、压滤机、抽水机等高噪声设备采取消声、减振措施后，确保厂界噪声达到GB 12348-2008《工业企业厂界环境噪声排放标准》2类标准要求。</w:t>
      </w:r>
    </w:p>
    <w:p w14:paraId="41F8E55B">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jc w:val="distribute"/>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做好一般固体废物的综合利用和妥善处置工作。布袋除尘器收集的粉尘、三级沉淀池沉渣、沉降过程收集的粉尘集中收集后外售处置；生活垃圾由环卫部门定期清运处理。须</w:t>
      </w:r>
    </w:p>
    <w:p w14:paraId="7BB82DA3">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eastAsia="仿宋_GB2312" w:cs="仿宋_GB2312"/>
          <w:color w:val="000000" w:themeColor="text1"/>
          <w:sz w:val="32"/>
          <w:szCs w:val="32"/>
          <w:lang w:val="en-US" w:eastAsia="zh-CN"/>
          <w14:textFill>
            <w14:solidFill>
              <w14:schemeClr w14:val="tx1"/>
            </w14:solidFill>
          </w14:textFill>
        </w:rPr>
      </w:pPr>
      <w:r>
        <w:rPr>
          <w:rFonts w:hint="eastAsia" w:eastAsia="仿宋_GB2312" w:cs="仿宋_GB2312"/>
          <w:color w:val="000000" w:themeColor="text1"/>
          <w:sz w:val="32"/>
          <w:szCs w:val="32"/>
          <w:lang w:val="en-US" w:eastAsia="zh-CN"/>
          <w14:textFill>
            <w14:solidFill>
              <w14:schemeClr w14:val="tx1"/>
            </w14:solidFill>
          </w14:textFill>
        </w:rPr>
        <w:t>按GB 18599-2020《一般工业固体废物贮存和填埋污染控制标准》要求，建设规范的一般固体废物贮存设施。</w:t>
      </w:r>
    </w:p>
    <w:p w14:paraId="1F16900F">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eastAsia="仿宋_GB2312" w:cs="仿宋_GB2312"/>
          <w:color w:val="000000"/>
          <w:sz w:val="32"/>
          <w:szCs w:val="32"/>
        </w:rPr>
      </w:pPr>
      <w:r>
        <w:rPr>
          <w:rFonts w:hint="eastAsia" w:eastAsia="仿宋_GB2312" w:cs="仿宋_GB2312"/>
          <w:color w:val="000000"/>
          <w:sz w:val="32"/>
          <w:szCs w:val="32"/>
        </w:rPr>
        <w:t>须按GB</w:t>
      </w:r>
      <w:r>
        <w:rPr>
          <w:rFonts w:hint="eastAsia" w:eastAsia="仿宋_GB2312" w:cs="仿宋_GB2312"/>
          <w:color w:val="000000"/>
          <w:sz w:val="32"/>
          <w:szCs w:val="32"/>
          <w:lang w:val="en-US" w:eastAsia="zh-CN"/>
        </w:rPr>
        <w:t xml:space="preserve"> </w:t>
      </w:r>
      <w:r>
        <w:rPr>
          <w:rFonts w:hint="eastAsia" w:eastAsia="仿宋_GB2312" w:cs="仿宋_GB2312"/>
          <w:color w:val="000000"/>
          <w:sz w:val="32"/>
          <w:szCs w:val="32"/>
        </w:rPr>
        <w:t>18597-2023《危险废物贮存污染控制标准》及其修改单的要求，建设规范的</w:t>
      </w:r>
      <w:r>
        <w:rPr>
          <w:rFonts w:hint="eastAsia" w:eastAsia="仿宋_GB2312" w:cs="仿宋_GB2312"/>
          <w:color w:val="000000"/>
          <w:sz w:val="32"/>
          <w:szCs w:val="32"/>
          <w:lang w:val="en-US" w:eastAsia="zh-CN"/>
        </w:rPr>
        <w:t>废含油抹布和手套、废润滑油和废润滑油桶</w:t>
      </w:r>
      <w:r>
        <w:rPr>
          <w:rFonts w:hint="eastAsia" w:eastAsia="仿宋_GB2312" w:cs="仿宋_GB2312"/>
          <w:color w:val="000000"/>
          <w:sz w:val="32"/>
          <w:szCs w:val="32"/>
        </w:rPr>
        <w:t>的收集临时存放设施，并设立明显的危废标志，危险废物须定期收集并交由有危险废物处置资质的单位按规定处理、处置，不得随意堆放、擅自外排。做好危险废物处置及转移联单的台</w:t>
      </w:r>
      <w:r>
        <w:rPr>
          <w:rFonts w:hint="eastAsia" w:eastAsia="仿宋_GB2312" w:cs="仿宋_GB2312"/>
          <w:color w:val="000000"/>
          <w:sz w:val="32"/>
          <w:szCs w:val="32"/>
          <w:lang w:val="en-US" w:eastAsia="zh-CN"/>
        </w:rPr>
        <w:t>账</w:t>
      </w:r>
      <w:r>
        <w:rPr>
          <w:rFonts w:hint="eastAsia" w:eastAsia="仿宋_GB2312" w:cs="仿宋_GB2312"/>
          <w:color w:val="000000"/>
          <w:sz w:val="32"/>
          <w:szCs w:val="32"/>
        </w:rPr>
        <w:t>记录。</w:t>
      </w:r>
    </w:p>
    <w:p w14:paraId="37ACA3A7">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jc w:val="distribute"/>
        <w:textAlignment w:val="auto"/>
        <w:rPr>
          <w:rFonts w:hint="eastAsia" w:eastAsia="仿宋_GB2312" w:cs="仿宋_GB2312"/>
          <w:color w:val="000000"/>
          <w:sz w:val="32"/>
          <w:szCs w:val="32"/>
          <w:lang w:val="en-US" w:eastAsia="zh-CN"/>
        </w:rPr>
      </w:pPr>
      <w:r>
        <w:rPr>
          <w:rFonts w:hint="eastAsia" w:ascii="Times New Roman" w:hAnsi="Times New Roman" w:eastAsia="仿宋_GB2312" w:cs="仿宋_GB2312"/>
          <w:color w:val="000000"/>
          <w:sz w:val="32"/>
          <w:szCs w:val="32"/>
        </w:rPr>
        <w:t>按分区防渗原则落实各项防渗措施。</w:t>
      </w:r>
      <w:r>
        <w:rPr>
          <w:rFonts w:hint="eastAsia" w:ascii="Times New Roman" w:hAnsi="Times New Roman" w:eastAsia="仿宋_GB2312" w:cs="仿宋_GB2312"/>
          <w:color w:val="000000"/>
          <w:sz w:val="32"/>
          <w:szCs w:val="32"/>
          <w:lang w:val="en-US" w:eastAsia="zh-CN"/>
        </w:rPr>
        <w:t>参</w:t>
      </w:r>
    </w:p>
    <w:p w14:paraId="5A28F8A3">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textAlignment w:val="auto"/>
        <w:rPr>
          <w:rFonts w:hint="eastAsia" w:eastAsia="仿宋_GB2312" w:cs="仿宋_GB2312"/>
          <w:color w:val="000000"/>
          <w:sz w:val="32"/>
          <w:szCs w:val="32"/>
          <w:lang w:val="en-US" w:eastAsia="zh-CN"/>
        </w:rPr>
      </w:pPr>
      <w:r>
        <w:rPr>
          <w:rFonts w:hint="eastAsia" w:ascii="Times New Roman" w:hAnsi="Times New Roman" w:eastAsia="仿宋_GB2312" w:cs="仿宋_GB2312"/>
          <w:color w:val="000000"/>
          <w:sz w:val="32"/>
          <w:szCs w:val="32"/>
          <w:lang w:val="en-US" w:eastAsia="zh-CN"/>
        </w:rPr>
        <w:t>照</w:t>
      </w:r>
      <w:r>
        <w:rPr>
          <w:rFonts w:hint="eastAsia" w:ascii="Times New Roman" w:hAnsi="Times New Roman" w:eastAsia="仿宋_GB2312" w:cs="仿宋_GB2312"/>
          <w:color w:val="000000"/>
          <w:sz w:val="32"/>
          <w:szCs w:val="32"/>
        </w:rPr>
        <w:t>HJ 610</w:t>
      </w:r>
      <w:r>
        <w:rPr>
          <w:rFonts w:hint="eastAsia"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rPr>
        <w:t>2016</w:t>
      </w:r>
      <w:r>
        <w:rPr>
          <w:rFonts w:hint="eastAsia" w:ascii="Times New Roman" w:hAnsi="Times New Roman" w:eastAsia="仿宋_GB2312" w:cs="仿宋_GB2312"/>
          <w:color w:val="000000"/>
          <w:sz w:val="32"/>
          <w:szCs w:val="32"/>
          <w:lang w:eastAsia="zh-CN"/>
        </w:rPr>
        <w:t>《环境影响评价技术导则</w:t>
      </w:r>
      <w:r>
        <w:rPr>
          <w:rFonts w:hint="eastAsia" w:ascii="Times New Roman" w:hAnsi="Times New Roman" w:eastAsia="仿宋_GB2312" w:cs="仿宋_GB2312"/>
          <w:color w:val="000000"/>
          <w:sz w:val="32"/>
          <w:szCs w:val="32"/>
          <w:lang w:val="en-US" w:eastAsia="zh-CN"/>
        </w:rPr>
        <w:t xml:space="preserve"> </w:t>
      </w:r>
      <w:r>
        <w:rPr>
          <w:rFonts w:hint="eastAsia" w:ascii="Times New Roman" w:hAnsi="Times New Roman" w:eastAsia="仿宋_GB2312" w:cs="仿宋_GB2312"/>
          <w:color w:val="000000"/>
          <w:sz w:val="32"/>
          <w:szCs w:val="32"/>
          <w:lang w:eastAsia="zh-CN"/>
        </w:rPr>
        <w:t>地下水环境》</w:t>
      </w:r>
      <w:r>
        <w:rPr>
          <w:rFonts w:hint="eastAsia" w:ascii="Times New Roman" w:hAnsi="Times New Roman" w:eastAsia="仿宋_GB2312" w:cs="仿宋_GB2312"/>
          <w:color w:val="000000"/>
          <w:sz w:val="32"/>
          <w:szCs w:val="32"/>
          <w:lang w:val="en-US" w:eastAsia="zh-CN"/>
        </w:rPr>
        <w:t>中建设项目污染防控对策要求和GB 18597-2023《危险废物贮存污染控制标准》中贮存设施污染控制要求，须对工艺、管道、设备、</w:t>
      </w:r>
      <w:r>
        <w:rPr>
          <w:rFonts w:hint="eastAsia" w:eastAsia="仿宋_GB2312" w:cs="仿宋_GB2312"/>
          <w:color w:val="000000"/>
          <w:sz w:val="32"/>
          <w:szCs w:val="32"/>
          <w:lang w:val="en-US" w:eastAsia="zh-CN"/>
        </w:rPr>
        <w:t>设施</w:t>
      </w:r>
      <w:r>
        <w:rPr>
          <w:rFonts w:hint="eastAsia" w:ascii="Times New Roman" w:hAnsi="Times New Roman" w:eastAsia="仿宋_GB2312" w:cs="仿宋_GB2312"/>
          <w:color w:val="000000"/>
          <w:sz w:val="32"/>
          <w:szCs w:val="32"/>
          <w:lang w:val="en-US" w:eastAsia="zh-CN"/>
        </w:rPr>
        <w:t>采取污染防控措施，将污染物跑、冒、滴、漏降到最低限度；</w:t>
      </w:r>
      <w:r>
        <w:rPr>
          <w:rFonts w:hint="eastAsia" w:ascii="Times New Roman" w:hAnsi="Times New Roman" w:eastAsia="仿宋_GB2312" w:cs="仿宋_GB2312"/>
          <w:color w:val="000000"/>
          <w:sz w:val="32"/>
          <w:szCs w:val="32"/>
        </w:rPr>
        <w:t>须对危险废物暂存间</w:t>
      </w:r>
      <w:r>
        <w:rPr>
          <w:rFonts w:hint="eastAsia" w:ascii="Times New Roman" w:hAnsi="Times New Roman" w:eastAsia="仿宋_GB2312" w:cs="仿宋_GB2312"/>
          <w:color w:val="000000"/>
          <w:sz w:val="32"/>
          <w:szCs w:val="32"/>
          <w:lang w:val="en-US" w:eastAsia="zh-CN"/>
        </w:rPr>
        <w:t>等区域</w:t>
      </w:r>
      <w:r>
        <w:rPr>
          <w:rFonts w:hint="eastAsia" w:ascii="Times New Roman" w:hAnsi="Times New Roman" w:eastAsia="仿宋_GB2312" w:cs="仿宋_GB2312"/>
          <w:color w:val="000000"/>
          <w:sz w:val="32"/>
          <w:szCs w:val="32"/>
        </w:rPr>
        <w:t>按要求</w:t>
      </w:r>
      <w:r>
        <w:rPr>
          <w:rFonts w:hint="eastAsia" w:ascii="Times New Roman" w:hAnsi="Times New Roman" w:eastAsia="仿宋_GB2312" w:cs="仿宋_GB2312"/>
          <w:color w:val="000000"/>
          <w:sz w:val="32"/>
          <w:szCs w:val="32"/>
          <w:lang w:val="en-US" w:eastAsia="zh-CN"/>
        </w:rPr>
        <w:t>做好重点防渗</w:t>
      </w:r>
      <w:r>
        <w:rPr>
          <w:rFonts w:hint="eastAsia" w:ascii="Times New Roman" w:hAnsi="Times New Roman" w:eastAsia="仿宋_GB2312" w:cs="仿宋_GB2312"/>
          <w:color w:val="000000"/>
          <w:sz w:val="32"/>
          <w:szCs w:val="32"/>
        </w:rPr>
        <w:t>处理</w:t>
      </w:r>
      <w:r>
        <w:rPr>
          <w:rFonts w:hint="eastAsia" w:ascii="Times New Roman" w:hAnsi="Times New Roman" w:eastAsia="仿宋_GB2312" w:cs="仿宋_GB2312"/>
          <w:color w:val="000000"/>
          <w:sz w:val="32"/>
          <w:szCs w:val="32"/>
          <w:lang w:val="en-US" w:eastAsia="zh-CN"/>
        </w:rPr>
        <w:t>；</w:t>
      </w:r>
      <w:r>
        <w:rPr>
          <w:rFonts w:hint="eastAsia" w:ascii="Times New Roman" w:hAnsi="Times New Roman" w:eastAsia="仿宋_GB2312" w:cs="仿宋_GB2312"/>
          <w:color w:val="000000"/>
          <w:sz w:val="32"/>
          <w:szCs w:val="32"/>
        </w:rPr>
        <w:t>须</w:t>
      </w:r>
      <w:r>
        <w:rPr>
          <w:rFonts w:hint="eastAsia" w:ascii="Times New Roman" w:hAnsi="Times New Roman" w:eastAsia="仿宋_GB2312" w:cs="仿宋_GB2312"/>
          <w:color w:val="000000"/>
          <w:sz w:val="32"/>
          <w:szCs w:val="32"/>
          <w:lang w:val="en-US" w:eastAsia="zh-CN"/>
        </w:rPr>
        <w:t>对</w:t>
      </w:r>
      <w:r>
        <w:rPr>
          <w:rFonts w:hint="eastAsia" w:eastAsia="仿宋_GB2312" w:cs="仿宋_GB2312"/>
          <w:color w:val="000000"/>
          <w:sz w:val="32"/>
          <w:szCs w:val="32"/>
          <w:lang w:val="en-US" w:eastAsia="zh-CN"/>
        </w:rPr>
        <w:t>厂区其他区域</w:t>
      </w:r>
      <w:r>
        <w:rPr>
          <w:rFonts w:hint="eastAsia" w:ascii="Times New Roman" w:hAnsi="Times New Roman" w:eastAsia="仿宋_GB2312" w:cs="仿宋_GB2312"/>
          <w:color w:val="000000"/>
          <w:sz w:val="32"/>
          <w:szCs w:val="32"/>
        </w:rPr>
        <w:t>按要求</w:t>
      </w:r>
      <w:r>
        <w:rPr>
          <w:rFonts w:hint="eastAsia" w:ascii="Times New Roman" w:hAnsi="Times New Roman" w:eastAsia="仿宋_GB2312" w:cs="仿宋_GB2312"/>
          <w:color w:val="000000"/>
          <w:sz w:val="32"/>
          <w:szCs w:val="32"/>
          <w:lang w:val="en-US" w:eastAsia="zh-CN"/>
        </w:rPr>
        <w:t>做好简单防</w:t>
      </w:r>
      <w:r>
        <w:rPr>
          <w:rFonts w:hint="eastAsia" w:ascii="Times New Roman" w:hAnsi="Times New Roman" w:eastAsia="仿宋_GB2312" w:cs="仿宋_GB2312"/>
          <w:color w:val="000000"/>
          <w:sz w:val="32"/>
          <w:szCs w:val="32"/>
        </w:rPr>
        <w:t>渗漏处理。按照GB 15562.1-1995《环境保护图形标志—排</w:t>
      </w:r>
      <w:r>
        <w:rPr>
          <w:rFonts w:hint="eastAsia" w:eastAsia="仿宋_GB2312" w:cs="仿宋_GB2312"/>
          <w:color w:val="000000"/>
          <w:sz w:val="32"/>
          <w:szCs w:val="32"/>
          <w:lang w:val="en-US" w:eastAsia="zh-CN"/>
        </w:rPr>
        <w:t>放</w:t>
      </w:r>
      <w:r>
        <w:rPr>
          <w:rFonts w:hint="eastAsia" w:ascii="Times New Roman" w:hAnsi="Times New Roman" w:eastAsia="仿宋_GB2312" w:cs="仿宋_GB2312"/>
          <w:color w:val="000000"/>
          <w:sz w:val="32"/>
          <w:szCs w:val="32"/>
        </w:rPr>
        <w:t>口（源）》和原国家环保总局《关于开展排污口规范化整治工作的通知》（环发〔1999〕24号）附件有关规定建设规范化排污口。须按排污许可</w:t>
      </w:r>
      <w:r>
        <w:rPr>
          <w:rFonts w:hint="eastAsia" w:eastAsia="仿宋_GB2312" w:cs="仿宋_GB2312"/>
          <w:color w:val="000000"/>
          <w:sz w:val="32"/>
          <w:szCs w:val="32"/>
          <w:lang w:val="en-US" w:eastAsia="zh-CN"/>
        </w:rPr>
        <w:t>及《报告表》的</w:t>
      </w:r>
      <w:r>
        <w:rPr>
          <w:rFonts w:hint="eastAsia" w:ascii="Times New Roman" w:hAnsi="Times New Roman" w:eastAsia="仿宋_GB2312" w:cs="仿宋_GB2312"/>
          <w:color w:val="000000"/>
          <w:sz w:val="32"/>
          <w:szCs w:val="32"/>
        </w:rPr>
        <w:t>相关管理要求定期进行监测。</w:t>
      </w:r>
    </w:p>
    <w:p w14:paraId="1A9CD805">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加强环境管理，落实环境保护规章制度。确保环保措施的正常运转以及各项污染物稳定达标排放。</w:t>
      </w:r>
    </w:p>
    <w:p w14:paraId="0793EFC8">
      <w:pPr>
        <w:pStyle w:val="55"/>
        <w:keepNext w:val="0"/>
        <w:keepLines w:val="0"/>
        <w:pageBreakBefore w:val="0"/>
        <w:widowControl w:val="0"/>
        <w:numPr>
          <w:ilvl w:val="2"/>
          <w:numId w:val="1"/>
        </w:numPr>
        <w:kinsoku/>
        <w:wordWrap/>
        <w:overflowPunct/>
        <w:topLinePunct w:val="0"/>
        <w:autoSpaceDE/>
        <w:autoSpaceDN/>
        <w:bidi w:val="0"/>
        <w:adjustRightInd/>
        <w:snapToGrid/>
        <w:spacing w:line="520" w:lineRule="exact"/>
        <w:ind w:left="0"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按照《关于印发&lt;企业事业单位突发环境事件应急预案备案管理办法&gt;（试行）》（环发〔2015〕4号）等相关要求，开展企业突发环境事件风险评估，确定风险等级，制订突发环境事件应急预案并报当地生态主管部门备案，定期组织应急演练；按照《突发环境事件应急管理办法（试行）》（环境保护部令第34号）、《企业突发环境事件隐患排查和治理工作指南（试行）》（环境保护部公告2016年第74号）相关要求，制定环境安全隐患排查治理制度，建立隐患排查治理档案，落实相关环境风险防控措施。</w:t>
      </w:r>
    </w:p>
    <w:p w14:paraId="3074E035">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000000"/>
          <w:sz w:val="32"/>
          <w:szCs w:val="32"/>
          <w:lang w:val="en-US" w:eastAsia="zh-CN"/>
        </w:rPr>
      </w:pPr>
      <w:r>
        <w:rPr>
          <w:rFonts w:hint="eastAsia" w:eastAsia="仿宋_GB2312" w:cs="仿宋_GB2312"/>
          <w:color w:val="000000"/>
          <w:sz w:val="32"/>
          <w:szCs w:val="32"/>
          <w:lang w:val="en-US" w:eastAsia="zh-CN"/>
        </w:rPr>
        <w:t>三、该项目建设必须严格执行环境保护设施与主体工程同时设计、同时施工、同时投产使用的环境保护“三同时”制度，并依法申请排污许可证。在落实本批复和《报告表》提出的各项环境保护措施和要求后，建设单位可自行决定投入调试的具体时间并以书面形式向当地生态环境主管部门备案。调试生产前，建设单位应按国家和自治区有关规定进行申报排污许可证。工程建成后，须按《建设项目竣工环境保护验收暂行办法》（国环规环评〔2017〕4号）要求实施竣工环境保护验收。未落实本批复和《报告表》提出的各项环境保护措施、未取得排污许可证擅自投入调试生产、未经竣工环境验收擅自投入生产的、未向社会公开有关信息的，应承担相应的法律责任。</w:t>
      </w:r>
    </w:p>
    <w:p w14:paraId="50A4CFBD">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四、建设项目的性质、规模、地点、采用的生产工艺或者防治污染、防止生态破坏的措施发生重大变动的，建设单位应当重新报批建设项目的环境影响评价文件。建设项目的环境影响评价文件自批准之日起超过五年，方决定该项目开工建设的，其环境影响评价文件应当报我局重新审核同意后方可建设。</w:t>
      </w:r>
    </w:p>
    <w:p w14:paraId="412AA8B8">
      <w:pPr>
        <w:pStyle w:val="55"/>
        <w:keepNext w:val="0"/>
        <w:keepLines w:val="0"/>
        <w:pageBreakBefore w:val="0"/>
        <w:widowControl w:val="0"/>
        <w:numPr>
          <w:ilvl w:val="0"/>
          <w:numId w:val="0"/>
        </w:numPr>
        <w:kinsoku/>
        <w:wordWrap/>
        <w:overflowPunct/>
        <w:topLinePunct w:val="0"/>
        <w:autoSpaceDE/>
        <w:autoSpaceDN/>
        <w:bidi w:val="0"/>
        <w:adjustRightInd/>
        <w:snapToGrid/>
        <w:spacing w:line="520" w:lineRule="exact"/>
        <w:ind w:firstLine="640" w:firstLineChars="200"/>
        <w:textAlignment w:val="auto"/>
        <w:rPr>
          <w:rFonts w:hint="eastAsia" w:eastAsia="仿宋_GB2312" w:cs="仿宋_GB2312"/>
          <w:color w:val="000000"/>
          <w:sz w:val="32"/>
          <w:szCs w:val="32"/>
        </w:rPr>
      </w:pPr>
      <w:r>
        <w:rPr>
          <w:rFonts w:hint="eastAsia" w:eastAsia="仿宋_GB2312" w:cs="仿宋_GB2312"/>
          <w:color w:val="000000"/>
          <w:sz w:val="32"/>
          <w:szCs w:val="32"/>
          <w:lang w:val="en-US" w:eastAsia="zh-CN"/>
        </w:rPr>
        <w:t>五、建设单位自收到本批复之日起5个工作日内，将批复文件及批准后的《报告表》（报批稿）送达柳州市柳城生态环境局，并按规定接受辖区生态环境部门的监管检查。</w:t>
      </w:r>
    </w:p>
    <w:p w14:paraId="7C988932">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rPr>
      </w:pPr>
      <w:r>
        <w:rPr>
          <w:rFonts w:hint="eastAsia" w:ascii="Times New Roman" w:hAnsi="Times New Roman" w:eastAsia="仿宋_GB2312" w:cs="仿宋_GB2312"/>
          <w:color w:val="000000"/>
        </w:rPr>
        <w:t xml:space="preserve">   </w:t>
      </w:r>
    </w:p>
    <w:p w14:paraId="6981FCA6">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hint="eastAsia" w:eastAsia="仿宋_GB2312" w:cs="仿宋_GB2312"/>
          <w:color w:val="000000" w:themeColor="text1"/>
          <w:sz w:val="32"/>
          <w:szCs w:val="32"/>
          <w14:textFill>
            <w14:solidFill>
              <w14:schemeClr w14:val="tx1"/>
            </w14:solidFill>
          </w14:textFill>
        </w:rPr>
      </w:pPr>
    </w:p>
    <w:p w14:paraId="4F7A4161">
      <w:pPr>
        <w:keepNext w:val="0"/>
        <w:keepLines w:val="0"/>
        <w:pageBreakBefore w:val="0"/>
        <w:widowControl w:val="0"/>
        <w:kinsoku/>
        <w:wordWrap/>
        <w:overflowPunct/>
        <w:topLinePunct w:val="0"/>
        <w:autoSpaceDE/>
        <w:autoSpaceDN/>
        <w:bidi w:val="0"/>
        <w:adjustRightInd/>
        <w:snapToGrid/>
        <w:spacing w:line="520" w:lineRule="exact"/>
        <w:ind w:firstLine="640" w:firstLineChars="200"/>
        <w:jc w:val="right"/>
        <w:textAlignment w:val="auto"/>
        <w:rPr>
          <w:rFonts w:eastAsia="仿宋_GB2312" w:cs="仿宋_GB2312"/>
          <w:color w:val="000000" w:themeColor="text1"/>
          <w:sz w:val="32"/>
          <w:szCs w:val="32"/>
          <w14:textFill>
            <w14:solidFill>
              <w14:schemeClr w14:val="tx1"/>
            </w14:solidFill>
          </w14:textFill>
        </w:rPr>
      </w:pPr>
      <w:r>
        <w:rPr>
          <w:rFonts w:hint="eastAsia" w:eastAsia="仿宋_GB2312" w:cs="仿宋_GB2312"/>
          <w:color w:val="000000" w:themeColor="text1"/>
          <w:sz w:val="32"/>
          <w:szCs w:val="32"/>
          <w14:textFill>
            <w14:solidFill>
              <w14:schemeClr w14:val="tx1"/>
            </w14:solidFill>
          </w14:textFill>
        </w:rPr>
        <w:t>202</w:t>
      </w:r>
      <w:r>
        <w:rPr>
          <w:rFonts w:hint="eastAsia" w:eastAsia="仿宋_GB2312" w:cs="仿宋_GB2312"/>
          <w:color w:val="000000" w:themeColor="text1"/>
          <w:sz w:val="32"/>
          <w:szCs w:val="32"/>
          <w:lang w:val="en-US" w:eastAsia="zh-CN"/>
          <w14:textFill>
            <w14:solidFill>
              <w14:schemeClr w14:val="tx1"/>
            </w14:solidFill>
          </w14:textFill>
        </w:rPr>
        <w:t>6</w:t>
      </w:r>
      <w:r>
        <w:rPr>
          <w:rFonts w:hint="eastAsia" w:eastAsia="仿宋_GB2312" w:cs="仿宋_GB2312"/>
          <w:color w:val="000000" w:themeColor="text1"/>
          <w:sz w:val="32"/>
          <w:szCs w:val="32"/>
          <w14:textFill>
            <w14:solidFill>
              <w14:schemeClr w14:val="tx1"/>
            </w14:solidFill>
          </w14:textFill>
        </w:rPr>
        <w:t>年</w:t>
      </w:r>
      <w:r>
        <w:rPr>
          <w:rFonts w:hint="eastAsia" w:eastAsia="仿宋_GB2312" w:cs="仿宋_GB2312"/>
          <w:color w:val="000000" w:themeColor="text1"/>
          <w:sz w:val="32"/>
          <w:szCs w:val="32"/>
          <w:lang w:val="en-US" w:eastAsia="zh-CN"/>
          <w14:textFill>
            <w14:solidFill>
              <w14:schemeClr w14:val="tx1"/>
            </w14:solidFill>
          </w14:textFill>
        </w:rPr>
        <w:t>1</w:t>
      </w:r>
      <w:r>
        <w:rPr>
          <w:rFonts w:hint="eastAsia" w:eastAsia="仿宋_GB2312" w:cs="仿宋_GB2312"/>
          <w:color w:val="000000" w:themeColor="text1"/>
          <w:sz w:val="32"/>
          <w:szCs w:val="32"/>
          <w14:textFill>
            <w14:solidFill>
              <w14:schemeClr w14:val="tx1"/>
            </w14:solidFill>
          </w14:textFill>
        </w:rPr>
        <w:t>月</w:t>
      </w:r>
      <w:r>
        <w:rPr>
          <w:rFonts w:hint="eastAsia" w:eastAsia="仿宋_GB2312" w:cs="仿宋_GB2312"/>
          <w:color w:val="000000" w:themeColor="text1"/>
          <w:sz w:val="32"/>
          <w:szCs w:val="32"/>
          <w:lang w:val="en-US" w:eastAsia="zh-CN"/>
          <w14:textFill>
            <w14:solidFill>
              <w14:schemeClr w14:val="tx1"/>
            </w14:solidFill>
          </w14:textFill>
        </w:rPr>
        <w:t>16</w:t>
      </w:r>
      <w:r>
        <w:rPr>
          <w:rFonts w:hint="eastAsia" w:eastAsia="仿宋_GB2312" w:cs="仿宋_GB2312"/>
          <w:color w:val="000000" w:themeColor="text1"/>
          <w:sz w:val="32"/>
          <w:szCs w:val="32"/>
          <w14:textFill>
            <w14:solidFill>
              <w14:schemeClr w14:val="tx1"/>
            </w14:solidFill>
          </w14:textFill>
        </w:rPr>
        <w:t>日</w:t>
      </w:r>
    </w:p>
    <w:p w14:paraId="3F17D88C">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p>
    <w:p w14:paraId="1F510DDB">
      <w:pPr>
        <w:pStyle w:val="38"/>
        <w:keepNext w:val="0"/>
        <w:keepLines w:val="0"/>
        <w:pageBreakBefore w:val="0"/>
        <w:widowControl w:val="0"/>
        <w:kinsoku/>
        <w:wordWrap/>
        <w:overflowPunct/>
        <w:topLinePunct w:val="0"/>
        <w:autoSpaceDE/>
        <w:autoSpaceDN/>
        <w:bidi w:val="0"/>
        <w:adjustRightInd/>
        <w:snapToGrid/>
        <w:spacing w:beforeLines="0" w:line="520" w:lineRule="exact"/>
        <w:ind w:right="0" w:rightChars="0" w:firstLine="640" w:firstLineChars="200"/>
        <w:jc w:val="both"/>
        <w:textAlignment w:val="auto"/>
        <w:rPr>
          <w:rFonts w:hint="eastAsia" w:ascii="Times New Roman" w:hAnsi="Times New Roman" w:eastAsia="仿宋_GB2312" w:cs="仿宋_GB2312"/>
          <w:color w:val="000000" w:themeColor="text1"/>
          <w14:textFill>
            <w14:solidFill>
              <w14:schemeClr w14:val="tx1"/>
            </w14:solidFill>
          </w14:textFill>
        </w:rPr>
      </w:pPr>
      <w:r>
        <w:rPr>
          <w:rFonts w:hint="eastAsia" w:ascii="Times New Roman" w:hAnsi="Times New Roman" w:eastAsia="仿宋_GB2312" w:cs="仿宋_GB2312"/>
          <w:color w:val="000000" w:themeColor="text1"/>
          <w14:textFill>
            <w14:solidFill>
              <w14:schemeClr w14:val="tx1"/>
            </w14:solidFill>
          </w14:textFill>
        </w:rPr>
        <w:t>（此件公开发布）</w:t>
      </w:r>
    </w:p>
    <w:p w14:paraId="061C6882">
      <w:pPr>
        <w:pStyle w:val="38"/>
        <w:spacing w:beforeLines="0" w:line="240" w:lineRule="auto"/>
        <w:ind w:right="0" w:rightChars="0" w:firstLine="640"/>
        <w:jc w:val="both"/>
        <w:rPr>
          <w:rFonts w:hint="eastAsia" w:ascii="Times New Roman" w:hAnsi="Times New Roman" w:eastAsia="仿宋_GB2312" w:cs="仿宋_GB2312"/>
          <w:color w:val="000000" w:themeColor="text1"/>
          <w14:textFill>
            <w14:solidFill>
              <w14:schemeClr w14:val="tx1"/>
            </w14:solidFill>
          </w14:textFill>
        </w:rPr>
      </w:pPr>
    </w:p>
    <w:p w14:paraId="382342B9">
      <w:pPr>
        <w:rPr>
          <w:rFonts w:hint="eastAsia" w:eastAsia="仿宋_GB2312" w:cs="仿宋_GB2312"/>
          <w:bCs/>
          <w:color w:val="000000" w:themeColor="text1"/>
          <w:sz w:val="28"/>
          <w:szCs w:val="28"/>
          <w:u w:val="single"/>
          <w14:textFill>
            <w14:solidFill>
              <w14:schemeClr w14:val="tx1"/>
            </w14:solidFill>
          </w14:textFill>
        </w:rPr>
      </w:pPr>
      <w:r>
        <w:rPr>
          <w:rFonts w:hint="eastAsia" w:eastAsia="仿宋_GB2312" w:cs="仿宋_GB2312"/>
          <w:bCs/>
          <w:color w:val="000000" w:themeColor="text1"/>
          <w:sz w:val="28"/>
          <w:szCs w:val="28"/>
          <w:u w:val="single"/>
          <w14:textFill>
            <w14:solidFill>
              <w14:schemeClr w14:val="tx1"/>
            </w14:solidFill>
          </w14:textFill>
        </w:rPr>
        <w:br w:type="page"/>
      </w:r>
    </w:p>
    <w:p w14:paraId="39437CDA">
      <w:pPr>
        <w:keepNext w:val="0"/>
        <w:keepLines w:val="0"/>
        <w:pageBreakBefore w:val="0"/>
        <w:widowControl w:val="0"/>
        <w:kinsoku/>
        <w:wordWrap/>
        <w:overflowPunct/>
        <w:topLinePunct w:val="0"/>
        <w:autoSpaceDE/>
        <w:autoSpaceDN/>
        <w:bidi w:val="0"/>
        <w:adjustRightInd/>
        <w:snapToGrid/>
        <w:spacing w:line="480" w:lineRule="exact"/>
        <w:ind w:firstLine="640" w:firstLineChars="200"/>
        <w:jc w:val="both"/>
        <w:textAlignment w:val="auto"/>
        <w:rPr>
          <w:rFonts w:hint="eastAsia" w:eastAsia="仿宋_GB2312" w:cs="仿宋_GB2312"/>
          <w:bCs/>
          <w:color w:val="000000" w:themeColor="text1"/>
          <w:sz w:val="32"/>
          <w:szCs w:val="32"/>
          <w:u w:val="single"/>
          <w:lang w:eastAsia="zh-CN"/>
          <w14:textFill>
            <w14:solidFill>
              <w14:schemeClr w14:val="tx1"/>
            </w14:solidFill>
          </w14:textFill>
        </w:rPr>
      </w:pPr>
      <w:r>
        <w:rPr>
          <w:rFonts w:hint="eastAsia" w:eastAsia="仿宋_GB2312" w:cs="仿宋_GB2312"/>
          <w:bCs/>
          <w:color w:val="000000" w:themeColor="text1"/>
          <w:sz w:val="32"/>
          <w:szCs w:val="32"/>
          <w:u w:val="single"/>
          <w:lang w:eastAsia="zh-CN"/>
          <w14:textFill>
            <w14:solidFill>
              <w14:schemeClr w14:val="tx1"/>
            </w14:solidFill>
          </w14:textFill>
        </w:rPr>
        <w:t>（</w:t>
      </w:r>
      <w:r>
        <w:rPr>
          <w:rFonts w:hint="eastAsia" w:eastAsia="仿宋_GB2312" w:cs="仿宋_GB2312"/>
          <w:bCs/>
          <w:color w:val="000000" w:themeColor="text1"/>
          <w:sz w:val="32"/>
          <w:szCs w:val="32"/>
          <w:u w:val="single"/>
          <w:lang w:val="en-US" w:eastAsia="zh-CN"/>
          <w14:textFill>
            <w14:solidFill>
              <w14:schemeClr w14:val="tx1"/>
            </w14:solidFill>
          </w14:textFill>
        </w:rPr>
        <w:t>此页无正文</w:t>
      </w:r>
      <w:r>
        <w:rPr>
          <w:rFonts w:hint="eastAsia" w:eastAsia="仿宋_GB2312" w:cs="仿宋_GB2312"/>
          <w:bCs/>
          <w:color w:val="000000" w:themeColor="text1"/>
          <w:sz w:val="32"/>
          <w:szCs w:val="32"/>
          <w:u w:val="single"/>
          <w:lang w:eastAsia="zh-CN"/>
          <w14:textFill>
            <w14:solidFill>
              <w14:schemeClr w14:val="tx1"/>
            </w14:solidFill>
          </w14:textFill>
        </w:rPr>
        <w:t>）</w:t>
      </w:r>
    </w:p>
    <w:p w14:paraId="73727ECC">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6E9570CD">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04EE101F">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736E1558">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519CF327">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483BF9C1">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2305FA8F">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0B208B10">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3C2D1434">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2489B49C">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1AC5D40E">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15766AB8">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37087C90">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5C8FA54B">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5C274470">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003154E2">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2EB43E35">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65B95DDA">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2350C917">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10F719E7">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6FB9C6F2">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24057511">
      <w:pPr>
        <w:spacing w:line="480" w:lineRule="exact"/>
        <w:jc w:val="distribute"/>
        <w:rPr>
          <w:rFonts w:hint="eastAsia" w:eastAsia="仿宋_GB2312" w:cs="仿宋_GB2312"/>
          <w:bCs/>
          <w:color w:val="000000" w:themeColor="text1"/>
          <w:sz w:val="28"/>
          <w:szCs w:val="28"/>
          <w:u w:val="single"/>
          <w14:textFill>
            <w14:solidFill>
              <w14:schemeClr w14:val="tx1"/>
            </w14:solidFill>
          </w14:textFill>
        </w:rPr>
      </w:pPr>
    </w:p>
    <w:p w14:paraId="66D4CA79">
      <w:pPr>
        <w:spacing w:line="480" w:lineRule="exact"/>
        <w:jc w:val="distribute"/>
        <w:rPr>
          <w:rFonts w:eastAsia="仿宋_GB2312" w:cs="仿宋_GB2312"/>
          <w:bCs/>
          <w:color w:val="000000" w:themeColor="text1"/>
          <w:sz w:val="28"/>
          <w:szCs w:val="28"/>
          <w:u w:val="single"/>
          <w14:textFill>
            <w14:solidFill>
              <w14:schemeClr w14:val="tx1"/>
            </w14:solidFill>
          </w14:textFill>
        </w:rPr>
      </w:pPr>
      <w:r>
        <w:rPr>
          <w:rFonts w:hint="eastAsia" w:eastAsia="仿宋_GB2312" w:cs="仿宋_GB2312"/>
          <w:bCs/>
          <w:color w:val="000000" w:themeColor="text1"/>
          <w:sz w:val="28"/>
          <w:szCs w:val="28"/>
          <w:u w:val="single"/>
          <w14:textFill>
            <w14:solidFill>
              <w14:schemeClr w14:val="tx1"/>
            </w14:solidFill>
          </w14:textFill>
        </w:rPr>
        <w:t>投资项目在线审批监管平台项目代码：</w:t>
      </w:r>
      <w:r>
        <w:rPr>
          <w:rFonts w:hint="eastAsia" w:eastAsia="仿宋_GB2312" w:cs="仿宋_GB2312"/>
          <w:bCs/>
          <w:color w:val="000000" w:themeColor="text1"/>
          <w:sz w:val="28"/>
          <w:szCs w:val="28"/>
          <w:u w:val="single"/>
          <w:lang w:eastAsia="zh-CN"/>
          <w14:textFill>
            <w14:solidFill>
              <w14:schemeClr w14:val="tx1"/>
            </w14:solidFill>
          </w14:textFill>
        </w:rPr>
        <w:t>2508-450222-04-05-319670</w:t>
      </w:r>
    </w:p>
    <w:p w14:paraId="5D6519BF">
      <w:pPr>
        <w:spacing w:line="480" w:lineRule="exact"/>
        <w:rPr>
          <w:rFonts w:eastAsia="仿宋_GB2312" w:cs="仿宋_GB2312"/>
          <w:color w:val="000000" w:themeColor="text1"/>
          <w:sz w:val="30"/>
          <w:u w:val="single"/>
          <w14:textFill>
            <w14:solidFill>
              <w14:schemeClr w14:val="tx1"/>
            </w14:solidFill>
          </w14:textFill>
        </w:rPr>
      </w:pPr>
      <w:r>
        <w:rPr>
          <w:rFonts w:hint="eastAsia" w:eastAsia="仿宋_GB2312" w:cs="仿宋_GB2312"/>
          <w:color w:val="000000" w:themeColor="text1"/>
          <w:sz w:val="32"/>
          <w:szCs w:val="32"/>
          <w:u w:val="single"/>
          <w14:textFill>
            <w14:solidFill>
              <w14:schemeClr w14:val="tx1"/>
            </w14:solidFill>
          </w14:textFill>
        </w:rPr>
        <w:t xml:space="preserve">抄送:柳州市柳城生态环境局                               </w:t>
      </w:r>
    </w:p>
    <w:p w14:paraId="421E8451">
      <w:pPr>
        <w:pStyle w:val="37"/>
        <w:ind w:firstLine="0" w:firstLineChars="0"/>
        <w:rPr>
          <w:rFonts w:ascii="仿宋_GB2312" w:hAnsi="仿宋_GB2312" w:eastAsia="仿宋_GB2312" w:cs="仿宋_GB2312"/>
          <w:color w:val="000000"/>
          <w:u w:val="single"/>
        </w:rPr>
      </w:pPr>
      <w:r>
        <w:rPr>
          <w:rFonts w:hint="eastAsia" w:eastAsia="仿宋_GB2312" w:cs="仿宋_GB2312"/>
          <w:color w:val="000000" w:themeColor="text1"/>
          <w:u w:val="single"/>
          <w14:textFill>
            <w14:solidFill>
              <w14:schemeClr w14:val="tx1"/>
            </w14:solidFill>
          </w14:textFill>
        </w:rPr>
        <w:t xml:space="preserve">柳城县行政审批局                   </w:t>
      </w:r>
      <w:r>
        <w:rPr>
          <w:rFonts w:hint="eastAsia" w:eastAsia="仿宋_GB2312" w:cs="仿宋_GB2312"/>
          <w:color w:val="000000" w:themeColor="text1"/>
          <w:u w:val="single"/>
          <w:lang w:val="en-US" w:eastAsia="zh-CN"/>
          <w14:textFill>
            <w14:solidFill>
              <w14:schemeClr w14:val="tx1"/>
            </w14:solidFill>
          </w14:textFill>
        </w:rPr>
        <w:t xml:space="preserve"> </w:t>
      </w:r>
      <w:r>
        <w:rPr>
          <w:rFonts w:hint="eastAsia" w:eastAsia="仿宋_GB2312" w:cs="仿宋_GB2312"/>
          <w:color w:val="000000" w:themeColor="text1"/>
          <w:u w:val="single"/>
          <w14:textFill>
            <w14:solidFill>
              <w14:schemeClr w14:val="tx1"/>
            </w14:solidFill>
          </w14:textFill>
        </w:rPr>
        <w:t>202</w:t>
      </w:r>
      <w:r>
        <w:rPr>
          <w:rFonts w:hint="eastAsia" w:eastAsia="仿宋_GB2312" w:cs="仿宋_GB2312"/>
          <w:color w:val="000000" w:themeColor="text1"/>
          <w:u w:val="single"/>
          <w:lang w:val="en-US" w:eastAsia="zh-CN"/>
          <w14:textFill>
            <w14:solidFill>
              <w14:schemeClr w14:val="tx1"/>
            </w14:solidFill>
          </w14:textFill>
        </w:rPr>
        <w:t>6</w:t>
      </w:r>
      <w:r>
        <w:rPr>
          <w:rFonts w:hint="eastAsia" w:eastAsia="仿宋_GB2312" w:cs="仿宋_GB2312"/>
          <w:color w:val="000000" w:themeColor="text1"/>
          <w:u w:val="single"/>
          <w14:textFill>
            <w14:solidFill>
              <w14:schemeClr w14:val="tx1"/>
            </w14:solidFill>
          </w14:textFill>
        </w:rPr>
        <w:t>年</w:t>
      </w:r>
      <w:r>
        <w:rPr>
          <w:rFonts w:hint="eastAsia" w:eastAsia="仿宋_GB2312" w:cs="仿宋_GB2312"/>
          <w:color w:val="000000" w:themeColor="text1"/>
          <w:u w:val="single"/>
          <w:lang w:val="en-US" w:eastAsia="zh-CN"/>
          <w14:textFill>
            <w14:solidFill>
              <w14:schemeClr w14:val="tx1"/>
            </w14:solidFill>
          </w14:textFill>
        </w:rPr>
        <w:t>1</w:t>
      </w:r>
      <w:r>
        <w:rPr>
          <w:rFonts w:hint="eastAsia" w:eastAsia="仿宋_GB2312" w:cs="仿宋_GB2312"/>
          <w:color w:val="000000" w:themeColor="text1"/>
          <w:u w:val="single"/>
          <w14:textFill>
            <w14:solidFill>
              <w14:schemeClr w14:val="tx1"/>
            </w14:solidFill>
          </w14:textFill>
        </w:rPr>
        <w:t>月</w:t>
      </w:r>
      <w:r>
        <w:rPr>
          <w:rFonts w:hint="eastAsia" w:eastAsia="仿宋_GB2312" w:cs="仿宋_GB2312"/>
          <w:color w:val="000000" w:themeColor="text1"/>
          <w:u w:val="single"/>
          <w:lang w:val="en-US" w:eastAsia="zh-CN"/>
          <w14:textFill>
            <w14:solidFill>
              <w14:schemeClr w14:val="tx1"/>
            </w14:solidFill>
          </w14:textFill>
        </w:rPr>
        <w:t>16</w:t>
      </w:r>
      <w:r>
        <w:rPr>
          <w:rFonts w:hint="eastAsia" w:eastAsia="仿宋_GB2312" w:cs="仿宋_GB2312"/>
          <w:color w:val="000000" w:themeColor="text1"/>
          <w:u w:val="single"/>
          <w14:textFill>
            <w14:solidFill>
              <w14:schemeClr w14:val="tx1"/>
            </w14:solidFill>
          </w14:textFill>
        </w:rPr>
        <w:t>日印发</w:t>
      </w:r>
    </w:p>
    <w:sectPr>
      <w:headerReference r:id="rId3" w:type="default"/>
      <w:footerReference r:id="rId4" w:type="default"/>
      <w:footerReference r:id="rId5" w:type="even"/>
      <w:pgSz w:w="11906" w:h="16838"/>
      <w:pgMar w:top="2098" w:right="1474" w:bottom="1984" w:left="158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8"/>
    <w:family w:val="auto"/>
    <w:pitch w:val="default"/>
    <w:sig w:usb0="E0002EFF" w:usb1="C000785B" w:usb2="00000009" w:usb3="00000000" w:csb0="400001FF" w:csb1="FFFF0000"/>
  </w:font>
  <w:font w:name="宋体">
    <w:panose1 w:val="02010600030101010101"/>
    <w:charset w:val="0D"/>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6E2C07">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7</w:t>
    </w:r>
    <w:r>
      <w:rPr>
        <w:sz w:val="32"/>
        <w:szCs w:val="32"/>
        <w:lang w:val="zh-CN"/>
      </w:rPr>
      <w:fldChar w:fldCharType="end"/>
    </w:r>
  </w:p>
  <w:p w14:paraId="3167E61B">
    <w:pPr>
      <w:pStyle w:val="1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ED47AA">
    <w:pPr>
      <w:pStyle w:val="12"/>
      <w:jc w:val="center"/>
      <w:rPr>
        <w:sz w:val="32"/>
        <w:szCs w:val="32"/>
      </w:rPr>
    </w:pPr>
    <w:r>
      <w:rPr>
        <w:sz w:val="32"/>
        <w:szCs w:val="32"/>
      </w:rPr>
      <w:fldChar w:fldCharType="begin"/>
    </w:r>
    <w:r>
      <w:rPr>
        <w:sz w:val="32"/>
        <w:szCs w:val="32"/>
      </w:rPr>
      <w:instrText xml:space="preserve"> PAGE   \* MERGEFORMAT </w:instrText>
    </w:r>
    <w:r>
      <w:rPr>
        <w:sz w:val="32"/>
        <w:szCs w:val="32"/>
      </w:rPr>
      <w:fldChar w:fldCharType="separate"/>
    </w:r>
    <w:r>
      <w:rPr>
        <w:sz w:val="32"/>
        <w:szCs w:val="32"/>
        <w:lang w:val="zh-CN"/>
      </w:rPr>
      <w:t>6</w:t>
    </w:r>
    <w:r>
      <w:rPr>
        <w:sz w:val="32"/>
        <w:szCs w:val="32"/>
        <w:lang w:val="zh-CN"/>
      </w:rPr>
      <w:fldChar w:fldCharType="end"/>
    </w:r>
  </w:p>
  <w:p w14:paraId="1D42424F">
    <w:pPr>
      <w:pStyle w:val="1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410E48">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7155292"/>
    <w:multiLevelType w:val="multilevel"/>
    <w:tmpl w:val="67155292"/>
    <w:lvl w:ilvl="0" w:tentative="0">
      <w:start w:val="1"/>
      <w:numFmt w:val="chineseCountingThousand"/>
      <w:lvlText w:val="（%1）"/>
      <w:lvlJc w:val="left"/>
      <w:pPr>
        <w:ind w:left="420" w:hanging="420"/>
      </w:pPr>
      <w:rPr>
        <w:rFonts w:hint="eastAsia"/>
      </w:rPr>
    </w:lvl>
    <w:lvl w:ilvl="1" w:tentative="0">
      <w:start w:val="1"/>
      <w:numFmt w:val="lowerLetter"/>
      <w:lvlText w:val="%2)"/>
      <w:lvlJc w:val="left"/>
      <w:pPr>
        <w:ind w:left="840" w:hanging="420"/>
      </w:pPr>
      <w:rPr>
        <w:rFonts w:hint="eastAsia"/>
      </w:rPr>
    </w:lvl>
    <w:lvl w:ilvl="2" w:tentative="0">
      <w:start w:val="1"/>
      <w:numFmt w:val="chineseCountingThousand"/>
      <w:suff w:val="nothing"/>
      <w:lvlText w:val="（%3）"/>
      <w:lvlJc w:val="lef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evenAndOddHeaders w:val="1"/>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NhNDg1MTYwMjY5ZWFjMzhlZmRhZTkzZTY4NzdiMzgifQ=="/>
  </w:docVars>
  <w:rsids>
    <w:rsidRoot w:val="00172A27"/>
    <w:rsid w:val="002417E1"/>
    <w:rsid w:val="00395B51"/>
    <w:rsid w:val="003A481E"/>
    <w:rsid w:val="005C1AC5"/>
    <w:rsid w:val="005D2033"/>
    <w:rsid w:val="00646AD1"/>
    <w:rsid w:val="00770B2A"/>
    <w:rsid w:val="009269D4"/>
    <w:rsid w:val="009F57AD"/>
    <w:rsid w:val="00AC411B"/>
    <w:rsid w:val="00B051A8"/>
    <w:rsid w:val="00B202D5"/>
    <w:rsid w:val="00D1559E"/>
    <w:rsid w:val="012515C4"/>
    <w:rsid w:val="0252066A"/>
    <w:rsid w:val="049F2426"/>
    <w:rsid w:val="05E05A25"/>
    <w:rsid w:val="06053772"/>
    <w:rsid w:val="086E3851"/>
    <w:rsid w:val="095A6639"/>
    <w:rsid w:val="0A410022"/>
    <w:rsid w:val="0A4D58DB"/>
    <w:rsid w:val="0AAF03C9"/>
    <w:rsid w:val="0B5A4560"/>
    <w:rsid w:val="0CCC4FEA"/>
    <w:rsid w:val="0E7A1DC9"/>
    <w:rsid w:val="0FFA73AA"/>
    <w:rsid w:val="10D00A20"/>
    <w:rsid w:val="118218DF"/>
    <w:rsid w:val="12AA36D7"/>
    <w:rsid w:val="137F1409"/>
    <w:rsid w:val="14C20BA7"/>
    <w:rsid w:val="14CC4A81"/>
    <w:rsid w:val="156839A2"/>
    <w:rsid w:val="16290DB7"/>
    <w:rsid w:val="1650447E"/>
    <w:rsid w:val="1E641526"/>
    <w:rsid w:val="20012DA5"/>
    <w:rsid w:val="21F661EB"/>
    <w:rsid w:val="23634FD8"/>
    <w:rsid w:val="246C599D"/>
    <w:rsid w:val="247C6E9E"/>
    <w:rsid w:val="24D44515"/>
    <w:rsid w:val="27D01156"/>
    <w:rsid w:val="27F21951"/>
    <w:rsid w:val="29EE7EF6"/>
    <w:rsid w:val="2C5C383D"/>
    <w:rsid w:val="2E82647A"/>
    <w:rsid w:val="2EA210B7"/>
    <w:rsid w:val="2ED87595"/>
    <w:rsid w:val="312B3D9E"/>
    <w:rsid w:val="321F6D79"/>
    <w:rsid w:val="322F37A1"/>
    <w:rsid w:val="32A970B0"/>
    <w:rsid w:val="340071A3"/>
    <w:rsid w:val="37FD6B8A"/>
    <w:rsid w:val="38E0334C"/>
    <w:rsid w:val="3B0D21A6"/>
    <w:rsid w:val="3B4B3979"/>
    <w:rsid w:val="3B844B5E"/>
    <w:rsid w:val="3C29347A"/>
    <w:rsid w:val="3C356139"/>
    <w:rsid w:val="40D35433"/>
    <w:rsid w:val="41E225DE"/>
    <w:rsid w:val="43000F6E"/>
    <w:rsid w:val="436C2636"/>
    <w:rsid w:val="438D657A"/>
    <w:rsid w:val="43FE2FD4"/>
    <w:rsid w:val="44056A46"/>
    <w:rsid w:val="4491418D"/>
    <w:rsid w:val="44AF6A91"/>
    <w:rsid w:val="457E617A"/>
    <w:rsid w:val="45A21C32"/>
    <w:rsid w:val="46CB65D1"/>
    <w:rsid w:val="480F6AC9"/>
    <w:rsid w:val="4A863467"/>
    <w:rsid w:val="4AEC23A3"/>
    <w:rsid w:val="4D0C04AB"/>
    <w:rsid w:val="4F0022F6"/>
    <w:rsid w:val="4FB82BD0"/>
    <w:rsid w:val="500E27F0"/>
    <w:rsid w:val="50D61560"/>
    <w:rsid w:val="523F1387"/>
    <w:rsid w:val="530473CA"/>
    <w:rsid w:val="535B5D4C"/>
    <w:rsid w:val="539A3616"/>
    <w:rsid w:val="551E5CEB"/>
    <w:rsid w:val="55284354"/>
    <w:rsid w:val="564C1AF9"/>
    <w:rsid w:val="56521D3A"/>
    <w:rsid w:val="57867037"/>
    <w:rsid w:val="58DA37D1"/>
    <w:rsid w:val="5C252174"/>
    <w:rsid w:val="60275934"/>
    <w:rsid w:val="628C5986"/>
    <w:rsid w:val="62A55DE6"/>
    <w:rsid w:val="643407A7"/>
    <w:rsid w:val="655A7348"/>
    <w:rsid w:val="684C1609"/>
    <w:rsid w:val="691E364C"/>
    <w:rsid w:val="69A006B2"/>
    <w:rsid w:val="6A044068"/>
    <w:rsid w:val="6AD14E1A"/>
    <w:rsid w:val="6B453112"/>
    <w:rsid w:val="6C832144"/>
    <w:rsid w:val="6CDD66BA"/>
    <w:rsid w:val="6D3F29A4"/>
    <w:rsid w:val="6E147762"/>
    <w:rsid w:val="6E423939"/>
    <w:rsid w:val="6E6C6C08"/>
    <w:rsid w:val="6F524050"/>
    <w:rsid w:val="6F800BBD"/>
    <w:rsid w:val="73816CB2"/>
    <w:rsid w:val="77F1407E"/>
    <w:rsid w:val="797C1F3C"/>
    <w:rsid w:val="79B3410A"/>
    <w:rsid w:val="7B62386D"/>
    <w:rsid w:val="7B7B048A"/>
    <w:rsid w:val="7CB7465C"/>
    <w:rsid w:val="7CF95B0B"/>
    <w:rsid w:val="7E6148B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uiPriority="0" w:name="heading 2"/>
    <w:lsdException w:qFormat="1" w:uiPriority="0" w:name="heading 3"/>
    <w:lsdException w:qFormat="1" w:unhideWhenUsed="0" w:uiPriority="0" w:semiHidden="0" w:name="heading 4"/>
    <w:lsdException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3"/>
    <w:next w:val="1"/>
    <w:qFormat/>
    <w:uiPriority w:val="0"/>
    <w:pPr>
      <w:keepNext/>
      <w:keepLines/>
      <w:spacing w:before="340" w:after="330" w:line="578" w:lineRule="auto"/>
    </w:pPr>
    <w:rPr>
      <w:b w:val="0"/>
      <w:bCs w:val="0"/>
      <w:kern w:val="44"/>
      <w:sz w:val="44"/>
      <w:szCs w:val="44"/>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paragraph" w:styleId="5">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18">
    <w:name w:val="Default Paragraph Font"/>
    <w:semiHidden/>
    <w:unhideWhenUsed/>
    <w:qFormat/>
    <w:uiPriority w:val="1"/>
  </w:style>
  <w:style w:type="table" w:default="1" w:styleId="17">
    <w:name w:val="Normal Table"/>
    <w:semiHidden/>
    <w:unhideWhenUsed/>
    <w:qFormat/>
    <w:uiPriority w:val="99"/>
    <w:tblPr>
      <w:tblCellMar>
        <w:top w:w="0" w:type="dxa"/>
        <w:left w:w="108" w:type="dxa"/>
        <w:bottom w:w="0" w:type="dxa"/>
        <w:right w:w="108" w:type="dxa"/>
      </w:tblCellMar>
    </w:tblPr>
  </w:style>
  <w:style w:type="paragraph" w:styleId="3">
    <w:name w:val="Title"/>
    <w:basedOn w:val="1"/>
    <w:next w:val="1"/>
    <w:qFormat/>
    <w:uiPriority w:val="0"/>
    <w:pPr>
      <w:spacing w:before="330" w:after="340"/>
      <w:jc w:val="center"/>
      <w:outlineLvl w:val="0"/>
    </w:pPr>
    <w:rPr>
      <w:b/>
      <w:bCs/>
      <w:sz w:val="32"/>
      <w:szCs w:val="32"/>
    </w:rPr>
  </w:style>
  <w:style w:type="paragraph" w:styleId="6">
    <w:name w:val="Normal Indent"/>
    <w:basedOn w:val="1"/>
    <w:next w:val="5"/>
    <w:qFormat/>
    <w:uiPriority w:val="0"/>
    <w:pPr>
      <w:spacing w:line="360" w:lineRule="auto"/>
      <w:ind w:firstLine="420" w:firstLineChars="200"/>
    </w:pPr>
    <w:rPr>
      <w:sz w:val="24"/>
    </w:rPr>
  </w:style>
  <w:style w:type="paragraph" w:styleId="7">
    <w:name w:val="annotation text"/>
    <w:basedOn w:val="1"/>
    <w:link w:val="52"/>
    <w:qFormat/>
    <w:uiPriority w:val="0"/>
    <w:pPr>
      <w:jc w:val="left"/>
    </w:pPr>
  </w:style>
  <w:style w:type="paragraph" w:styleId="8">
    <w:name w:val="Body Text"/>
    <w:basedOn w:val="1"/>
    <w:link w:val="43"/>
    <w:qFormat/>
    <w:uiPriority w:val="0"/>
    <w:rPr>
      <w:b/>
      <w:sz w:val="32"/>
      <w:szCs w:val="20"/>
    </w:rPr>
  </w:style>
  <w:style w:type="paragraph" w:styleId="9">
    <w:name w:val="Body Text Indent"/>
    <w:basedOn w:val="1"/>
    <w:qFormat/>
    <w:uiPriority w:val="0"/>
    <w:pPr>
      <w:spacing w:after="120"/>
      <w:ind w:left="420" w:leftChars="200"/>
    </w:pPr>
  </w:style>
  <w:style w:type="paragraph" w:styleId="10">
    <w:name w:val="Date"/>
    <w:basedOn w:val="1"/>
    <w:next w:val="1"/>
    <w:link w:val="42"/>
    <w:qFormat/>
    <w:uiPriority w:val="0"/>
    <w:pPr>
      <w:ind w:left="100" w:leftChars="2500"/>
    </w:pPr>
  </w:style>
  <w:style w:type="paragraph" w:styleId="11">
    <w:name w:val="Balloon Text"/>
    <w:basedOn w:val="1"/>
    <w:link w:val="54"/>
    <w:qFormat/>
    <w:uiPriority w:val="0"/>
    <w:rPr>
      <w:sz w:val="18"/>
      <w:szCs w:val="18"/>
    </w:rPr>
  </w:style>
  <w:style w:type="paragraph" w:styleId="12">
    <w:name w:val="footer"/>
    <w:basedOn w:val="1"/>
    <w:link w:val="40"/>
    <w:qFormat/>
    <w:uiPriority w:val="99"/>
    <w:pPr>
      <w:tabs>
        <w:tab w:val="center" w:pos="4153"/>
        <w:tab w:val="right" w:pos="8306"/>
      </w:tabs>
      <w:snapToGrid w:val="0"/>
      <w:jc w:val="left"/>
    </w:pPr>
    <w:rPr>
      <w:sz w:val="18"/>
      <w:szCs w:val="18"/>
    </w:rPr>
  </w:style>
  <w:style w:type="paragraph" w:styleId="13">
    <w:name w:val="header"/>
    <w:basedOn w:val="1"/>
    <w:next w:val="1"/>
    <w:qFormat/>
    <w:uiPriority w:val="0"/>
    <w:pPr>
      <w:pBdr>
        <w:bottom w:val="single" w:color="auto" w:sz="6" w:space="1"/>
      </w:pBdr>
      <w:tabs>
        <w:tab w:val="center" w:pos="4153"/>
        <w:tab w:val="right" w:pos="8306"/>
      </w:tabs>
      <w:snapToGrid w:val="0"/>
      <w:jc w:val="center"/>
    </w:pPr>
    <w:rPr>
      <w:sz w:val="18"/>
      <w:szCs w:val="18"/>
    </w:rPr>
  </w:style>
  <w:style w:type="paragraph" w:styleId="14">
    <w:name w:val="Body Text 2"/>
    <w:basedOn w:val="1"/>
    <w:link w:val="46"/>
    <w:qFormat/>
    <w:uiPriority w:val="0"/>
    <w:pPr>
      <w:spacing w:line="600" w:lineRule="exact"/>
      <w:jc w:val="center"/>
    </w:pPr>
    <w:rPr>
      <w:rFonts w:ascii="方正小标宋简体" w:eastAsia="方正小标宋简体"/>
      <w:bCs/>
      <w:sz w:val="44"/>
      <w:szCs w:val="44"/>
    </w:rPr>
  </w:style>
  <w:style w:type="paragraph" w:styleId="15">
    <w:name w:val="annotation subject"/>
    <w:basedOn w:val="7"/>
    <w:next w:val="7"/>
    <w:link w:val="53"/>
    <w:qFormat/>
    <w:uiPriority w:val="0"/>
    <w:rPr>
      <w:b/>
      <w:bCs/>
    </w:rPr>
  </w:style>
  <w:style w:type="paragraph" w:styleId="16">
    <w:name w:val="Body Text First Indent 2"/>
    <w:basedOn w:val="9"/>
    <w:next w:val="1"/>
    <w:qFormat/>
    <w:uiPriority w:val="0"/>
    <w:pPr>
      <w:ind w:firstLine="420" w:firstLineChars="200"/>
    </w:pPr>
  </w:style>
  <w:style w:type="character" w:styleId="19">
    <w:name w:val="page number"/>
    <w:basedOn w:val="18"/>
    <w:qFormat/>
    <w:uiPriority w:val="0"/>
  </w:style>
  <w:style w:type="character" w:styleId="20">
    <w:name w:val="Hyperlink"/>
    <w:qFormat/>
    <w:uiPriority w:val="0"/>
    <w:rPr>
      <w:color w:val="0000FF"/>
      <w:u w:val="single"/>
    </w:rPr>
  </w:style>
  <w:style w:type="character" w:styleId="21">
    <w:name w:val="annotation reference"/>
    <w:qFormat/>
    <w:uiPriority w:val="0"/>
    <w:rPr>
      <w:sz w:val="21"/>
      <w:szCs w:val="21"/>
    </w:rPr>
  </w:style>
  <w:style w:type="paragraph" w:customStyle="1" w:styleId="22">
    <w:name w:val="报告正文"/>
    <w:basedOn w:val="1"/>
    <w:qFormat/>
    <w:uiPriority w:val="0"/>
    <w:pPr>
      <w:tabs>
        <w:tab w:val="left" w:pos="0"/>
      </w:tabs>
      <w:spacing w:line="360" w:lineRule="auto"/>
      <w:ind w:firstLine="420" w:firstLineChars="200"/>
    </w:pPr>
    <w:rPr>
      <w:color w:val="000000"/>
    </w:rPr>
  </w:style>
  <w:style w:type="paragraph" w:customStyle="1" w:styleId="23">
    <w:name w:val="样式 Z正文 + 首行缩进:  2 字符1"/>
    <w:basedOn w:val="24"/>
    <w:qFormat/>
    <w:uiPriority w:val="0"/>
    <w:pPr>
      <w:ind w:firstLine="480"/>
    </w:pPr>
  </w:style>
  <w:style w:type="paragraph" w:customStyle="1" w:styleId="24">
    <w:name w:val="Z正文"/>
    <w:basedOn w:val="25"/>
    <w:qFormat/>
    <w:uiPriority w:val="0"/>
    <w:pPr>
      <w:ind w:firstLine="200" w:firstLineChars="200"/>
      <w:outlineLvl w:val="9"/>
    </w:pPr>
    <w:rPr>
      <w:rFonts w:ascii="Times New Roman"/>
      <w:sz w:val="24"/>
      <w:szCs w:val="24"/>
    </w:rPr>
  </w:style>
  <w:style w:type="paragraph" w:customStyle="1" w:styleId="25">
    <w:name w:val="样式 标题 1标题 11Head 1wsah1一、标题2Part'Document章Ch + 加粗"/>
    <w:basedOn w:val="2"/>
    <w:qFormat/>
    <w:uiPriority w:val="0"/>
    <w:rPr>
      <w:rFonts w:ascii="黑体"/>
      <w:sz w:val="32"/>
    </w:rPr>
  </w:style>
  <w:style w:type="paragraph" w:customStyle="1" w:styleId="26">
    <w:name w:val="Char Char Char Char Char Char1 Char"/>
    <w:basedOn w:val="1"/>
    <w:qFormat/>
    <w:uiPriority w:val="0"/>
  </w:style>
  <w:style w:type="paragraph" w:customStyle="1" w:styleId="27">
    <w:name w:val="2"/>
    <w:basedOn w:val="1"/>
    <w:qFormat/>
    <w:uiPriority w:val="0"/>
    <w:pPr>
      <w:spacing w:line="360" w:lineRule="auto"/>
      <w:ind w:firstLine="200" w:firstLineChars="200"/>
    </w:pPr>
    <w:rPr>
      <w:rFonts w:ascii="宋体" w:hAnsi="宋体" w:cs="宋体"/>
      <w:sz w:val="24"/>
    </w:rPr>
  </w:style>
  <w:style w:type="paragraph" w:customStyle="1" w:styleId="28">
    <w:name w:val="Char Char Char Char Char Char1 Char1"/>
    <w:basedOn w:val="1"/>
    <w:qFormat/>
    <w:uiPriority w:val="0"/>
  </w:style>
  <w:style w:type="paragraph" w:customStyle="1" w:styleId="29">
    <w:name w:val="列出段落1"/>
    <w:basedOn w:val="1"/>
    <w:qFormat/>
    <w:uiPriority w:val="34"/>
    <w:pPr>
      <w:ind w:firstLine="420" w:firstLineChars="200"/>
    </w:pPr>
  </w:style>
  <w:style w:type="paragraph" w:customStyle="1" w:styleId="30">
    <w:name w:val="表文字"/>
    <w:link w:val="41"/>
    <w:semiHidden/>
    <w:qFormat/>
    <w:uiPriority w:val="0"/>
    <w:pPr>
      <w:widowControl w:val="0"/>
      <w:adjustRightInd w:val="0"/>
      <w:spacing w:line="240" w:lineRule="exact"/>
      <w:jc w:val="center"/>
      <w:textAlignment w:val="baseline"/>
    </w:pPr>
    <w:rPr>
      <w:rFonts w:ascii="Times New Roman" w:hAnsi="Times New Roman" w:eastAsia="宋体" w:cs="Times New Roman"/>
      <w:sz w:val="21"/>
      <w:szCs w:val="21"/>
      <w:lang w:val="en-US" w:eastAsia="zh-CN" w:bidi="ar-SA"/>
    </w:rPr>
  </w:style>
  <w:style w:type="paragraph" w:customStyle="1" w:styleId="31">
    <w:name w:val="Char"/>
    <w:basedOn w:val="1"/>
    <w:qFormat/>
    <w:uiPriority w:val="0"/>
    <w:pPr>
      <w:widowControl/>
      <w:tabs>
        <w:tab w:val="left" w:pos="360"/>
      </w:tabs>
      <w:jc w:val="left"/>
    </w:pPr>
    <w:rPr>
      <w:kern w:val="0"/>
      <w:sz w:val="24"/>
    </w:rPr>
  </w:style>
  <w:style w:type="paragraph" w:customStyle="1" w:styleId="32">
    <w:name w:val="Char1"/>
    <w:basedOn w:val="1"/>
    <w:qFormat/>
    <w:uiPriority w:val="0"/>
    <w:pPr>
      <w:widowControl/>
      <w:tabs>
        <w:tab w:val="left" w:pos="360"/>
      </w:tabs>
      <w:jc w:val="left"/>
    </w:pPr>
    <w:rPr>
      <w:kern w:val="0"/>
      <w:sz w:val="24"/>
    </w:rPr>
  </w:style>
  <w:style w:type="paragraph" w:customStyle="1" w:styleId="33">
    <w:name w:val="标题1"/>
    <w:basedOn w:val="8"/>
    <w:link w:val="44"/>
    <w:qFormat/>
    <w:uiPriority w:val="0"/>
    <w:pPr>
      <w:jc w:val="distribute"/>
    </w:pPr>
    <w:rPr>
      <w:rFonts w:ascii="方正小标宋简体" w:eastAsia="方正小标宋简体"/>
      <w:color w:val="FF0000"/>
      <w:spacing w:val="-8"/>
      <w:sz w:val="52"/>
      <w:szCs w:val="52"/>
    </w:rPr>
  </w:style>
  <w:style w:type="paragraph" w:customStyle="1" w:styleId="34">
    <w:name w:val="文号1"/>
    <w:basedOn w:val="1"/>
    <w:link w:val="45"/>
    <w:qFormat/>
    <w:uiPriority w:val="0"/>
    <w:pPr>
      <w:adjustRightInd w:val="0"/>
      <w:snapToGrid w:val="0"/>
      <w:spacing w:beforeLines="200" w:line="400" w:lineRule="exact"/>
      <w:jc w:val="center"/>
    </w:pPr>
    <w:rPr>
      <w:rFonts w:ascii="仿宋" w:hAnsi="仿宋" w:eastAsia="仿宋"/>
      <w:sz w:val="30"/>
      <w:szCs w:val="30"/>
    </w:rPr>
  </w:style>
  <w:style w:type="paragraph" w:customStyle="1" w:styleId="35">
    <w:name w:val="标题2"/>
    <w:basedOn w:val="14"/>
    <w:link w:val="47"/>
    <w:qFormat/>
    <w:uiPriority w:val="0"/>
    <w:rPr>
      <w:rFonts w:ascii="宋体" w:hAnsi="宋体" w:eastAsia="宋体"/>
      <w:b/>
    </w:rPr>
  </w:style>
  <w:style w:type="paragraph" w:customStyle="1" w:styleId="36">
    <w:name w:val="对象"/>
    <w:basedOn w:val="1"/>
    <w:link w:val="48"/>
    <w:qFormat/>
    <w:uiPriority w:val="0"/>
    <w:pPr>
      <w:spacing w:beforeLines="100" w:line="540" w:lineRule="exact"/>
    </w:pPr>
    <w:rPr>
      <w:rFonts w:ascii="仿宋" w:hAnsi="仿宋" w:eastAsia="仿宋"/>
      <w:sz w:val="32"/>
      <w:szCs w:val="32"/>
    </w:rPr>
  </w:style>
  <w:style w:type="paragraph" w:customStyle="1" w:styleId="37">
    <w:name w:val="正本"/>
    <w:basedOn w:val="1"/>
    <w:link w:val="49"/>
    <w:qFormat/>
    <w:uiPriority w:val="0"/>
    <w:pPr>
      <w:spacing w:line="540" w:lineRule="exact"/>
      <w:ind w:firstLine="200" w:firstLineChars="200"/>
    </w:pPr>
    <w:rPr>
      <w:rFonts w:eastAsia="仿宋"/>
      <w:sz w:val="32"/>
      <w:szCs w:val="32"/>
    </w:rPr>
  </w:style>
  <w:style w:type="paragraph" w:customStyle="1" w:styleId="38">
    <w:name w:val="落款日期"/>
    <w:basedOn w:val="1"/>
    <w:link w:val="50"/>
    <w:qFormat/>
    <w:uiPriority w:val="0"/>
    <w:pPr>
      <w:spacing w:beforeLines="400" w:line="540" w:lineRule="exact"/>
      <w:ind w:right="200" w:rightChars="200" w:firstLine="200" w:firstLineChars="200"/>
      <w:jc w:val="right"/>
    </w:pPr>
    <w:rPr>
      <w:rFonts w:ascii="仿宋" w:hAnsi="仿宋" w:eastAsia="仿宋"/>
      <w:sz w:val="32"/>
      <w:szCs w:val="32"/>
    </w:rPr>
  </w:style>
  <w:style w:type="paragraph" w:customStyle="1" w:styleId="39">
    <w:name w:val="落款单位"/>
    <w:basedOn w:val="38"/>
    <w:link w:val="51"/>
    <w:qFormat/>
    <w:uiPriority w:val="0"/>
    <w:pPr>
      <w:ind w:right="300" w:rightChars="300" w:firstLine="0" w:firstLineChars="0"/>
    </w:pPr>
    <w:rPr>
      <w:rFonts w:eastAsia="仿宋_GB2312"/>
    </w:rPr>
  </w:style>
  <w:style w:type="character" w:customStyle="1" w:styleId="40">
    <w:name w:val="页脚 字符"/>
    <w:link w:val="12"/>
    <w:qFormat/>
    <w:uiPriority w:val="99"/>
    <w:rPr>
      <w:kern w:val="2"/>
      <w:sz w:val="18"/>
      <w:szCs w:val="18"/>
    </w:rPr>
  </w:style>
  <w:style w:type="character" w:customStyle="1" w:styleId="41">
    <w:name w:val="表文字 Char1"/>
    <w:link w:val="30"/>
    <w:semiHidden/>
    <w:qFormat/>
    <w:uiPriority w:val="0"/>
    <w:rPr>
      <w:sz w:val="21"/>
      <w:szCs w:val="21"/>
      <w:lang w:val="en-US" w:eastAsia="zh-CN" w:bidi="ar-SA"/>
    </w:rPr>
  </w:style>
  <w:style w:type="character" w:customStyle="1" w:styleId="42">
    <w:name w:val="日期 字符"/>
    <w:link w:val="10"/>
    <w:qFormat/>
    <w:uiPriority w:val="0"/>
    <w:rPr>
      <w:kern w:val="2"/>
      <w:sz w:val="21"/>
      <w:szCs w:val="24"/>
    </w:rPr>
  </w:style>
  <w:style w:type="character" w:customStyle="1" w:styleId="43">
    <w:name w:val="正文文本 字符"/>
    <w:link w:val="8"/>
    <w:qFormat/>
    <w:uiPriority w:val="0"/>
    <w:rPr>
      <w:b/>
      <w:kern w:val="2"/>
      <w:sz w:val="32"/>
    </w:rPr>
  </w:style>
  <w:style w:type="character" w:customStyle="1" w:styleId="44">
    <w:name w:val="标题1 字符"/>
    <w:link w:val="33"/>
    <w:qFormat/>
    <w:uiPriority w:val="0"/>
    <w:rPr>
      <w:rFonts w:ascii="方正小标宋简体" w:eastAsia="方正小标宋简体"/>
      <w:b/>
      <w:color w:val="FF0000"/>
      <w:spacing w:val="-8"/>
      <w:kern w:val="2"/>
      <w:sz w:val="52"/>
      <w:szCs w:val="52"/>
    </w:rPr>
  </w:style>
  <w:style w:type="character" w:customStyle="1" w:styleId="45">
    <w:name w:val="文号1 字符"/>
    <w:link w:val="34"/>
    <w:qFormat/>
    <w:uiPriority w:val="0"/>
    <w:rPr>
      <w:rFonts w:ascii="仿宋" w:hAnsi="仿宋" w:eastAsia="仿宋"/>
      <w:kern w:val="2"/>
      <w:sz w:val="30"/>
      <w:szCs w:val="30"/>
    </w:rPr>
  </w:style>
  <w:style w:type="character" w:customStyle="1" w:styleId="46">
    <w:name w:val="正文文本 2 字符"/>
    <w:link w:val="14"/>
    <w:qFormat/>
    <w:uiPriority w:val="0"/>
    <w:rPr>
      <w:rFonts w:ascii="方正小标宋简体" w:eastAsia="方正小标宋简体"/>
      <w:bCs/>
      <w:kern w:val="2"/>
      <w:sz w:val="44"/>
      <w:szCs w:val="44"/>
    </w:rPr>
  </w:style>
  <w:style w:type="character" w:customStyle="1" w:styleId="47">
    <w:name w:val="标题2 字符"/>
    <w:link w:val="35"/>
    <w:qFormat/>
    <w:uiPriority w:val="0"/>
    <w:rPr>
      <w:rFonts w:ascii="宋体" w:hAnsi="宋体"/>
      <w:b/>
      <w:bCs/>
      <w:kern w:val="2"/>
      <w:sz w:val="44"/>
      <w:szCs w:val="44"/>
    </w:rPr>
  </w:style>
  <w:style w:type="character" w:customStyle="1" w:styleId="48">
    <w:name w:val="对象 字符"/>
    <w:link w:val="36"/>
    <w:qFormat/>
    <w:uiPriority w:val="0"/>
    <w:rPr>
      <w:rFonts w:ascii="仿宋" w:hAnsi="仿宋" w:eastAsia="仿宋"/>
      <w:kern w:val="2"/>
      <w:sz w:val="32"/>
      <w:szCs w:val="32"/>
    </w:rPr>
  </w:style>
  <w:style w:type="character" w:customStyle="1" w:styleId="49">
    <w:name w:val="正本 字符"/>
    <w:link w:val="37"/>
    <w:qFormat/>
    <w:uiPriority w:val="0"/>
    <w:rPr>
      <w:rFonts w:eastAsia="仿宋"/>
      <w:kern w:val="2"/>
      <w:sz w:val="32"/>
      <w:szCs w:val="32"/>
    </w:rPr>
  </w:style>
  <w:style w:type="character" w:customStyle="1" w:styleId="50">
    <w:name w:val="落款日期 字符"/>
    <w:link w:val="38"/>
    <w:qFormat/>
    <w:uiPriority w:val="0"/>
    <w:rPr>
      <w:rFonts w:ascii="仿宋" w:hAnsi="仿宋" w:eastAsia="仿宋"/>
      <w:kern w:val="2"/>
      <w:sz w:val="32"/>
      <w:szCs w:val="32"/>
    </w:rPr>
  </w:style>
  <w:style w:type="character" w:customStyle="1" w:styleId="51">
    <w:name w:val="落款单位 字符"/>
    <w:link w:val="39"/>
    <w:qFormat/>
    <w:uiPriority w:val="0"/>
    <w:rPr>
      <w:rFonts w:ascii="仿宋" w:hAnsi="仿宋" w:eastAsia="仿宋_GB2312"/>
      <w:kern w:val="2"/>
      <w:sz w:val="32"/>
      <w:szCs w:val="32"/>
    </w:rPr>
  </w:style>
  <w:style w:type="character" w:customStyle="1" w:styleId="52">
    <w:name w:val="批注文字 字符"/>
    <w:link w:val="7"/>
    <w:qFormat/>
    <w:uiPriority w:val="0"/>
    <w:rPr>
      <w:kern w:val="2"/>
      <w:sz w:val="21"/>
      <w:szCs w:val="24"/>
    </w:rPr>
  </w:style>
  <w:style w:type="character" w:customStyle="1" w:styleId="53">
    <w:name w:val="批注主题 字符"/>
    <w:link w:val="15"/>
    <w:qFormat/>
    <w:uiPriority w:val="0"/>
    <w:rPr>
      <w:b/>
      <w:bCs/>
      <w:kern w:val="2"/>
      <w:sz w:val="21"/>
      <w:szCs w:val="24"/>
    </w:rPr>
  </w:style>
  <w:style w:type="character" w:customStyle="1" w:styleId="54">
    <w:name w:val="批注框文本 字符"/>
    <w:link w:val="11"/>
    <w:qFormat/>
    <w:uiPriority w:val="0"/>
    <w:rPr>
      <w:kern w:val="2"/>
      <w:sz w:val="18"/>
      <w:szCs w:val="18"/>
    </w:rPr>
  </w:style>
  <w:style w:type="paragraph" w:styleId="55">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WWW.YlmF.CoM</Company>
  <Pages>6</Pages>
  <Words>2351</Words>
  <Characters>2524</Characters>
  <Lines>25</Lines>
  <Paragraphs>7</Paragraphs>
  <TotalTime>21</TotalTime>
  <ScaleCrop>false</ScaleCrop>
  <LinksUpToDate>false</LinksUpToDate>
  <CharactersWithSpaces>2606</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2024-08-01T03:35:00Z</dcterms:created>
  <dc:creator>雨林木风</dc:creator>
  <cp:lastModifiedBy>Roo</cp:lastModifiedBy>
  <cp:lastPrinted>2025-09-08T03:09:00Z</cp:lastPrinted>
  <dcterms:modified xsi:type="dcterms:W3CDTF">2026-01-15T07:51:11Z</dcterms:modified>
  <dc:title>柳环审字〔2012〕号</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71D8DF5FC9D9496898BA8A579E32BA3D_13</vt:lpwstr>
  </property>
  <property fmtid="{D5CDD505-2E9C-101B-9397-08002B2CF9AE}" pid="4" name="KSOTemplateDocerSaveRecord">
    <vt:lpwstr>eyJoZGlkIjoiNjdkZjg3YzQyMDQ4ZWZkODQ0MmYzZDZjYmNhZDFiOTciLCJ1c2VySWQiOiI3NDI3NDE5MTUifQ==</vt:lpwstr>
  </property>
</Properties>
</file>