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w:t>
      </w:r>
      <w:r>
        <w:rPr>
          <w:rFonts w:hint="eastAsia" w:ascii="Times New Roman" w:hAnsi="Times New Roman" w:eastAsia="仿宋_GB2312"/>
          <w:lang w:val="en-US" w:eastAsia="zh-CN"/>
        </w:rPr>
        <w:t>46</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5203E5BA">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lang w:eastAsia="zh-CN"/>
        </w:rPr>
      </w:pPr>
      <w:bookmarkStart w:id="1" w:name="_GoBack"/>
      <w:r>
        <w:rPr>
          <w:rFonts w:hint="eastAsia" w:cs="宋体"/>
        </w:rPr>
        <w:t>关于</w:t>
      </w:r>
      <w:bookmarkStart w:id="0" w:name="OLE_LINK6"/>
      <w:r>
        <w:rPr>
          <w:rFonts w:hint="eastAsia" w:cs="宋体"/>
          <w:lang w:eastAsia="zh-CN"/>
        </w:rPr>
        <w:t>广西瀚友木业有限公司</w:t>
      </w:r>
      <w:bookmarkEnd w:id="0"/>
    </w:p>
    <w:p w14:paraId="2F2397EC">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lang w:eastAsia="zh-CN"/>
        </w:rPr>
      </w:pPr>
      <w:r>
        <w:rPr>
          <w:rFonts w:hint="eastAsia" w:cs="宋体"/>
          <w:lang w:eastAsia="zh-CN"/>
        </w:rPr>
        <w:t>建设年产8万立方米胶合板生产线项目</w:t>
      </w:r>
    </w:p>
    <w:p w14:paraId="7038CAD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cs="宋体"/>
        </w:rPr>
      </w:pPr>
      <w:r>
        <w:rPr>
          <w:rFonts w:hint="eastAsia" w:cs="宋体"/>
        </w:rPr>
        <w:t>环境影响报告表的批复</w:t>
      </w:r>
      <w:bookmarkEnd w:id="1"/>
    </w:p>
    <w:p w14:paraId="13A60381">
      <w:pPr>
        <w:pStyle w:val="36"/>
        <w:keepNext w:val="0"/>
        <w:keepLines w:val="0"/>
        <w:pageBreakBefore w:val="0"/>
        <w:widowControl w:val="0"/>
        <w:kinsoku/>
        <w:wordWrap/>
        <w:overflowPunct/>
        <w:topLinePunct w:val="0"/>
        <w:autoSpaceDE/>
        <w:autoSpaceDN/>
        <w:bidi w:val="0"/>
        <w:adjustRightInd/>
        <w:snapToGrid/>
        <w:spacing w:before="312" w:line="480" w:lineRule="exact"/>
        <w:textAlignment w:val="auto"/>
        <w:rPr>
          <w:rFonts w:ascii="Times New Roman" w:hAnsi="Times New Roman" w:eastAsia="仿宋_GB2312" w:cs="仿宋_GB2312"/>
          <w:color w:val="000000"/>
        </w:rPr>
      </w:pPr>
      <w:r>
        <w:rPr>
          <w:rFonts w:hint="eastAsia" w:ascii="Times New Roman" w:hAnsi="Times New Roman" w:eastAsia="仿宋_GB2312" w:cs="仿宋_GB2312"/>
          <w:color w:val="000000"/>
          <w:lang w:eastAsia="zh-CN"/>
        </w:rPr>
        <w:t>广西瀚友木业有限公司</w:t>
      </w:r>
      <w:r>
        <w:rPr>
          <w:rFonts w:hint="eastAsia" w:ascii="Times New Roman" w:hAnsi="Times New Roman" w:eastAsia="仿宋_GB2312" w:cs="仿宋_GB2312"/>
          <w:color w:val="000000"/>
        </w:rPr>
        <w:t>：</w:t>
      </w:r>
    </w:p>
    <w:p w14:paraId="34CB166F">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eastAsia="仿宋_GB2312" w:cs="仿宋_GB2312"/>
          <w:color w:val="000000"/>
        </w:rPr>
      </w:pPr>
      <w:r>
        <w:rPr>
          <w:rFonts w:hint="eastAsia" w:eastAsia="仿宋_GB2312" w:cs="仿宋_GB2312"/>
          <w:color w:val="000000"/>
        </w:rPr>
        <w:t>你公司报来《</w:t>
      </w:r>
      <w:r>
        <w:rPr>
          <w:rFonts w:hint="eastAsia" w:eastAsia="仿宋_GB2312" w:cs="仿宋_GB2312"/>
          <w:color w:val="000000"/>
          <w:lang w:eastAsia="zh-CN"/>
        </w:rPr>
        <w:t>建设年产8万立方米胶合板生产线项目</w:t>
      </w:r>
      <w:r>
        <w:rPr>
          <w:rFonts w:hint="eastAsia" w:eastAsia="仿宋_GB2312" w:cs="仿宋_GB2312"/>
          <w:color w:val="000000"/>
        </w:rPr>
        <w:t>环境影响报告表》（以下简称《报告表》）收悉。经我局审核，现批复如下：</w:t>
      </w:r>
    </w:p>
    <w:p w14:paraId="688A23BD">
      <w:pPr>
        <w:pStyle w:val="37"/>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hint="eastAsia" w:eastAsia="仿宋_GB2312" w:cs="仿宋_GB2312"/>
          <w:color w:val="auto"/>
          <w:lang w:val="en-US" w:eastAsia="zh-CN"/>
        </w:rPr>
      </w:pPr>
      <w:r>
        <w:rPr>
          <w:rFonts w:hint="eastAsia" w:eastAsia="仿宋_GB2312" w:cs="仿宋_GB2312"/>
          <w:color w:val="000000"/>
        </w:rPr>
        <w:t>本项目为</w:t>
      </w:r>
      <w:r>
        <w:rPr>
          <w:rFonts w:hint="eastAsia" w:eastAsia="仿宋_GB2312" w:cs="仿宋_GB2312"/>
          <w:color w:val="000000"/>
          <w:lang w:val="en-US" w:eastAsia="zh-CN"/>
        </w:rPr>
        <w:t>新建</w:t>
      </w:r>
      <w:r>
        <w:rPr>
          <w:rFonts w:hint="eastAsia" w:eastAsia="仿宋_GB2312" w:cs="仿宋_GB2312"/>
          <w:color w:val="000000"/>
        </w:rPr>
        <w:t>工程，位于广西壮族自治区柳州市柳城县马山镇四塘农场原七队生活区，</w:t>
      </w:r>
      <w:r>
        <w:rPr>
          <w:rFonts w:hint="eastAsia" w:eastAsia="仿宋_GB2312" w:cs="仿宋_GB2312"/>
        </w:rPr>
        <w:t>占地面积</w:t>
      </w:r>
      <w:r>
        <w:rPr>
          <w:rFonts w:hint="default" w:eastAsia="仿宋_GB2312" w:cs="仿宋_GB2312"/>
          <w:lang w:val="en-US" w:eastAsia="zh-CN"/>
        </w:rPr>
        <w:t>19558</w:t>
      </w:r>
      <w:r>
        <w:rPr>
          <w:rFonts w:hint="eastAsia" w:eastAsia="仿宋_GB2312" w:cs="仿宋_GB2312"/>
          <w:color w:val="auto"/>
        </w:rPr>
        <w:t>平方米。建设规模：</w:t>
      </w:r>
      <w:r>
        <w:rPr>
          <w:rFonts w:hint="eastAsia" w:eastAsia="仿宋_GB2312" w:cs="仿宋_GB2312"/>
          <w:color w:val="auto"/>
          <w:lang w:val="en-US" w:eastAsia="zh-CN"/>
        </w:rPr>
        <w:t>建设一条年产8万立方米胶合板生产线。</w:t>
      </w:r>
    </w:p>
    <w:p w14:paraId="502DC679">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eastAsia="仿宋_GB2312" w:cs="仿宋_GB2312"/>
          <w:color w:val="auto"/>
          <w:lang w:val="en-US" w:eastAsia="zh-CN"/>
        </w:rPr>
      </w:pPr>
      <w:r>
        <w:rPr>
          <w:rFonts w:hint="eastAsia" w:eastAsia="仿宋_GB2312" w:cs="仿宋_GB2312"/>
          <w:color w:val="auto"/>
        </w:rPr>
        <w:t>项目建设内容包括</w:t>
      </w:r>
      <w:r>
        <w:rPr>
          <w:rFonts w:hint="eastAsia" w:eastAsia="仿宋_GB2312" w:cs="仿宋_GB2312"/>
          <w:color w:val="auto"/>
          <w:lang w:val="en-US" w:eastAsia="zh-CN"/>
        </w:rPr>
        <w:t>主体</w:t>
      </w:r>
      <w:r>
        <w:rPr>
          <w:rFonts w:hint="eastAsia" w:eastAsia="仿宋_GB2312" w:cs="仿宋_GB2312"/>
          <w:color w:val="auto"/>
        </w:rPr>
        <w:t>工程</w:t>
      </w:r>
      <w:r>
        <w:rPr>
          <w:rFonts w:hint="eastAsia" w:eastAsia="仿宋_GB2312" w:cs="仿宋_GB2312"/>
          <w:color w:val="auto"/>
          <w:lang w:eastAsia="zh-CN"/>
        </w:rPr>
        <w:t>（</w:t>
      </w:r>
      <w:r>
        <w:rPr>
          <w:rFonts w:hint="eastAsia" w:eastAsia="仿宋_GB2312" w:cs="仿宋_GB2312"/>
          <w:color w:val="auto"/>
          <w:lang w:val="en-US" w:eastAsia="zh-CN"/>
        </w:rPr>
        <w:t>1#厂房、2#厂房、锅炉房</w:t>
      </w:r>
      <w:r>
        <w:rPr>
          <w:rFonts w:hint="eastAsia"/>
          <w:color w:val="auto"/>
          <w:szCs w:val="20"/>
          <w:lang w:val="en-US" w:eastAsia="zh-CN"/>
        </w:rPr>
        <w:t>等</w:t>
      </w:r>
      <w:r>
        <w:rPr>
          <w:rFonts w:hint="eastAsia" w:eastAsia="仿宋_GB2312" w:cs="仿宋_GB2312"/>
          <w:color w:val="auto"/>
          <w:lang w:val="en-US" w:eastAsia="zh-CN"/>
        </w:rPr>
        <w:t>）；辅助工程（办公室、1#宿舍、2#宿舍等）；储运工程（原材料区、成品区等）；公用工程（给水、排水、供电、供热等）；环保工程（2根17米高排气筒、1根35米高排气筒、1套二级活性炭吸附装置、1套布袋除尘器、1套“旋风+布袋除尘器”、1个占地20平方米的一般固废暂存区、1间占地10平方米的危险废物暂存间等）；详见《报告表》。</w:t>
      </w:r>
    </w:p>
    <w:p w14:paraId="4BC08BC1">
      <w:pPr>
        <w:pStyle w:val="37"/>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eastAsia="仿宋_GB2312" w:cs="仿宋_GB2312"/>
          <w:color w:val="auto"/>
        </w:rPr>
      </w:pPr>
      <w:r>
        <w:rPr>
          <w:rFonts w:hint="eastAsia" w:eastAsia="仿宋_GB2312" w:cs="仿宋_GB2312"/>
          <w:color w:val="auto"/>
        </w:rPr>
        <w:t>项目不涉及自然保护区、饮用水源保护区、文物保护单位、</w:t>
      </w:r>
      <w:r>
        <w:rPr>
          <w:rFonts w:hint="eastAsia" w:eastAsia="仿宋_GB2312" w:cs="仿宋_GB2312"/>
          <w:color w:val="auto"/>
          <w:lang w:val="en-US" w:eastAsia="zh-CN"/>
        </w:rPr>
        <w:t>地质公园、风景名胜区、基本农田等特殊保护对象。项目总投资3000.00万元</w:t>
      </w:r>
      <w:r>
        <w:rPr>
          <w:rFonts w:hint="eastAsia" w:eastAsia="仿宋_GB2312" w:cs="仿宋_GB2312"/>
          <w:color w:val="auto"/>
        </w:rPr>
        <w:t>，其中环保投资</w:t>
      </w:r>
      <w:r>
        <w:rPr>
          <w:rFonts w:hint="eastAsia" w:eastAsia="仿宋_GB2312" w:cs="仿宋_GB2312"/>
          <w:color w:val="auto"/>
          <w:lang w:val="en-US" w:eastAsia="zh-CN"/>
        </w:rPr>
        <w:t>42.70</w:t>
      </w:r>
      <w:r>
        <w:rPr>
          <w:rFonts w:hint="eastAsia" w:eastAsia="仿宋_GB2312" w:cs="仿宋_GB2312"/>
          <w:color w:val="auto"/>
        </w:rPr>
        <w:t>万元</w:t>
      </w:r>
      <w:r>
        <w:rPr>
          <w:rFonts w:hint="eastAsia" w:eastAsia="仿宋_GB2312" w:cs="仿宋_GB2312"/>
          <w:color w:val="auto"/>
          <w:lang w:eastAsia="zh-CN"/>
        </w:rPr>
        <w:t>，</w:t>
      </w:r>
      <w:r>
        <w:rPr>
          <w:rFonts w:hint="eastAsia" w:eastAsia="仿宋_GB2312" w:cs="仿宋_GB2312"/>
          <w:color w:val="auto"/>
          <w:lang w:val="en-US" w:eastAsia="zh-CN"/>
        </w:rPr>
        <w:t>占比1.42%</w:t>
      </w:r>
      <w:r>
        <w:rPr>
          <w:rFonts w:hint="eastAsia" w:eastAsia="仿宋_GB2312" w:cs="仿宋_GB2312"/>
          <w:color w:val="auto"/>
        </w:rPr>
        <w:t>。</w:t>
      </w:r>
    </w:p>
    <w:p w14:paraId="2F77293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420" w:firstLineChars="0"/>
        <w:jc w:val="both"/>
        <w:textAlignment w:val="auto"/>
        <w:rPr>
          <w:rFonts w:eastAsia="仿宋_GB2312" w:cs="仿宋_GB2312"/>
          <w:sz w:val="32"/>
          <w:szCs w:val="32"/>
        </w:rPr>
      </w:pPr>
      <w:r>
        <w:rPr>
          <w:rFonts w:hint="eastAsia" w:eastAsia="仿宋_GB2312" w:cs="仿宋_GB2312"/>
          <w:color w:val="auto"/>
          <w:sz w:val="32"/>
          <w:szCs w:val="32"/>
        </w:rPr>
        <w:t>项目已获得广西壮族自治区投资项目备案证明</w:t>
      </w:r>
      <w:r>
        <w:rPr>
          <w:rFonts w:hint="eastAsia" w:eastAsia="仿宋_GB2312" w:cs="仿宋_GB2312"/>
          <w:color w:val="auto"/>
          <w:sz w:val="32"/>
          <w:szCs w:val="32"/>
          <w:lang w:eastAsia="zh-CN"/>
        </w:rPr>
        <w:t>，</w:t>
      </w:r>
      <w:r>
        <w:rPr>
          <w:rFonts w:hint="eastAsia" w:eastAsia="仿宋_GB2312" w:cs="仿宋_GB2312"/>
          <w:color w:val="auto"/>
          <w:sz w:val="32"/>
          <w:szCs w:val="32"/>
        </w:rPr>
        <w:t>从环境影响角度考虑，同意你公司按照《报告表》所列建设项目的地点、</w:t>
      </w:r>
      <w:r>
        <w:rPr>
          <w:rFonts w:hint="eastAsia" w:eastAsia="仿宋_GB2312" w:cs="仿宋_GB2312"/>
          <w:sz w:val="32"/>
          <w:szCs w:val="32"/>
        </w:rPr>
        <w:t>性质、规模、采取的环境保护对策措施及下述要求进行项目建设。项目须落实《报告表》提出的各项环保要求，重点抓好以下环保工作：</w:t>
      </w:r>
    </w:p>
    <w:p w14:paraId="404EB6EA">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hint="eastAsia" w:eastAsia="仿宋_GB2312" w:cs="仿宋_GB2312"/>
          <w:color w:val="auto"/>
          <w:sz w:val="32"/>
          <w:szCs w:val="32"/>
        </w:rPr>
      </w:pPr>
      <w:r>
        <w:rPr>
          <w:rFonts w:hint="eastAsia" w:eastAsia="仿宋_GB2312" w:cs="仿宋_GB2312"/>
          <w:color w:val="auto"/>
          <w:sz w:val="32"/>
          <w:szCs w:val="32"/>
          <w:lang w:val="en-US" w:eastAsia="zh-CN"/>
        </w:rPr>
        <w:t>项目涂胶、热压工序产生的</w:t>
      </w:r>
      <w:r>
        <w:rPr>
          <w:rFonts w:hint="eastAsia" w:eastAsia="仿宋_GB2312" w:cs="仿宋_GB2312"/>
          <w:color w:val="auto"/>
          <w:sz w:val="32"/>
          <w:szCs w:val="32"/>
        </w:rPr>
        <w:t>废气经</w:t>
      </w:r>
      <w:r>
        <w:rPr>
          <w:rFonts w:hint="eastAsia" w:eastAsia="仿宋_GB2312" w:cs="仿宋_GB2312"/>
          <w:color w:val="auto"/>
          <w:sz w:val="32"/>
          <w:szCs w:val="32"/>
          <w:lang w:val="en-US" w:eastAsia="zh-CN"/>
        </w:rPr>
        <w:t>集气罩收集后通过二级活性炭吸附装置处理，经1根17米</w:t>
      </w:r>
      <w:r>
        <w:rPr>
          <w:rFonts w:hint="eastAsia" w:eastAsia="仿宋_GB2312" w:cs="仿宋_GB2312"/>
          <w:color w:val="auto"/>
          <w:sz w:val="32"/>
          <w:szCs w:val="32"/>
        </w:rPr>
        <w:t>高排气筒（DA001）排放</w:t>
      </w:r>
      <w:r>
        <w:rPr>
          <w:rFonts w:hint="eastAsia" w:eastAsia="仿宋_GB2312" w:cs="仿宋_GB2312"/>
          <w:color w:val="auto"/>
          <w:sz w:val="32"/>
          <w:szCs w:val="32"/>
          <w:lang w:eastAsia="zh-CN"/>
        </w:rPr>
        <w:t>，</w:t>
      </w:r>
      <w:r>
        <w:rPr>
          <w:rFonts w:hint="eastAsia" w:eastAsia="仿宋_GB2312" w:cs="仿宋_GB2312"/>
          <w:color w:val="auto"/>
          <w:sz w:val="32"/>
          <w:szCs w:val="32"/>
        </w:rPr>
        <w:t>须确保</w:t>
      </w:r>
      <w:r>
        <w:rPr>
          <w:rFonts w:hint="eastAsia" w:eastAsia="仿宋_GB2312" w:cs="仿宋_GB2312"/>
          <w:color w:val="auto"/>
          <w:sz w:val="32"/>
          <w:szCs w:val="32"/>
          <w:lang w:val="en-US" w:eastAsia="zh-CN"/>
        </w:rPr>
        <w:t>有组织外排的甲醛、非甲烷总烃的排放浓度和速率达到GB 16297-1996《大气污染物综合排放标准》中表2新污染源大气污染物排放限值要求。</w:t>
      </w:r>
    </w:p>
    <w:p w14:paraId="04749214">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eastAsia="仿宋_GB2312" w:cs="仿宋_GB2312"/>
          <w:color w:val="auto"/>
          <w:sz w:val="32"/>
          <w:szCs w:val="32"/>
        </w:rPr>
      </w:pPr>
      <w:r>
        <w:rPr>
          <w:rFonts w:hint="eastAsia" w:eastAsia="仿宋_GB2312" w:cs="仿宋_GB2312"/>
          <w:color w:val="auto"/>
          <w:sz w:val="32"/>
          <w:szCs w:val="32"/>
        </w:rPr>
        <w:t>项目砂光、锯边</w:t>
      </w:r>
      <w:r>
        <w:rPr>
          <w:rFonts w:hint="eastAsia" w:eastAsia="仿宋_GB2312" w:cs="仿宋_GB2312"/>
          <w:color w:val="auto"/>
          <w:sz w:val="32"/>
          <w:szCs w:val="32"/>
          <w:lang w:val="en-US" w:eastAsia="zh-CN"/>
        </w:rPr>
        <w:t>工序产生的废气经集尘管收集后通过布袋除尘器处理，经1根17米高排气筒（DA002）排放，须确保有组织外排的颗粒物的排放浓度和速率达到GB 16297-1996《大气污染物综合排放标准》中表2新污染源大气污染物排放限值要求。</w:t>
      </w:r>
    </w:p>
    <w:p w14:paraId="7D9C99D9">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eastAsia="仿宋_GB2312" w:cs="仿宋_GB2312"/>
          <w:color w:val="auto"/>
          <w:sz w:val="32"/>
          <w:szCs w:val="32"/>
        </w:rPr>
      </w:pPr>
      <w:r>
        <w:rPr>
          <w:rFonts w:hint="eastAsia" w:eastAsia="仿宋_GB2312" w:cs="仿宋_GB2312"/>
          <w:color w:val="auto"/>
          <w:sz w:val="32"/>
          <w:szCs w:val="32"/>
          <w:lang w:val="en-US" w:eastAsia="zh-CN"/>
        </w:rPr>
        <w:t>项目拟建一台额定蒸发量为5蒸吨/小时的燃生物质蒸汽发生器，锅炉废气经“旋风+布袋除尘器”处理后通过1根35米高排气筒（DA003）排放，须确保有组织外排的颗粒物、二氧化硫、氮氧化物的排放浓度和烟气黑度达到GB 13271-2014《锅炉大气污染物排放标准》表2新建锅炉大气污染物排放浓度限值中燃煤锅炉排放限值要求。</w:t>
      </w:r>
    </w:p>
    <w:p w14:paraId="61BE6B2E">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eastAsia="仿宋_GB2312" w:cs="仿宋_GB2312"/>
          <w:color w:val="auto"/>
          <w:sz w:val="32"/>
          <w:szCs w:val="32"/>
        </w:rPr>
      </w:pPr>
      <w:r>
        <w:rPr>
          <w:rFonts w:hint="eastAsia" w:eastAsia="仿宋_GB2312" w:cs="仿宋_GB2312"/>
          <w:color w:val="auto"/>
          <w:sz w:val="32"/>
          <w:szCs w:val="32"/>
          <w:lang w:val="en-US" w:eastAsia="zh-CN"/>
        </w:rPr>
        <w:t>项目涂胶、热压、</w:t>
      </w:r>
      <w:r>
        <w:rPr>
          <w:rFonts w:hint="eastAsia" w:eastAsia="仿宋_GB2312" w:cs="仿宋_GB2312"/>
          <w:color w:val="auto"/>
          <w:sz w:val="32"/>
          <w:szCs w:val="32"/>
        </w:rPr>
        <w:t>砂光、锯边</w:t>
      </w:r>
      <w:r>
        <w:rPr>
          <w:rFonts w:hint="eastAsia" w:eastAsia="仿宋_GB2312" w:cs="仿宋_GB2312"/>
          <w:color w:val="auto"/>
          <w:sz w:val="32"/>
          <w:szCs w:val="32"/>
          <w:lang w:val="en-US" w:eastAsia="zh-CN"/>
        </w:rPr>
        <w:t>工序未被收集的废气无组织排放，须确保厂界的颗粒物、非甲烷总烃、甲醛排放浓度达到GB 16297-1996《大气污染物综合排放标准》中表2新污染源大气污染物排放限值无组织排放监控浓度限值标准要求；厂内非甲烷总烃无组织排放监控点浓度达到GB 37822-2019《挥发性有机物无组织排放控制标准》中表A.1厂区内VOCs无组织排放限值要求。</w:t>
      </w:r>
    </w:p>
    <w:p w14:paraId="0175E7B7">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无生产废水外排，锅炉废水全部用于厂区降尘后蒸发损耗，不得外排；生活污水经化粪池处理后定期委外清掏用作周边环境施肥</w:t>
      </w:r>
      <w:r>
        <w:rPr>
          <w:rFonts w:hint="eastAsia" w:eastAsia="仿宋_GB2312" w:cs="仿宋_GB2312"/>
          <w:color w:val="000000"/>
          <w:sz w:val="32"/>
          <w:szCs w:val="32"/>
          <w:lang w:eastAsia="zh-CN"/>
        </w:rPr>
        <w:t>。</w:t>
      </w:r>
    </w:p>
    <w:p w14:paraId="3203711E">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distribute"/>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优化总平面布置，选择低噪先进的设备。对噪声源较大的砂光机、锯边机、涂胶机、空压机、风机、热压机、冷压机等高噪声设备采取消声、减振措施后，确保厂界噪声达</w:t>
      </w:r>
    </w:p>
    <w:p w14:paraId="137FF4E7">
      <w:pPr>
        <w:pStyle w:val="55"/>
        <w:keepNext w:val="0"/>
        <w:keepLines w:val="0"/>
        <w:pageBreakBefore w:val="0"/>
        <w:widowControl w:val="0"/>
        <w:numPr>
          <w:numId w:val="0"/>
        </w:numPr>
        <w:kinsoku/>
        <w:wordWrap/>
        <w:overflowPunct/>
        <w:topLinePunct w:val="0"/>
        <w:autoSpaceDE/>
        <w:autoSpaceDN/>
        <w:bidi w:val="0"/>
        <w:adjustRightInd/>
        <w:snapToGrid/>
        <w:spacing w:line="480" w:lineRule="exact"/>
        <w:jc w:val="both"/>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到GB 12348-2008《工业企业厂界环境噪声排放标准》2类标准要求。</w:t>
      </w:r>
    </w:p>
    <w:p w14:paraId="7BB82DA3">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做好一般固体废物的综合利用和妥善处置工作。对碎木屑及大块木屑、木屑粉尘集中收集后外售处置；灰渣集中收集后外售给周边农户用作农肥；生活垃圾由环卫部门定期清运处理。须按GB 18599-2020《一般工业固体废物贮存和填埋污染控制标准》要求，建设规范的一般固体废物贮存设施。</w:t>
      </w:r>
    </w:p>
    <w:p w14:paraId="1F16900F">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eastAsia="仿宋_GB2312" w:cs="仿宋_GB2312"/>
          <w:color w:val="000000"/>
          <w:sz w:val="32"/>
          <w:szCs w:val="32"/>
        </w:rPr>
      </w:pP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18597-2023《危险废物贮存污染控制标准》，建设规范的</w:t>
      </w:r>
      <w:r>
        <w:rPr>
          <w:rFonts w:hint="eastAsia" w:eastAsia="仿宋_GB2312" w:cs="仿宋_GB2312"/>
          <w:color w:val="000000" w:themeColor="text1"/>
          <w:sz w:val="32"/>
          <w:szCs w:val="32"/>
          <w:lang w:val="en-US" w:eastAsia="zh-CN"/>
          <w14:textFill>
            <w14:solidFill>
              <w14:schemeClr w14:val="tx1"/>
            </w14:solidFill>
          </w14:textFill>
        </w:rPr>
        <w:t>废胶渣、废润滑油、废润滑油桶、废含油抹布、劳保用品、废活性炭</w:t>
      </w:r>
      <w:r>
        <w:rPr>
          <w:rFonts w:hint="eastAsia" w:eastAsia="仿宋_GB2312" w:cs="仿宋_GB2312"/>
          <w:color w:val="000000"/>
          <w:sz w:val="32"/>
          <w:szCs w:val="32"/>
        </w:rPr>
        <w:t>的收集临时存放设施</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并</w:t>
      </w:r>
      <w:r>
        <w:rPr>
          <w:rFonts w:hint="eastAsia" w:eastAsia="仿宋_GB2312" w:cs="仿宋_GB2312"/>
          <w:color w:val="000000"/>
          <w:sz w:val="32"/>
          <w:szCs w:val="32"/>
        </w:rPr>
        <w:t>设立明显的危废标志</w:t>
      </w:r>
      <w:r>
        <w:rPr>
          <w:rFonts w:hint="eastAsia" w:eastAsia="仿宋_GB2312" w:cs="仿宋_GB2312"/>
          <w:color w:val="000000"/>
          <w:sz w:val="32"/>
          <w:szCs w:val="32"/>
          <w:lang w:eastAsia="zh-CN"/>
        </w:rPr>
        <w:t>，</w:t>
      </w:r>
      <w:r>
        <w:rPr>
          <w:rFonts w:hint="eastAsia" w:eastAsia="仿宋_GB2312" w:cs="仿宋_GB2312"/>
          <w:color w:val="000000"/>
          <w:sz w:val="32"/>
          <w:szCs w:val="32"/>
        </w:rPr>
        <w:t>危险废物须定期收集并交由有危险废物处置资质的单位按规定处理、处置，不得随意堆放、擅自外排。</w:t>
      </w:r>
      <w:r>
        <w:rPr>
          <w:rFonts w:hint="eastAsia" w:eastAsia="仿宋_GB2312" w:cs="仿宋_GB2312"/>
          <w:color w:val="000000"/>
          <w:sz w:val="32"/>
          <w:szCs w:val="32"/>
          <w:lang w:val="en-US" w:eastAsia="zh-CN"/>
        </w:rPr>
        <w:t>须</w:t>
      </w:r>
      <w:r>
        <w:rPr>
          <w:rFonts w:hint="eastAsia" w:eastAsia="仿宋_GB2312" w:cs="仿宋_GB2312"/>
          <w:color w:val="000000"/>
          <w:sz w:val="32"/>
          <w:szCs w:val="32"/>
        </w:rPr>
        <w:t>做好危险废物处置及转移联单的台</w:t>
      </w:r>
      <w:r>
        <w:rPr>
          <w:rFonts w:hint="eastAsia" w:eastAsia="仿宋_GB2312" w:cs="仿宋_GB2312"/>
          <w:color w:val="000000"/>
          <w:sz w:val="32"/>
          <w:szCs w:val="32"/>
          <w:lang w:val="en-US" w:eastAsia="zh-CN"/>
        </w:rPr>
        <w:t>账</w:t>
      </w:r>
      <w:r>
        <w:rPr>
          <w:rFonts w:hint="eastAsia" w:eastAsia="仿宋_GB2312" w:cs="仿宋_GB2312"/>
          <w:color w:val="000000"/>
          <w:sz w:val="32"/>
          <w:szCs w:val="32"/>
        </w:rPr>
        <w:t>记录。</w:t>
      </w:r>
    </w:p>
    <w:p w14:paraId="16526108">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distribute"/>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按</w:t>
      </w:r>
      <w:r>
        <w:rPr>
          <w:rFonts w:hint="eastAsia" w:eastAsia="仿宋_GB2312" w:cs="仿宋_GB2312"/>
          <w:color w:val="000000"/>
          <w:sz w:val="32"/>
          <w:szCs w:val="32"/>
          <w:lang w:val="en-US" w:eastAsia="zh-CN"/>
        </w:rPr>
        <w:t>照</w:t>
      </w:r>
      <w:r>
        <w:rPr>
          <w:rFonts w:hint="eastAsia" w:ascii="Times New Roman" w:hAnsi="Times New Roman" w:eastAsia="仿宋_GB2312" w:cs="仿宋_GB2312"/>
          <w:color w:val="000000"/>
          <w:sz w:val="32"/>
          <w:szCs w:val="32"/>
        </w:rPr>
        <w:t>分区防渗原则落实各项防渗措施。</w:t>
      </w:r>
      <w:r>
        <w:rPr>
          <w:rFonts w:hint="eastAsia" w:ascii="Times New Roman" w:hAnsi="Times New Roman" w:eastAsia="仿宋_GB2312" w:cs="仿宋_GB2312"/>
          <w:color w:val="000000"/>
          <w:sz w:val="32"/>
          <w:szCs w:val="32"/>
          <w:lang w:val="en-US" w:eastAsia="zh-CN"/>
        </w:rPr>
        <w:t>参</w:t>
      </w:r>
    </w:p>
    <w:p w14:paraId="5A28F8A3">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照</w:t>
      </w:r>
      <w:r>
        <w:rPr>
          <w:rFonts w:hint="eastAsia" w:ascii="Times New Roman" w:hAnsi="Times New Roman" w:eastAsia="仿宋_GB2312" w:cs="仿宋_GB2312"/>
          <w:color w:val="000000"/>
          <w:sz w:val="32"/>
          <w:szCs w:val="32"/>
        </w:rPr>
        <w:t>HJ 610</w:t>
      </w:r>
      <w:r>
        <w:rPr>
          <w:rFonts w:hint="eastAsia"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2016</w:t>
      </w:r>
      <w:r>
        <w:rPr>
          <w:rFonts w:hint="eastAsia" w:ascii="Times New Roman" w:hAnsi="Times New Roman" w:eastAsia="仿宋_GB2312" w:cs="仿宋_GB2312"/>
          <w:color w:val="000000"/>
          <w:sz w:val="32"/>
          <w:szCs w:val="32"/>
          <w:lang w:eastAsia="zh-CN"/>
        </w:rPr>
        <w:t>《环境影响评价技术导则</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地下水环境》</w:t>
      </w:r>
      <w:r>
        <w:rPr>
          <w:rFonts w:hint="eastAsia" w:ascii="Times New Roman" w:hAnsi="Times New Roman" w:eastAsia="仿宋_GB2312" w:cs="仿宋_GB2312"/>
          <w:color w:val="000000"/>
          <w:sz w:val="32"/>
          <w:szCs w:val="32"/>
          <w:lang w:val="en-US" w:eastAsia="zh-CN"/>
        </w:rPr>
        <w:t>中建设项目污染防控对策要求和GB 18597-2023《危险废物贮存污染控制标准》中贮存设施污染控制要求，须对管道、设备、</w:t>
      </w:r>
      <w:r>
        <w:rPr>
          <w:rFonts w:hint="eastAsia" w:eastAsia="仿宋_GB2312" w:cs="仿宋_GB2312"/>
          <w:color w:val="000000"/>
          <w:sz w:val="32"/>
          <w:szCs w:val="32"/>
          <w:lang w:val="en-US" w:eastAsia="zh-CN"/>
        </w:rPr>
        <w:t>设施</w:t>
      </w:r>
      <w:r>
        <w:rPr>
          <w:rFonts w:hint="eastAsia" w:ascii="Times New Roman" w:hAnsi="Times New Roman" w:eastAsia="仿宋_GB2312" w:cs="仿宋_GB2312"/>
          <w:color w:val="000000"/>
          <w:sz w:val="32"/>
          <w:szCs w:val="32"/>
          <w:lang w:val="en-US" w:eastAsia="zh-CN"/>
        </w:rPr>
        <w:t>采取污染防控措施，将污染物跑、冒、滴、漏降到最低限度；</w:t>
      </w:r>
      <w:r>
        <w:rPr>
          <w:rFonts w:hint="eastAsia" w:ascii="Times New Roman" w:hAnsi="Times New Roman" w:eastAsia="仿宋_GB2312" w:cs="仿宋_GB2312"/>
          <w:color w:val="000000"/>
          <w:sz w:val="32"/>
          <w:szCs w:val="32"/>
        </w:rPr>
        <w:t>须对原料区</w:t>
      </w:r>
      <w:r>
        <w:rPr>
          <w:rFonts w:hint="eastAsia" w:eastAsia="仿宋_GB2312" w:cs="仿宋_GB2312"/>
          <w:color w:val="000000"/>
          <w:sz w:val="32"/>
          <w:szCs w:val="32"/>
          <w:lang w:val="en-US" w:eastAsia="zh-CN"/>
        </w:rPr>
        <w:t>和危险废物暂存间</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做好重点防渗</w:t>
      </w:r>
      <w:r>
        <w:rPr>
          <w:rFonts w:hint="eastAsia" w:ascii="Times New Roman" w:hAnsi="Times New Roman" w:eastAsia="仿宋_GB2312" w:cs="仿宋_GB2312"/>
          <w:color w:val="000000"/>
          <w:sz w:val="32"/>
          <w:szCs w:val="32"/>
        </w:rPr>
        <w:t>处理</w:t>
      </w:r>
      <w:r>
        <w:rPr>
          <w:rFonts w:hint="eastAsia" w:ascii="Times New Roman" w:hAnsi="Times New Roman" w:eastAsia="仿宋_GB2312" w:cs="仿宋_GB2312"/>
          <w:color w:val="000000"/>
          <w:sz w:val="32"/>
          <w:szCs w:val="32"/>
          <w:lang w:val="en-US" w:eastAsia="zh-CN"/>
        </w:rPr>
        <w:t>；对化粪池</w:t>
      </w:r>
      <w:r>
        <w:rPr>
          <w:rFonts w:hint="eastAsia" w:eastAsia="仿宋_GB2312" w:cs="仿宋_GB2312"/>
          <w:color w:val="000000"/>
          <w:sz w:val="32"/>
          <w:szCs w:val="32"/>
          <w:lang w:val="en-US" w:eastAsia="zh-CN"/>
        </w:rPr>
        <w:t>按要求做好一般防渗处理；对</w:t>
      </w:r>
      <w:r>
        <w:rPr>
          <w:rFonts w:hint="eastAsia" w:ascii="Times New Roman" w:hAnsi="Times New Roman" w:eastAsia="仿宋_GB2312" w:cs="仿宋_GB2312"/>
          <w:color w:val="000000"/>
          <w:sz w:val="32"/>
          <w:szCs w:val="32"/>
          <w:lang w:val="en-US" w:eastAsia="zh-CN"/>
        </w:rPr>
        <w:t>除重点、一般防渗区以外的区域</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做好简单防</w:t>
      </w:r>
      <w:r>
        <w:rPr>
          <w:rFonts w:hint="eastAsia" w:ascii="Times New Roman" w:hAnsi="Times New Roman" w:eastAsia="仿宋_GB2312" w:cs="仿宋_GB2312"/>
          <w:color w:val="000000"/>
          <w:sz w:val="32"/>
          <w:szCs w:val="32"/>
        </w:rPr>
        <w:t>渗处理。按照GB 15562.1-1995《环境保护图形标志—排</w:t>
      </w:r>
      <w:r>
        <w:rPr>
          <w:rFonts w:hint="eastAsia" w:eastAsia="仿宋_GB2312" w:cs="仿宋_GB2312"/>
          <w:color w:val="000000"/>
          <w:sz w:val="32"/>
          <w:szCs w:val="32"/>
          <w:lang w:val="en-US" w:eastAsia="zh-CN"/>
        </w:rPr>
        <w:t>放</w:t>
      </w:r>
      <w:r>
        <w:rPr>
          <w:rFonts w:hint="eastAsia" w:ascii="Times New Roman" w:hAnsi="Times New Roman" w:eastAsia="仿宋_GB2312" w:cs="仿宋_GB2312"/>
          <w:color w:val="000000"/>
          <w:sz w:val="32"/>
          <w:szCs w:val="32"/>
        </w:rPr>
        <w:t>口（源）》和原国家环保总局《关于开展排污口规范化整治工作的通知》（环发〔1999〕24号）附件有关规定建设规范化排污口。须按排污许可</w:t>
      </w:r>
      <w:r>
        <w:rPr>
          <w:rFonts w:hint="eastAsia" w:eastAsia="仿宋_GB2312" w:cs="仿宋_GB2312"/>
          <w:color w:val="000000"/>
          <w:sz w:val="32"/>
          <w:szCs w:val="32"/>
          <w:lang w:val="en-US" w:eastAsia="zh-CN"/>
        </w:rPr>
        <w:t>及《报告表》的</w:t>
      </w:r>
      <w:r>
        <w:rPr>
          <w:rFonts w:hint="eastAsia" w:ascii="Times New Roman" w:hAnsi="Times New Roman" w:eastAsia="仿宋_GB2312" w:cs="仿宋_GB2312"/>
          <w:color w:val="000000"/>
          <w:sz w:val="32"/>
          <w:szCs w:val="32"/>
        </w:rPr>
        <w:t>相关管理要求定期进行监测。</w:t>
      </w:r>
    </w:p>
    <w:p w14:paraId="1A9CD805">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5"/>
        <w:keepNext w:val="0"/>
        <w:keepLines w:val="0"/>
        <w:pageBreakBefore w:val="0"/>
        <w:widowControl w:val="0"/>
        <w:numPr>
          <w:ilvl w:val="2"/>
          <w:numId w:val="2"/>
        </w:numPr>
        <w:kinsoku/>
        <w:wordWrap/>
        <w:overflowPunct/>
        <w:topLinePunct w:val="0"/>
        <w:autoSpaceDE/>
        <w:autoSpaceDN/>
        <w:bidi w:val="0"/>
        <w:adjustRightInd/>
        <w:snapToGrid/>
        <w:spacing w:line="480" w:lineRule="exact"/>
        <w:ind w:left="0"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4F7A4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2025年</w:t>
      </w:r>
      <w:r>
        <w:rPr>
          <w:rFonts w:hint="eastAsia" w:eastAsia="仿宋_GB2312" w:cs="仿宋_GB2312"/>
          <w:color w:val="000000" w:themeColor="text1"/>
          <w:sz w:val="32"/>
          <w:szCs w:val="32"/>
          <w:lang w:val="en-US" w:eastAsia="zh-CN"/>
          <w14:textFill>
            <w14:solidFill>
              <w14:schemeClr w14:val="tx1"/>
            </w14:solidFill>
          </w14:textFill>
        </w:rPr>
        <w:t>12</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19</w:t>
      </w:r>
      <w:r>
        <w:rPr>
          <w:rFonts w:hint="eastAsia" w:eastAsia="仿宋_GB2312" w:cs="仿宋_GB2312"/>
          <w:color w:val="000000" w:themeColor="text1"/>
          <w:sz w:val="32"/>
          <w:szCs w:val="32"/>
          <w14:textFill>
            <w14:solidFill>
              <w14:schemeClr w14:val="tx1"/>
            </w14:solidFill>
          </w14:textFill>
        </w:rPr>
        <w:t>日</w:t>
      </w:r>
    </w:p>
    <w:p w14:paraId="3C7131F1">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391F946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576CD7FD">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652ACFF8">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40ADC717">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5CBF13D">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52D765BB">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5520C92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854F3AC">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76F361AA">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0FD7F027">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4377E2F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（此页无正文）</w:t>
      </w:r>
    </w:p>
    <w:p w14:paraId="2432B025">
      <w:pPr>
        <w:pStyle w:val="2"/>
        <w:rPr>
          <w:rFonts w:hint="eastAsia" w:ascii="Times New Roman" w:hAnsi="Times New Roman" w:eastAsia="仿宋_GB2312" w:cs="仿宋_GB2312"/>
          <w:color w:val="000000"/>
          <w:kern w:val="2"/>
          <w:sz w:val="32"/>
          <w:szCs w:val="32"/>
          <w:lang w:val="en-US" w:eastAsia="zh-CN" w:bidi="ar-SA"/>
        </w:rPr>
      </w:pPr>
    </w:p>
    <w:p w14:paraId="61F911E1">
      <w:pPr>
        <w:pStyle w:val="3"/>
        <w:rPr>
          <w:rFonts w:hint="eastAsia" w:ascii="Times New Roman" w:hAnsi="Times New Roman" w:eastAsia="仿宋_GB2312" w:cs="仿宋_GB2312"/>
          <w:color w:val="000000"/>
          <w:kern w:val="2"/>
          <w:sz w:val="32"/>
          <w:szCs w:val="32"/>
          <w:lang w:val="en-US" w:eastAsia="zh-CN" w:bidi="ar-SA"/>
        </w:rPr>
      </w:pPr>
    </w:p>
    <w:p w14:paraId="430D34BB">
      <w:pPr>
        <w:rPr>
          <w:rFonts w:hint="eastAsia" w:ascii="Times New Roman" w:hAnsi="Times New Roman" w:eastAsia="仿宋_GB2312" w:cs="仿宋_GB2312"/>
          <w:color w:val="000000"/>
          <w:kern w:val="2"/>
          <w:sz w:val="32"/>
          <w:szCs w:val="32"/>
          <w:lang w:val="en-US" w:eastAsia="zh-CN" w:bidi="ar-SA"/>
        </w:rPr>
      </w:pPr>
    </w:p>
    <w:p w14:paraId="75D8FF54">
      <w:pPr>
        <w:pStyle w:val="2"/>
        <w:rPr>
          <w:rFonts w:hint="eastAsia" w:ascii="Times New Roman" w:hAnsi="Times New Roman" w:eastAsia="仿宋_GB2312" w:cs="仿宋_GB2312"/>
          <w:color w:val="000000"/>
          <w:kern w:val="2"/>
          <w:sz w:val="32"/>
          <w:szCs w:val="32"/>
          <w:lang w:val="en-US" w:eastAsia="zh-CN" w:bidi="ar-SA"/>
        </w:rPr>
      </w:pPr>
    </w:p>
    <w:p w14:paraId="05AEC251">
      <w:pPr>
        <w:pStyle w:val="3"/>
        <w:rPr>
          <w:rFonts w:hint="eastAsia" w:ascii="Times New Roman" w:hAnsi="Times New Roman" w:eastAsia="仿宋_GB2312" w:cs="仿宋_GB2312"/>
          <w:color w:val="000000"/>
          <w:kern w:val="2"/>
          <w:sz w:val="32"/>
          <w:szCs w:val="32"/>
          <w:lang w:val="en-US" w:eastAsia="zh-CN" w:bidi="ar-SA"/>
        </w:rPr>
      </w:pPr>
    </w:p>
    <w:p w14:paraId="5E4EC626">
      <w:pPr>
        <w:rPr>
          <w:rFonts w:hint="eastAsia" w:ascii="Times New Roman" w:hAnsi="Times New Roman" w:eastAsia="仿宋_GB2312" w:cs="仿宋_GB2312"/>
          <w:color w:val="000000"/>
          <w:kern w:val="2"/>
          <w:sz w:val="32"/>
          <w:szCs w:val="32"/>
          <w:lang w:val="en-US" w:eastAsia="zh-CN" w:bidi="ar-SA"/>
        </w:rPr>
      </w:pPr>
    </w:p>
    <w:p w14:paraId="12717FC6">
      <w:pPr>
        <w:pStyle w:val="2"/>
        <w:rPr>
          <w:rFonts w:hint="eastAsia" w:ascii="Times New Roman" w:hAnsi="Times New Roman" w:eastAsia="仿宋_GB2312" w:cs="仿宋_GB2312"/>
          <w:color w:val="000000"/>
          <w:kern w:val="2"/>
          <w:sz w:val="32"/>
          <w:szCs w:val="32"/>
          <w:lang w:val="en-US" w:eastAsia="zh-CN" w:bidi="ar-SA"/>
        </w:rPr>
      </w:pPr>
    </w:p>
    <w:p w14:paraId="200AC798">
      <w:pPr>
        <w:pStyle w:val="3"/>
        <w:rPr>
          <w:rFonts w:hint="eastAsia" w:ascii="Times New Roman" w:hAnsi="Times New Roman" w:eastAsia="仿宋_GB2312" w:cs="仿宋_GB2312"/>
          <w:color w:val="000000"/>
          <w:kern w:val="2"/>
          <w:sz w:val="32"/>
          <w:szCs w:val="32"/>
          <w:lang w:val="en-US" w:eastAsia="zh-CN" w:bidi="ar-SA"/>
        </w:rPr>
      </w:pPr>
    </w:p>
    <w:p w14:paraId="632EDD89">
      <w:pPr>
        <w:rPr>
          <w:rFonts w:hint="eastAsia" w:ascii="Times New Roman" w:hAnsi="Times New Roman" w:eastAsia="仿宋_GB2312" w:cs="仿宋_GB2312"/>
          <w:color w:val="000000"/>
          <w:kern w:val="2"/>
          <w:sz w:val="32"/>
          <w:szCs w:val="32"/>
          <w:lang w:val="en-US" w:eastAsia="zh-CN" w:bidi="ar-SA"/>
        </w:rPr>
      </w:pPr>
    </w:p>
    <w:p w14:paraId="7A14587D">
      <w:pPr>
        <w:pStyle w:val="2"/>
        <w:rPr>
          <w:rFonts w:hint="eastAsia" w:ascii="Times New Roman" w:hAnsi="Times New Roman" w:eastAsia="仿宋_GB2312" w:cs="仿宋_GB2312"/>
          <w:color w:val="000000"/>
          <w:kern w:val="2"/>
          <w:sz w:val="32"/>
          <w:szCs w:val="32"/>
          <w:lang w:val="en-US" w:eastAsia="zh-CN" w:bidi="ar-SA"/>
        </w:rPr>
      </w:pPr>
    </w:p>
    <w:p w14:paraId="63FAEDE7">
      <w:pPr>
        <w:pStyle w:val="3"/>
        <w:rPr>
          <w:rFonts w:hint="eastAsia" w:ascii="Times New Roman" w:hAnsi="Times New Roman" w:eastAsia="仿宋_GB2312" w:cs="仿宋_GB2312"/>
          <w:color w:val="000000"/>
          <w:kern w:val="2"/>
          <w:sz w:val="32"/>
          <w:szCs w:val="32"/>
          <w:lang w:val="en-US" w:eastAsia="zh-CN" w:bidi="ar-SA"/>
        </w:rPr>
      </w:pPr>
    </w:p>
    <w:p w14:paraId="608736D6">
      <w:pPr>
        <w:pStyle w:val="3"/>
        <w:rPr>
          <w:rFonts w:hint="eastAsia"/>
          <w:lang w:val="en-US" w:eastAsia="zh-CN"/>
        </w:rPr>
      </w:pPr>
    </w:p>
    <w:p w14:paraId="6E2A7A3A">
      <w:pPr>
        <w:pStyle w:val="2"/>
        <w:ind w:left="0" w:leftChars="0" w:firstLine="0" w:firstLineChars="0"/>
        <w:rPr>
          <w:rFonts w:hint="eastAsia"/>
          <w:lang w:val="en-US" w:eastAsia="zh-CN"/>
        </w:rPr>
      </w:pPr>
    </w:p>
    <w:p w14:paraId="66D4CA79">
      <w:pPr>
        <w:spacing w:line="480" w:lineRule="exact"/>
        <w:jc w:val="distribute"/>
        <w:rPr>
          <w:rFonts w:hint="default" w:eastAsia="仿宋_GB2312" w:cs="仿宋_GB2312"/>
          <w:bCs/>
          <w:color w:val="000000" w:themeColor="text1"/>
          <w:sz w:val="28"/>
          <w:szCs w:val="28"/>
          <w:u w:val="single"/>
          <w:lang w:val="en-US"/>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val="en-US" w:eastAsia="zh-CN"/>
          <w14:textFill>
            <w14:solidFill>
              <w14:schemeClr w14:val="tx1"/>
            </w14:solidFill>
          </w14:textFill>
        </w:rPr>
        <w:t xml:space="preserve">2505-450222-04-05-314203 </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2025年</w:t>
      </w:r>
      <w:r>
        <w:rPr>
          <w:rFonts w:hint="eastAsia" w:eastAsia="仿宋_GB2312" w:cs="仿宋_GB2312"/>
          <w:color w:val="000000" w:themeColor="text1"/>
          <w:u w:val="single"/>
          <w:lang w:val="en-US" w:eastAsia="zh-CN"/>
          <w14:textFill>
            <w14:solidFill>
              <w14:schemeClr w14:val="tx1"/>
            </w14:solidFill>
          </w14:textFill>
        </w:rPr>
        <w:t>12</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19</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8093"/>
    <w:multiLevelType w:val="singleLevel"/>
    <w:tmpl w:val="8C418093"/>
    <w:lvl w:ilvl="0" w:tentative="0">
      <w:start w:val="1"/>
      <w:numFmt w:val="chineseCounting"/>
      <w:suff w:val="nothing"/>
      <w:lvlText w:val="%1、"/>
      <w:lvlJc w:val="left"/>
      <w:pPr>
        <w:ind w:left="0" w:firstLine="420"/>
      </w:pPr>
      <w:rPr>
        <w:rFonts w:hint="eastAsia"/>
      </w:rPr>
    </w:lvl>
  </w:abstractNum>
  <w:abstractNum w:abstractNumId="1">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20E6C42"/>
    <w:rsid w:val="0252066A"/>
    <w:rsid w:val="041F0B43"/>
    <w:rsid w:val="049F2426"/>
    <w:rsid w:val="05E05A25"/>
    <w:rsid w:val="06053772"/>
    <w:rsid w:val="086E3851"/>
    <w:rsid w:val="095A6639"/>
    <w:rsid w:val="0A410022"/>
    <w:rsid w:val="0A4D58DB"/>
    <w:rsid w:val="0AAF03C9"/>
    <w:rsid w:val="0B5A4560"/>
    <w:rsid w:val="0CCC4FEA"/>
    <w:rsid w:val="0E7A1DC9"/>
    <w:rsid w:val="0FFA73AA"/>
    <w:rsid w:val="10D00A20"/>
    <w:rsid w:val="112D1E11"/>
    <w:rsid w:val="118218DF"/>
    <w:rsid w:val="12AA36D7"/>
    <w:rsid w:val="137F1409"/>
    <w:rsid w:val="14C20BA7"/>
    <w:rsid w:val="14CC4A81"/>
    <w:rsid w:val="156839A2"/>
    <w:rsid w:val="16290DB7"/>
    <w:rsid w:val="16484048"/>
    <w:rsid w:val="1650447E"/>
    <w:rsid w:val="17441D00"/>
    <w:rsid w:val="195F2621"/>
    <w:rsid w:val="1CDE639F"/>
    <w:rsid w:val="1E641526"/>
    <w:rsid w:val="20012DA5"/>
    <w:rsid w:val="21001530"/>
    <w:rsid w:val="21F661EB"/>
    <w:rsid w:val="22FE42F5"/>
    <w:rsid w:val="23634FD8"/>
    <w:rsid w:val="246C599D"/>
    <w:rsid w:val="247C6E9E"/>
    <w:rsid w:val="24D44515"/>
    <w:rsid w:val="27D01156"/>
    <w:rsid w:val="27F21951"/>
    <w:rsid w:val="29EE7EF6"/>
    <w:rsid w:val="2C5C383D"/>
    <w:rsid w:val="2E82647A"/>
    <w:rsid w:val="2EA210B7"/>
    <w:rsid w:val="2ED87595"/>
    <w:rsid w:val="2F681955"/>
    <w:rsid w:val="312B3D9E"/>
    <w:rsid w:val="319E36DA"/>
    <w:rsid w:val="321F6D79"/>
    <w:rsid w:val="322F37A1"/>
    <w:rsid w:val="32A970B0"/>
    <w:rsid w:val="340071A3"/>
    <w:rsid w:val="357647D0"/>
    <w:rsid w:val="37701980"/>
    <w:rsid w:val="37FD6B8A"/>
    <w:rsid w:val="38E0334C"/>
    <w:rsid w:val="39C80763"/>
    <w:rsid w:val="3B0D21A6"/>
    <w:rsid w:val="3B4B3979"/>
    <w:rsid w:val="3B844B5E"/>
    <w:rsid w:val="3C29347A"/>
    <w:rsid w:val="3C356139"/>
    <w:rsid w:val="3D1278DC"/>
    <w:rsid w:val="40D35433"/>
    <w:rsid w:val="41E225DE"/>
    <w:rsid w:val="43000F6E"/>
    <w:rsid w:val="436C2636"/>
    <w:rsid w:val="438D657A"/>
    <w:rsid w:val="43FE2FD4"/>
    <w:rsid w:val="44056A46"/>
    <w:rsid w:val="4491418D"/>
    <w:rsid w:val="44AF6A91"/>
    <w:rsid w:val="457E617A"/>
    <w:rsid w:val="45A21C32"/>
    <w:rsid w:val="480F6AC9"/>
    <w:rsid w:val="48EA262C"/>
    <w:rsid w:val="4A863467"/>
    <w:rsid w:val="4AEC23A3"/>
    <w:rsid w:val="4D0C04AB"/>
    <w:rsid w:val="4F0022F6"/>
    <w:rsid w:val="4F2F41A5"/>
    <w:rsid w:val="4FB82BD0"/>
    <w:rsid w:val="500E27F0"/>
    <w:rsid w:val="50D61560"/>
    <w:rsid w:val="51711BFB"/>
    <w:rsid w:val="523F1387"/>
    <w:rsid w:val="530473CA"/>
    <w:rsid w:val="535B5D4C"/>
    <w:rsid w:val="551E5CEB"/>
    <w:rsid w:val="55284354"/>
    <w:rsid w:val="564C1AF9"/>
    <w:rsid w:val="56521D3A"/>
    <w:rsid w:val="57867037"/>
    <w:rsid w:val="58DA37D1"/>
    <w:rsid w:val="5C252174"/>
    <w:rsid w:val="5C6456B3"/>
    <w:rsid w:val="5F2713ED"/>
    <w:rsid w:val="5FD0403C"/>
    <w:rsid w:val="60275934"/>
    <w:rsid w:val="628C5986"/>
    <w:rsid w:val="62A55DE6"/>
    <w:rsid w:val="643407A7"/>
    <w:rsid w:val="655A7348"/>
    <w:rsid w:val="66CB17CB"/>
    <w:rsid w:val="66EF51AA"/>
    <w:rsid w:val="691E364C"/>
    <w:rsid w:val="69A006B2"/>
    <w:rsid w:val="6A044068"/>
    <w:rsid w:val="6A9B1512"/>
    <w:rsid w:val="6AD14E1A"/>
    <w:rsid w:val="6B453112"/>
    <w:rsid w:val="6C832144"/>
    <w:rsid w:val="6CDD66BA"/>
    <w:rsid w:val="6D3F29A4"/>
    <w:rsid w:val="6E147762"/>
    <w:rsid w:val="6E423939"/>
    <w:rsid w:val="6E6C6C08"/>
    <w:rsid w:val="6F524050"/>
    <w:rsid w:val="6F800BBD"/>
    <w:rsid w:val="6FA76BBE"/>
    <w:rsid w:val="73816CB2"/>
    <w:rsid w:val="73D0568F"/>
    <w:rsid w:val="779F4932"/>
    <w:rsid w:val="77F1407E"/>
    <w:rsid w:val="797C1F3C"/>
    <w:rsid w:val="79B3410A"/>
    <w:rsid w:val="7B62386D"/>
    <w:rsid w:val="7B7B048A"/>
    <w:rsid w:val="7CB7465C"/>
    <w:rsid w:val="7CF95B0B"/>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after="330" w:line="578" w:lineRule="auto"/>
    </w:pPr>
    <w:rPr>
      <w:b w:val="0"/>
      <w:bCs w:val="0"/>
      <w:kern w:val="44"/>
      <w:sz w:val="44"/>
      <w:szCs w:val="44"/>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firstLineChars="200"/>
    </w:pPr>
    <w:rPr>
      <w:sz w:val="24"/>
    </w:rPr>
  </w:style>
  <w:style w:type="paragraph" w:styleId="5">
    <w:name w:val="Title"/>
    <w:basedOn w:val="1"/>
    <w:next w:val="1"/>
    <w:qFormat/>
    <w:uiPriority w:val="0"/>
    <w:pPr>
      <w:spacing w:before="330" w:after="340"/>
      <w:jc w:val="center"/>
      <w:outlineLvl w:val="0"/>
    </w:pPr>
    <w:rPr>
      <w:b/>
      <w:bCs/>
      <w:sz w:val="32"/>
      <w:szCs w:val="32"/>
    </w:rPr>
  </w:style>
  <w:style w:type="paragraph" w:styleId="7">
    <w:name w:val="annotation text"/>
    <w:basedOn w:val="1"/>
    <w:link w:val="52"/>
    <w:qFormat/>
    <w:uiPriority w:val="0"/>
    <w:pPr>
      <w:jc w:val="left"/>
    </w:pPr>
  </w:style>
  <w:style w:type="paragraph" w:styleId="8">
    <w:name w:val="Body Text"/>
    <w:basedOn w:val="1"/>
    <w:link w:val="43"/>
    <w:qFormat/>
    <w:uiPriority w:val="0"/>
    <w:rPr>
      <w:b/>
      <w:sz w:val="32"/>
      <w:szCs w:val="20"/>
    </w:rPr>
  </w:style>
  <w:style w:type="paragraph" w:styleId="9">
    <w:name w:val="Body Text Indent"/>
    <w:basedOn w:val="1"/>
    <w:next w:val="2"/>
    <w:qFormat/>
    <w:uiPriority w:val="0"/>
    <w:pPr>
      <w:spacing w:after="120"/>
      <w:ind w:left="420" w:leftChars="200"/>
    </w:pPr>
  </w:style>
  <w:style w:type="paragraph" w:styleId="10">
    <w:name w:val="Date"/>
    <w:basedOn w:val="1"/>
    <w:next w:val="1"/>
    <w:link w:val="42"/>
    <w:qFormat/>
    <w:uiPriority w:val="0"/>
    <w:pPr>
      <w:ind w:left="100" w:leftChars="2500"/>
    </w:pPr>
  </w:style>
  <w:style w:type="paragraph" w:styleId="11">
    <w:name w:val="Balloon Text"/>
    <w:basedOn w:val="1"/>
    <w:link w:val="54"/>
    <w:qFormat/>
    <w:uiPriority w:val="0"/>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7"/>
    <w:next w:val="7"/>
    <w:link w:val="53"/>
    <w:qFormat/>
    <w:uiPriority w:val="0"/>
    <w:rPr>
      <w:b/>
      <w:bCs/>
    </w:rPr>
  </w:style>
  <w:style w:type="paragraph" w:styleId="16">
    <w:name w:val="Body Text First Indent 2"/>
    <w:basedOn w:val="9"/>
    <w:next w:val="17"/>
    <w:qFormat/>
    <w:uiPriority w:val="0"/>
    <w:pPr>
      <w:ind w:firstLine="420" w:firstLineChars="200"/>
    </w:pPr>
  </w:style>
  <w:style w:type="paragraph" w:customStyle="1" w:styleId="17">
    <w:name w:val="报告正文"/>
    <w:basedOn w:val="1"/>
    <w:qFormat/>
    <w:uiPriority w:val="0"/>
    <w:pPr>
      <w:tabs>
        <w:tab w:val="left" w:pos="0"/>
      </w:tabs>
      <w:spacing w:line="360" w:lineRule="auto"/>
      <w:ind w:firstLine="420" w:firstLineChars="200"/>
    </w:pPr>
    <w:rPr>
      <w:color w:val="000000"/>
    </w:r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4"/>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8"/>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2"/>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0"/>
    <w:qFormat/>
    <w:uiPriority w:val="0"/>
    <w:rPr>
      <w:kern w:val="2"/>
      <w:sz w:val="21"/>
      <w:szCs w:val="24"/>
    </w:rPr>
  </w:style>
  <w:style w:type="character" w:customStyle="1" w:styleId="43">
    <w:name w:val="正文文本 字符"/>
    <w:link w:val="8"/>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7"/>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1"/>
    <w:qFormat/>
    <w:uiPriority w:val="0"/>
    <w:rPr>
      <w:kern w:val="2"/>
      <w:sz w:val="18"/>
      <w:szCs w:val="18"/>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2568</Words>
  <Characters>2776</Characters>
  <Lines>25</Lines>
  <Paragraphs>7</Paragraphs>
  <TotalTime>138</TotalTime>
  <ScaleCrop>false</ScaleCrop>
  <LinksUpToDate>false</LinksUpToDate>
  <CharactersWithSpaces>2864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Roo</cp:lastModifiedBy>
  <cp:lastPrinted>2025-12-19T03:20:04Z</cp:lastPrinted>
  <dcterms:modified xsi:type="dcterms:W3CDTF">2025-12-19T05:24:49Z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6E3E1295B8A54CFDB91E7E12F4D3170A_13</vt:lpwstr>
  </property>
  <property fmtid="{D5CDD505-2E9C-101B-9397-08002B2CF9AE}" pid="4" name="KSOTemplateDocerSaveRecord">
    <vt:lpwstr>eyJoZGlkIjoiNjdkZjg3YzQyMDQ4ZWZkODQ0MmYzZDZjYmNhZDFiOTciLCJ1c2VySWQiOiI3NDI3NDE5MTUifQ==</vt:lpwstr>
  </property>
</Properties>
</file>