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w:t>
      </w:r>
      <w:r>
        <w:rPr>
          <w:rFonts w:hint="default" w:ascii="Times New Roman" w:hAnsi="Times New Roman" w:eastAsia="仿宋_GB2312"/>
          <w:lang w:val="en-US" w:eastAsia="zh-CN"/>
        </w:rPr>
        <w:t>40</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rPr>
        <w:t>关于</w:t>
      </w:r>
      <w:bookmarkStart w:id="0" w:name="OLE_LINK1"/>
      <w:bookmarkStart w:id="1" w:name="OLE_LINK6"/>
      <w:r>
        <w:rPr>
          <w:rFonts w:hint="eastAsia" w:cs="宋体"/>
          <w:lang w:eastAsia="zh-CN"/>
        </w:rPr>
        <w:t>柳州市郑雅机械有限公司</w:t>
      </w:r>
      <w:bookmarkEnd w:id="0"/>
      <w:r>
        <w:rPr>
          <w:rFonts w:hint="eastAsia" w:cs="宋体"/>
          <w:lang w:eastAsia="zh-CN"/>
        </w:rPr>
        <w:t>锚垫板生产项目</w:t>
      </w:r>
      <w:bookmarkEnd w:id="1"/>
      <w:r>
        <w:rPr>
          <w:rFonts w:hint="eastAsia" w:cs="宋体"/>
        </w:rPr>
        <w:t>环境影响报告表的批复</w:t>
      </w:r>
    </w:p>
    <w:p w14:paraId="13A60381">
      <w:pPr>
        <w:pStyle w:val="36"/>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柳州市郑雅机械有限公司</w:t>
      </w:r>
      <w:r>
        <w:rPr>
          <w:rFonts w:hint="eastAsia" w:ascii="Times New Roman" w:hAnsi="Times New Roman" w:eastAsia="仿宋_GB2312" w:cs="仿宋_GB2312"/>
          <w:color w:val="000000"/>
        </w:rPr>
        <w:t>：</w:t>
      </w:r>
    </w:p>
    <w:p w14:paraId="34CB166F">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color w:val="000000"/>
        </w:rPr>
      </w:pPr>
      <w:r>
        <w:rPr>
          <w:rFonts w:hint="eastAsia" w:eastAsia="仿宋_GB2312" w:cs="仿宋_GB2312"/>
          <w:color w:val="000000"/>
        </w:rPr>
        <w:t>你公司报来《</w:t>
      </w:r>
      <w:r>
        <w:rPr>
          <w:rFonts w:hint="eastAsia" w:eastAsia="仿宋_GB2312" w:cs="仿宋_GB2312"/>
          <w:color w:val="000000"/>
          <w:lang w:eastAsia="zh-CN"/>
        </w:rPr>
        <w:t>柳州市郑雅机械有限公司锚垫板生产项目</w:t>
      </w:r>
      <w:r>
        <w:rPr>
          <w:rFonts w:hint="eastAsia" w:eastAsia="仿宋_GB2312" w:cs="仿宋_GB2312"/>
          <w:color w:val="000000"/>
        </w:rPr>
        <w:t>环境影响报告表》（以下简称《报告表》）收悉。经我局审核，现批复如下：</w:t>
      </w:r>
    </w:p>
    <w:p w14:paraId="0214F612">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rPr>
      </w:pPr>
      <w:r>
        <w:rPr>
          <w:rFonts w:hint="eastAsia" w:eastAsia="仿宋_GB2312" w:cs="仿宋_GB2312"/>
          <w:color w:val="000000"/>
        </w:rPr>
        <w:t>一、本项目为</w:t>
      </w:r>
      <w:r>
        <w:rPr>
          <w:rFonts w:hint="eastAsia" w:eastAsia="仿宋_GB2312" w:cs="仿宋_GB2312"/>
          <w:color w:val="000000"/>
          <w:lang w:val="en-US" w:eastAsia="zh-CN"/>
        </w:rPr>
        <w:t>新建</w:t>
      </w:r>
      <w:r>
        <w:rPr>
          <w:rFonts w:hint="eastAsia" w:eastAsia="仿宋_GB2312" w:cs="仿宋_GB2312"/>
          <w:color w:val="000000"/>
        </w:rPr>
        <w:t>工程，位于广西壮族自治区</w:t>
      </w:r>
      <w:bookmarkStart w:id="2" w:name="OLE_LINK4"/>
      <w:r>
        <w:rPr>
          <w:rFonts w:hint="eastAsia" w:eastAsia="仿宋_GB2312" w:cs="仿宋_GB2312"/>
          <w:color w:val="000000"/>
        </w:rPr>
        <w:t>柳州市</w:t>
      </w:r>
      <w:bookmarkStart w:id="3" w:name="OLE_LINK12"/>
      <w:r>
        <w:rPr>
          <w:rFonts w:hint="eastAsia" w:eastAsia="仿宋_GB2312" w:cs="仿宋_GB2312"/>
          <w:color w:val="000000"/>
        </w:rPr>
        <w:t>柳城县沙埔镇沙埔村那并屯4号原沙埔村委第二纸厂场地及房屋</w:t>
      </w:r>
      <w:bookmarkEnd w:id="2"/>
      <w:bookmarkEnd w:id="3"/>
      <w:r>
        <w:rPr>
          <w:rFonts w:hint="eastAsia" w:eastAsia="仿宋_GB2312" w:cs="仿宋_GB2312"/>
          <w:color w:val="000000"/>
        </w:rPr>
        <w:t>，</w:t>
      </w:r>
      <w:r>
        <w:rPr>
          <w:rFonts w:hint="eastAsia" w:eastAsia="仿宋_GB2312" w:cs="仿宋_GB2312"/>
        </w:rPr>
        <w:t>占地面积</w:t>
      </w:r>
      <w:r>
        <w:rPr>
          <w:rFonts w:hint="eastAsia" w:eastAsia="仿宋_GB2312" w:cs="仿宋_GB2312"/>
          <w:lang w:val="en-US" w:eastAsia="zh-CN"/>
        </w:rPr>
        <w:t>2</w:t>
      </w:r>
      <w:r>
        <w:rPr>
          <w:rFonts w:hint="default" w:eastAsia="仿宋_GB2312" w:cs="仿宋_GB2312"/>
          <w:lang w:val="en-US" w:eastAsia="zh-CN"/>
        </w:rPr>
        <w:t>7</w:t>
      </w:r>
      <w:r>
        <w:rPr>
          <w:rFonts w:hint="eastAsia" w:eastAsia="仿宋_GB2312" w:cs="仿宋_GB2312"/>
          <w:lang w:val="en-US" w:eastAsia="zh-CN"/>
        </w:rPr>
        <w:t>00</w:t>
      </w:r>
      <w:r>
        <w:rPr>
          <w:rFonts w:hint="eastAsia" w:eastAsia="仿宋_GB2312" w:cs="仿宋_GB2312"/>
        </w:rPr>
        <w:t>平方米。建设规模：</w:t>
      </w:r>
      <w:r>
        <w:rPr>
          <w:rFonts w:hint="eastAsia" w:eastAsia="仿宋_GB2312" w:cs="仿宋_GB2312"/>
          <w:lang w:val="en-US" w:eastAsia="zh-CN"/>
        </w:rPr>
        <w:t>建设锚垫板生产线，年产3000吨锚垫板</w:t>
      </w:r>
      <w:r>
        <w:rPr>
          <w:rFonts w:hint="eastAsia" w:eastAsia="仿宋_GB2312" w:cs="仿宋_GB2312"/>
        </w:rPr>
        <w:t>。</w:t>
      </w:r>
    </w:p>
    <w:p w14:paraId="502DC679">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仿宋_GB2312"/>
          <w:lang w:val="en-US" w:eastAsia="zh-CN"/>
        </w:rPr>
      </w:pPr>
      <w:r>
        <w:rPr>
          <w:rFonts w:hint="eastAsia" w:eastAsia="仿宋_GB2312" w:cs="仿宋_GB2312"/>
        </w:rPr>
        <w:t>项目建设内容包括</w:t>
      </w:r>
      <w:r>
        <w:rPr>
          <w:rFonts w:hint="eastAsia" w:eastAsia="仿宋_GB2312" w:cs="仿宋_GB2312"/>
          <w:lang w:val="en-US" w:eastAsia="zh-CN"/>
        </w:rPr>
        <w:t>主体</w:t>
      </w:r>
      <w:r>
        <w:rPr>
          <w:rFonts w:hint="eastAsia" w:eastAsia="仿宋_GB2312" w:cs="仿宋_GB2312"/>
        </w:rPr>
        <w:t>工程</w:t>
      </w:r>
      <w:r>
        <w:rPr>
          <w:rFonts w:hint="eastAsia" w:eastAsia="仿宋_GB2312" w:cs="仿宋_GB2312"/>
          <w:lang w:eastAsia="zh-CN"/>
        </w:rPr>
        <w:t>（</w:t>
      </w:r>
      <w:r>
        <w:rPr>
          <w:rFonts w:hint="eastAsia" w:eastAsia="仿宋_GB2312" w:cs="仿宋_GB2312"/>
          <w:lang w:val="en-US" w:eastAsia="zh-CN"/>
        </w:rPr>
        <w:t>1#车间、2</w:t>
      </w:r>
      <w:r>
        <w:rPr>
          <w:rFonts w:hint="eastAsia"/>
          <w:color w:val="000000" w:themeColor="text1"/>
          <w:szCs w:val="20"/>
          <w14:textFill>
            <w14:solidFill>
              <w14:schemeClr w14:val="tx1"/>
            </w14:solidFill>
          </w14:textFill>
        </w:rPr>
        <w:t>#车间</w:t>
      </w:r>
      <w:r>
        <w:rPr>
          <w:rFonts w:hint="eastAsia"/>
          <w:color w:val="000000" w:themeColor="text1"/>
          <w:szCs w:val="20"/>
          <w:lang w:val="en-US" w:eastAsia="zh-CN"/>
          <w14:textFill>
            <w14:solidFill>
              <w14:schemeClr w14:val="tx1"/>
            </w14:solidFill>
          </w14:textFill>
        </w:rPr>
        <w:t>等</w:t>
      </w:r>
      <w:r>
        <w:rPr>
          <w:rFonts w:hint="eastAsia" w:eastAsia="仿宋_GB2312" w:cs="仿宋_GB2312"/>
          <w:lang w:val="en-US" w:eastAsia="zh-CN"/>
        </w:rPr>
        <w:t>）</w:t>
      </w:r>
      <w:r>
        <w:rPr>
          <w:rFonts w:hint="eastAsia" w:eastAsia="仿宋_GB2312" w:cs="仿宋_GB2312"/>
          <w:lang w:eastAsia="zh-CN"/>
        </w:rPr>
        <w:t>；</w:t>
      </w:r>
      <w:r>
        <w:rPr>
          <w:rFonts w:hint="eastAsia" w:eastAsia="仿宋_GB2312" w:cs="仿宋_GB2312"/>
          <w:lang w:val="en-US" w:eastAsia="zh-CN"/>
        </w:rPr>
        <w:t>贮运工程（原料区、成品区等）；环保工程（2根15米高的排气筒、1套滤筒除尘器、1套旋风+布袋除尘器、1个50平方米一般固体废物暂存区、1个5平方米危险废物暂存间等）；辅助工程（办公区、冷却水塔等）；公用工程（供水、排水、供电等）；</w:t>
      </w:r>
      <w:r>
        <w:rPr>
          <w:rFonts w:hint="eastAsia" w:eastAsia="仿宋_GB2312" w:cs="仿宋_GB2312"/>
          <w:color w:val="auto"/>
          <w:lang w:val="en-US" w:eastAsia="zh-CN"/>
        </w:rPr>
        <w:t>详见《报告表》。</w:t>
      </w:r>
    </w:p>
    <w:p w14:paraId="4BC08BC1">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rPr>
      </w:pPr>
      <w:r>
        <w:rPr>
          <w:rFonts w:hint="eastAsia" w:eastAsia="仿宋_GB2312" w:cs="仿宋_GB2312"/>
        </w:rPr>
        <w:t>项目不涉及自然保护区、饮用水源保护区、文物保护单位、</w:t>
      </w:r>
      <w:r>
        <w:rPr>
          <w:rFonts w:hint="eastAsia" w:eastAsia="仿宋_GB2312" w:cs="仿宋_GB2312"/>
          <w:lang w:val="en-US" w:eastAsia="zh-CN"/>
        </w:rPr>
        <w:t>地质公园、风景名胜区、基本农田等特殊保护对象。项目总投资500.00万元</w:t>
      </w:r>
      <w:r>
        <w:rPr>
          <w:rFonts w:hint="eastAsia" w:eastAsia="仿宋_GB2312" w:cs="仿宋_GB2312"/>
        </w:rPr>
        <w:t>，其中环保投资</w:t>
      </w:r>
      <w:r>
        <w:rPr>
          <w:rFonts w:hint="eastAsia" w:eastAsia="仿宋_GB2312" w:cs="仿宋_GB2312"/>
          <w:lang w:val="en-US" w:eastAsia="zh-CN"/>
        </w:rPr>
        <w:t>20</w:t>
      </w:r>
      <w:r>
        <w:rPr>
          <w:rFonts w:hint="eastAsia" w:eastAsia="仿宋_GB2312" w:cs="仿宋_GB2312"/>
        </w:rPr>
        <w:t>.0</w:t>
      </w:r>
      <w:r>
        <w:rPr>
          <w:rFonts w:hint="eastAsia" w:eastAsia="仿宋_GB2312" w:cs="仿宋_GB2312"/>
          <w:lang w:val="en-US" w:eastAsia="zh-CN"/>
        </w:rPr>
        <w:t>0</w:t>
      </w:r>
      <w:r>
        <w:rPr>
          <w:rFonts w:hint="eastAsia" w:eastAsia="仿宋_GB2312" w:cs="仿宋_GB2312"/>
        </w:rPr>
        <w:t>万元</w:t>
      </w:r>
      <w:r>
        <w:rPr>
          <w:rFonts w:hint="eastAsia" w:eastAsia="仿宋_GB2312" w:cs="仿宋_GB2312"/>
          <w:lang w:eastAsia="zh-CN"/>
        </w:rPr>
        <w:t>，</w:t>
      </w:r>
      <w:r>
        <w:rPr>
          <w:rFonts w:hint="eastAsia" w:eastAsia="仿宋_GB2312" w:cs="仿宋_GB2312"/>
          <w:lang w:val="en-US" w:eastAsia="zh-CN"/>
        </w:rPr>
        <w:t>占比4.0%</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w:t>
      </w:r>
      <w:r>
        <w:rPr>
          <w:rFonts w:hint="eastAsia" w:eastAsia="仿宋_GB2312" w:cs="仿宋_GB2312"/>
          <w:sz w:val="32"/>
          <w:szCs w:val="32"/>
          <w:lang w:eastAsia="zh-CN"/>
        </w:rPr>
        <w:t>，</w:t>
      </w:r>
      <w:r>
        <w:rPr>
          <w:rFonts w:hint="eastAsia" w:eastAsia="仿宋_GB2312" w:cs="仿宋_GB2312"/>
          <w:sz w:val="32"/>
          <w:szCs w:val="32"/>
          <w:lang w:val="en-US" w:eastAsia="zh-CN"/>
        </w:rPr>
        <w:t>项目涉及工业炉窑，柳城县人民政府已同意将项目选址在工业园区之外</w:t>
      </w:r>
      <w:r>
        <w:rPr>
          <w:rFonts w:hint="eastAsia" w:eastAsia="仿宋_GB2312" w:cs="仿宋_GB2312"/>
          <w:sz w:val="32"/>
          <w:szCs w:val="32"/>
        </w:rPr>
        <w:t>。从环境影响角度考虑，同意你公司按照《报告表》所列的建设项目的地点、性质、规模、采取的环境保护对策措施及下述要求进行项目建设。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28A30C02">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auto"/>
          <w:sz w:val="32"/>
          <w:szCs w:val="32"/>
        </w:rPr>
      </w:pPr>
      <w:r>
        <w:rPr>
          <w:rFonts w:hint="eastAsia" w:eastAsia="仿宋_GB2312" w:cs="仿宋_GB2312"/>
          <w:color w:val="000000"/>
          <w:sz w:val="32"/>
          <w:szCs w:val="32"/>
        </w:rPr>
        <w:t>项</w:t>
      </w:r>
      <w:r>
        <w:rPr>
          <w:rFonts w:hint="eastAsia" w:eastAsia="仿宋_GB2312" w:cs="仿宋_GB2312"/>
          <w:color w:val="auto"/>
          <w:sz w:val="32"/>
          <w:szCs w:val="32"/>
        </w:rPr>
        <w:t>目</w:t>
      </w:r>
      <w:r>
        <w:rPr>
          <w:rFonts w:hint="eastAsia" w:eastAsia="仿宋_GB2312" w:cs="仿宋_GB2312"/>
          <w:color w:val="auto"/>
          <w:sz w:val="32"/>
          <w:szCs w:val="32"/>
          <w:lang w:val="en-US" w:eastAsia="zh-CN"/>
        </w:rPr>
        <w:t>拟建一台电加热炉，熔炼工序产生的废气经顶部集气罩收集后通过旋风+布袋除尘器处理，经1根15米高排气筒（DA001）排放，</w:t>
      </w:r>
      <w:r>
        <w:rPr>
          <w:rFonts w:hint="eastAsia" w:eastAsia="仿宋_GB2312" w:cs="仿宋_GB2312"/>
          <w:color w:val="auto"/>
          <w:sz w:val="32"/>
          <w:szCs w:val="32"/>
        </w:rPr>
        <w:t>须确保有组织外排的</w:t>
      </w:r>
      <w:r>
        <w:rPr>
          <w:rFonts w:hint="eastAsia" w:eastAsia="仿宋_GB2312" w:cs="仿宋_GB2312"/>
          <w:color w:val="auto"/>
          <w:sz w:val="32"/>
          <w:szCs w:val="32"/>
          <w:lang w:val="en-US" w:eastAsia="zh-CN"/>
        </w:rPr>
        <w:t>颗粒物</w:t>
      </w:r>
      <w:r>
        <w:rPr>
          <w:rFonts w:hint="eastAsia" w:eastAsia="仿宋_GB2312" w:cs="仿宋_GB2312"/>
          <w:color w:val="auto"/>
          <w:sz w:val="32"/>
          <w:szCs w:val="32"/>
        </w:rPr>
        <w:t>排放浓度和速率能够达到GB 39726-202</w:t>
      </w:r>
      <w:r>
        <w:rPr>
          <w:rFonts w:hint="eastAsia" w:eastAsia="仿宋_GB2312" w:cs="仿宋_GB2312"/>
          <w:color w:val="auto"/>
          <w:sz w:val="32"/>
          <w:szCs w:val="32"/>
          <w:lang w:val="en-US" w:eastAsia="zh-CN"/>
        </w:rPr>
        <w:t>0《铸造工业大气污染物排放标准》中表1大气污染物排放限值</w:t>
      </w:r>
      <w:r>
        <w:rPr>
          <w:rFonts w:hint="eastAsia" w:eastAsia="仿宋_GB2312" w:cs="仿宋_GB2312"/>
          <w:color w:val="auto"/>
          <w:sz w:val="32"/>
          <w:szCs w:val="32"/>
        </w:rPr>
        <w:t>要求。</w:t>
      </w:r>
    </w:p>
    <w:p w14:paraId="3F02AC65">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eastAsia="仿宋_GB2312" w:cs="仿宋_GB2312"/>
          <w:color w:val="auto"/>
          <w:sz w:val="32"/>
          <w:szCs w:val="32"/>
        </w:rPr>
      </w:pPr>
      <w:r>
        <w:rPr>
          <w:rFonts w:hint="eastAsia" w:eastAsia="仿宋_GB2312" w:cs="仿宋_GB2312"/>
          <w:color w:val="auto"/>
          <w:sz w:val="32"/>
          <w:szCs w:val="32"/>
        </w:rPr>
        <w:t>项目</w:t>
      </w:r>
      <w:r>
        <w:rPr>
          <w:rFonts w:hint="eastAsia" w:eastAsia="仿宋_GB2312" w:cs="仿宋_GB2312"/>
          <w:color w:val="auto"/>
          <w:sz w:val="32"/>
          <w:szCs w:val="32"/>
          <w:lang w:val="en-US" w:eastAsia="zh-CN"/>
        </w:rPr>
        <w:t>抛丸工序产生的</w:t>
      </w:r>
      <w:r>
        <w:rPr>
          <w:rFonts w:hint="eastAsia" w:eastAsia="仿宋_GB2312" w:cs="仿宋_GB2312"/>
          <w:color w:val="auto"/>
          <w:sz w:val="32"/>
          <w:szCs w:val="32"/>
        </w:rPr>
        <w:t>废气</w:t>
      </w:r>
      <w:r>
        <w:rPr>
          <w:rFonts w:hint="eastAsia" w:eastAsia="仿宋_GB2312" w:cs="仿宋_GB2312"/>
          <w:color w:val="auto"/>
          <w:sz w:val="32"/>
          <w:szCs w:val="32"/>
          <w:lang w:val="en-US" w:eastAsia="zh-CN"/>
        </w:rPr>
        <w:t>经设备密闭操作+自带集气管道收集后通过滤筒除尘器</w:t>
      </w:r>
      <w:r>
        <w:rPr>
          <w:rFonts w:hint="eastAsia" w:eastAsia="仿宋_GB2312" w:cs="仿宋_GB2312"/>
          <w:color w:val="auto"/>
          <w:sz w:val="32"/>
          <w:szCs w:val="32"/>
        </w:rPr>
        <w:t>处理，经</w:t>
      </w:r>
      <w:r>
        <w:rPr>
          <w:rFonts w:hint="eastAsia" w:eastAsia="仿宋_GB2312" w:cs="仿宋_GB2312"/>
          <w:color w:val="auto"/>
          <w:sz w:val="32"/>
          <w:szCs w:val="32"/>
          <w:lang w:val="en-US" w:eastAsia="zh-CN"/>
        </w:rPr>
        <w:t>1</w:t>
      </w:r>
      <w:r>
        <w:rPr>
          <w:rFonts w:hint="eastAsia" w:eastAsia="仿宋_GB2312" w:cs="仿宋_GB2312"/>
          <w:color w:val="auto"/>
          <w:sz w:val="32"/>
          <w:szCs w:val="32"/>
        </w:rPr>
        <w:t>根</w:t>
      </w:r>
      <w:r>
        <w:rPr>
          <w:rFonts w:hint="eastAsia" w:eastAsia="仿宋_GB2312" w:cs="仿宋_GB2312"/>
          <w:color w:val="auto"/>
          <w:sz w:val="32"/>
          <w:szCs w:val="32"/>
          <w:lang w:val="en-US" w:eastAsia="zh-CN"/>
        </w:rPr>
        <w:t>15</w:t>
      </w:r>
      <w:r>
        <w:rPr>
          <w:rFonts w:hint="eastAsia" w:eastAsia="仿宋_GB2312" w:cs="仿宋_GB2312"/>
          <w:color w:val="auto"/>
          <w:sz w:val="32"/>
          <w:szCs w:val="32"/>
        </w:rPr>
        <w:t>米高排气筒（DA00</w:t>
      </w:r>
      <w:r>
        <w:rPr>
          <w:rFonts w:hint="eastAsia" w:eastAsia="仿宋_GB2312" w:cs="仿宋_GB2312"/>
          <w:color w:val="auto"/>
          <w:sz w:val="32"/>
          <w:szCs w:val="32"/>
          <w:lang w:val="en-US" w:eastAsia="zh-CN"/>
        </w:rPr>
        <w:t>2</w:t>
      </w:r>
      <w:r>
        <w:rPr>
          <w:rFonts w:hint="eastAsia" w:eastAsia="仿宋_GB2312" w:cs="仿宋_GB2312"/>
          <w:color w:val="auto"/>
          <w:sz w:val="32"/>
          <w:szCs w:val="32"/>
        </w:rPr>
        <w:t>）排放，</w:t>
      </w:r>
      <w:r>
        <w:rPr>
          <w:rFonts w:hint="eastAsia" w:eastAsia="仿宋_GB2312" w:cs="仿宋_GB2312"/>
          <w:color w:val="auto"/>
          <w:sz w:val="32"/>
          <w:szCs w:val="32"/>
          <w:lang w:val="en-US" w:eastAsia="zh-CN"/>
        </w:rPr>
        <w:t>须确保有组织</w:t>
      </w:r>
      <w:bookmarkStart w:id="4" w:name="_GoBack"/>
      <w:bookmarkEnd w:id="4"/>
      <w:r>
        <w:rPr>
          <w:rFonts w:hint="eastAsia" w:eastAsia="仿宋_GB2312" w:cs="仿宋_GB2312"/>
          <w:color w:val="auto"/>
          <w:sz w:val="32"/>
          <w:szCs w:val="32"/>
        </w:rPr>
        <w:t>外排的</w:t>
      </w:r>
      <w:r>
        <w:rPr>
          <w:rFonts w:hint="eastAsia" w:eastAsia="仿宋_GB2312" w:cs="仿宋_GB2312"/>
          <w:color w:val="auto"/>
          <w:sz w:val="32"/>
          <w:szCs w:val="32"/>
          <w:lang w:val="en-US" w:eastAsia="zh-CN"/>
        </w:rPr>
        <w:t>颗粒物</w:t>
      </w:r>
      <w:r>
        <w:rPr>
          <w:rFonts w:hint="eastAsia" w:eastAsia="仿宋_GB2312" w:cs="仿宋_GB2312"/>
          <w:color w:val="auto"/>
          <w:sz w:val="32"/>
          <w:szCs w:val="32"/>
        </w:rPr>
        <w:t>排放浓度和速率达</w:t>
      </w:r>
      <w:r>
        <w:rPr>
          <w:rFonts w:hint="eastAsia" w:eastAsia="仿宋_GB2312" w:cs="仿宋_GB2312"/>
          <w:color w:val="auto"/>
          <w:sz w:val="32"/>
          <w:szCs w:val="32"/>
          <w:lang w:val="en-US" w:eastAsia="zh-CN"/>
        </w:rPr>
        <w:t xml:space="preserve">           </w:t>
      </w:r>
      <w:r>
        <w:rPr>
          <w:rFonts w:hint="eastAsia" w:eastAsia="仿宋_GB2312" w:cs="仿宋_GB2312"/>
          <w:color w:val="auto"/>
          <w:sz w:val="32"/>
          <w:szCs w:val="32"/>
        </w:rPr>
        <w:t>到GB 39726-202</w:t>
      </w:r>
      <w:r>
        <w:rPr>
          <w:rFonts w:hint="eastAsia" w:eastAsia="仿宋_GB2312" w:cs="仿宋_GB2312"/>
          <w:color w:val="auto"/>
          <w:sz w:val="32"/>
          <w:szCs w:val="32"/>
          <w:lang w:val="en-US" w:eastAsia="zh-CN"/>
        </w:rPr>
        <w:t>0《铸造工业大气污染物排放标准》</w:t>
      </w:r>
      <w:r>
        <w:rPr>
          <w:rFonts w:hint="eastAsia" w:eastAsia="仿宋_GB2312" w:cs="仿宋_GB2312"/>
          <w:color w:val="auto"/>
          <w:sz w:val="32"/>
          <w:szCs w:val="32"/>
        </w:rPr>
        <w:t>中</w:t>
      </w:r>
      <w:r>
        <w:rPr>
          <w:rFonts w:hint="eastAsia" w:eastAsia="仿宋_GB2312" w:cs="仿宋_GB2312"/>
          <w:color w:val="auto"/>
          <w:sz w:val="32"/>
          <w:szCs w:val="32"/>
          <w:lang w:val="en-US" w:eastAsia="zh-CN"/>
        </w:rPr>
        <w:t>表1</w:t>
      </w:r>
      <w:r>
        <w:rPr>
          <w:rFonts w:hint="eastAsia" w:eastAsia="仿宋_GB2312" w:cs="仿宋_GB2312"/>
          <w:color w:val="auto"/>
          <w:sz w:val="32"/>
          <w:szCs w:val="32"/>
        </w:rPr>
        <w:t>大气污染物排放限值要求。</w:t>
      </w:r>
    </w:p>
    <w:p w14:paraId="04360A8C">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auto"/>
          <w:sz w:val="32"/>
          <w:szCs w:val="32"/>
          <w:lang w:val="en-US" w:eastAsia="zh-CN"/>
        </w:rPr>
        <w:t>项目混砂工序、制芯工序、造型工序、浇注工序产生的废气经喷雾机喷淋抑尘后与堆场扬尘、卸料粉尘无组织排放。须确保厂界的颗粒物、非甲烷总烃、甲醛、苯酚排放浓度达           到GB 16297-1996《大气污染物综合排放标准》中</w:t>
      </w:r>
      <w:r>
        <w:rPr>
          <w:rFonts w:hint="eastAsia" w:eastAsia="仿宋_GB2312" w:cs="仿宋_GB2312"/>
          <w:color w:val="auto"/>
          <w:sz w:val="32"/>
          <w:szCs w:val="32"/>
        </w:rPr>
        <w:t>表2新污</w:t>
      </w:r>
      <w:r>
        <w:rPr>
          <w:rFonts w:hint="eastAsia" w:eastAsia="仿宋_GB2312" w:cs="仿宋_GB2312"/>
          <w:color w:val="000000"/>
          <w:sz w:val="32"/>
          <w:szCs w:val="32"/>
        </w:rPr>
        <w:t>染源大气污染物排放限值</w:t>
      </w:r>
      <w:r>
        <w:rPr>
          <w:rFonts w:hint="eastAsia" w:eastAsia="仿宋_GB2312" w:cs="仿宋_GB2312"/>
          <w:color w:val="000000"/>
          <w:sz w:val="32"/>
          <w:szCs w:val="32"/>
          <w:lang w:eastAsia="zh-CN"/>
        </w:rPr>
        <w:t>中无</w:t>
      </w:r>
      <w:r>
        <w:rPr>
          <w:rFonts w:hint="eastAsia" w:eastAsia="仿宋_GB2312" w:cs="仿宋_GB2312"/>
          <w:color w:val="000000"/>
          <w:sz w:val="32"/>
          <w:szCs w:val="32"/>
          <w:lang w:val="en-US" w:eastAsia="zh-CN"/>
        </w:rPr>
        <w:t>组织</w:t>
      </w:r>
      <w:r>
        <w:rPr>
          <w:rFonts w:hint="eastAsia" w:eastAsia="仿宋_GB2312" w:cs="仿宋_GB2312"/>
          <w:color w:val="000000"/>
          <w:sz w:val="32"/>
          <w:szCs w:val="32"/>
        </w:rPr>
        <w:t>排放</w:t>
      </w:r>
      <w:r>
        <w:rPr>
          <w:rFonts w:hint="eastAsia" w:eastAsia="仿宋_GB2312" w:cs="仿宋_GB2312"/>
          <w:color w:val="000000"/>
          <w:sz w:val="32"/>
          <w:szCs w:val="32"/>
          <w:lang w:val="en-US" w:eastAsia="zh-CN"/>
        </w:rPr>
        <w:t>监控浓度限值</w:t>
      </w:r>
      <w:r>
        <w:rPr>
          <w:rFonts w:hint="eastAsia" w:eastAsia="仿宋_GB2312" w:cs="仿宋_GB2312"/>
          <w:color w:val="000000"/>
          <w:sz w:val="32"/>
          <w:szCs w:val="32"/>
        </w:rPr>
        <w:t>标准要求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厂区内颗粒物、VOCs无组织排放监控点浓度</w:t>
      </w:r>
      <w:r>
        <w:rPr>
          <w:rFonts w:hint="eastAsia" w:eastAsia="仿宋_GB2312" w:cs="仿宋_GB2312"/>
          <w:color w:val="000000"/>
          <w:sz w:val="32"/>
          <w:szCs w:val="32"/>
          <w:lang w:val="en-US" w:eastAsia="zh-CN"/>
        </w:rPr>
        <w:t>达到</w:t>
      </w:r>
      <w:r>
        <w:rPr>
          <w:rFonts w:hint="eastAsia" w:ascii="Times New Roman" w:hAnsi="Times New Roman" w:eastAsia="仿宋_GB2312" w:cs="仿宋_GB2312"/>
          <w:color w:val="000000"/>
          <w:sz w:val="32"/>
          <w:szCs w:val="32"/>
        </w:rPr>
        <w:t>GB 39726-2020《铸造工业大气污染物排放标准》</w:t>
      </w:r>
      <w:r>
        <w:rPr>
          <w:rFonts w:hint="eastAsia" w:eastAsia="仿宋_GB2312" w:cs="仿宋_GB2312"/>
          <w:color w:val="000000"/>
          <w:sz w:val="32"/>
          <w:szCs w:val="32"/>
          <w:lang w:val="en-US" w:eastAsia="zh-CN"/>
        </w:rPr>
        <w:t>中</w:t>
      </w:r>
      <w:r>
        <w:rPr>
          <w:rFonts w:hint="eastAsia" w:ascii="Times New Roman" w:hAnsi="Times New Roman" w:eastAsia="仿宋_GB2312" w:cs="仿宋_GB2312"/>
          <w:color w:val="000000"/>
          <w:sz w:val="32"/>
          <w:szCs w:val="32"/>
        </w:rPr>
        <w:t>表A.1厂区内颗粒物</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非甲烷总烃</w:t>
      </w:r>
      <w:r>
        <w:rPr>
          <w:rFonts w:hint="eastAsia" w:ascii="Times New Roman" w:hAnsi="Times New Roman" w:eastAsia="仿宋_GB2312" w:cs="仿宋_GB2312"/>
          <w:color w:val="000000"/>
          <w:sz w:val="32"/>
          <w:szCs w:val="32"/>
        </w:rPr>
        <w:t>无组织排放限值</w:t>
      </w:r>
      <w:r>
        <w:rPr>
          <w:rFonts w:hint="eastAsia" w:eastAsia="仿宋_GB2312" w:cs="仿宋_GB2312"/>
          <w:color w:val="000000"/>
          <w:sz w:val="32"/>
          <w:szCs w:val="32"/>
          <w:lang w:val="en-US" w:eastAsia="zh-CN"/>
        </w:rPr>
        <w:t>要求</w:t>
      </w:r>
      <w:r>
        <w:rPr>
          <w:rFonts w:hint="eastAsia" w:ascii="Times New Roman" w:hAnsi="Times New Roman" w:eastAsia="仿宋_GB2312" w:cs="仿宋_GB2312"/>
          <w:color w:val="000000"/>
          <w:sz w:val="32"/>
          <w:szCs w:val="32"/>
          <w:lang w:eastAsia="zh-CN"/>
        </w:rPr>
        <w:t>。</w:t>
      </w:r>
    </w:p>
    <w:p w14:paraId="14DA378E">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不产生</w:t>
      </w:r>
      <w:r>
        <w:rPr>
          <w:rFonts w:hint="eastAsia" w:eastAsia="仿宋_GB2312" w:cs="仿宋_GB2312"/>
          <w:color w:val="000000"/>
          <w:sz w:val="32"/>
          <w:szCs w:val="32"/>
        </w:rPr>
        <w:t>生产废水</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生活污水</w:t>
      </w:r>
      <w:r>
        <w:rPr>
          <w:rFonts w:hint="eastAsia" w:eastAsia="仿宋_GB2312" w:cs="仿宋_GB2312"/>
          <w:color w:val="000000" w:themeColor="text1"/>
          <w:sz w:val="32"/>
          <w:szCs w:val="32"/>
          <w:lang w:val="en-US" w:eastAsia="zh-CN"/>
          <w14:textFill>
            <w14:solidFill>
              <w14:schemeClr w14:val="tx1"/>
            </w14:solidFill>
          </w14:textFill>
        </w:rPr>
        <w:t>经化粪池处理达到GB 8978-1996《污水综合排放标准》三级标准后排入沙埔镇污水处理厂进行处理。</w:t>
      </w:r>
    </w:p>
    <w:p w14:paraId="137FF4E7">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优化总平面布置，选择低噪先进的设备。对噪声源较大的电炉、射芯机、抛丸机、立式转床、攻牙机、螺杆式空压机、除尘器等高噪声设备采取消声、减振措施后，确保厂界噪声达到GB 12348-2008《工业企业厂界环境噪声排放标准》2类标准要求。</w:t>
      </w:r>
    </w:p>
    <w:p w14:paraId="7BB82DA3">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做好一般固体废物的综合利用和妥善处置工作。对炉渣、废砂、废铁、废钢丸、尘渣集中收集后外售处置；生活垃圾由环卫部门定期清运处理。须按GB 18599-2020《一般工业固体废物贮存和填埋污染控制标准》要求，建设规范的一般固体废物贮存设施。</w:t>
      </w:r>
    </w:p>
    <w:p w14:paraId="1F16900F">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18597-2023《危险废物贮存污染控制标准》及其修改单的要求，建设规范的</w:t>
      </w:r>
      <w:r>
        <w:rPr>
          <w:rFonts w:hint="eastAsia" w:eastAsia="仿宋_GB2312" w:cs="仿宋_GB2312"/>
          <w:color w:val="000000" w:themeColor="text1"/>
          <w:sz w:val="32"/>
          <w:szCs w:val="32"/>
          <w:lang w:val="en-US" w:eastAsia="zh-CN"/>
          <w14:textFill>
            <w14:solidFill>
              <w14:schemeClr w14:val="tx1"/>
            </w14:solidFill>
          </w14:textFill>
        </w:rPr>
        <w:t>废润滑油、废油桶</w:t>
      </w:r>
      <w:r>
        <w:rPr>
          <w:rFonts w:hint="eastAsia" w:eastAsia="仿宋_GB2312" w:cs="仿宋_GB2312"/>
          <w:color w:val="000000"/>
          <w:sz w:val="32"/>
          <w:szCs w:val="32"/>
        </w:rPr>
        <w:t>的收集临时存放设施，并设立明显的危废标志，危险废物须定期收集并交由有危险废物处置资质的单位按规定处理、处置，不得随意堆放、擅自外排。做好危险废物处置及转移联单的台</w:t>
      </w:r>
      <w:r>
        <w:rPr>
          <w:rFonts w:hint="eastAsia" w:eastAsia="仿宋_GB2312" w:cs="仿宋_GB2312"/>
          <w:color w:val="000000"/>
          <w:sz w:val="32"/>
          <w:szCs w:val="32"/>
          <w:lang w:val="en-US" w:eastAsia="zh-CN"/>
        </w:rPr>
        <w:t>账</w:t>
      </w:r>
      <w:r>
        <w:rPr>
          <w:rFonts w:hint="eastAsia" w:eastAsia="仿宋_GB2312" w:cs="仿宋_GB2312"/>
          <w:color w:val="000000"/>
          <w:sz w:val="32"/>
          <w:szCs w:val="32"/>
        </w:rPr>
        <w:t>记录。</w:t>
      </w:r>
    </w:p>
    <w:p w14:paraId="5A28F8A3">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按分区防渗原则落实各项防渗措施。</w:t>
      </w:r>
      <w:r>
        <w:rPr>
          <w:rFonts w:hint="eastAsia" w:ascii="Times New Roman" w:hAnsi="Times New Roman" w:eastAsia="仿宋_GB2312" w:cs="仿宋_GB2312"/>
          <w:color w:val="000000"/>
          <w:sz w:val="32"/>
          <w:szCs w:val="32"/>
          <w:lang w:val="en-US" w:eastAsia="zh-CN"/>
        </w:rPr>
        <w:t>参照</w:t>
      </w:r>
      <w:r>
        <w:rPr>
          <w:rFonts w:hint="eastAsia" w:ascii="Times New Roman" w:hAnsi="Times New Roman" w:eastAsia="仿宋_GB2312" w:cs="仿宋_GB2312"/>
          <w:color w:val="000000"/>
          <w:sz w:val="32"/>
          <w:szCs w:val="32"/>
        </w:rPr>
        <w:t>HJ 610</w:t>
      </w:r>
      <w:r>
        <w:rPr>
          <w:rFonts w:hint="eastAsia"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2016</w:t>
      </w:r>
      <w:r>
        <w:rPr>
          <w:rFonts w:hint="eastAsia" w:ascii="Times New Roman" w:hAnsi="Times New Roman" w:eastAsia="仿宋_GB2312" w:cs="仿宋_GB2312"/>
          <w:color w:val="000000"/>
          <w:sz w:val="32"/>
          <w:szCs w:val="32"/>
          <w:lang w:eastAsia="zh-CN"/>
        </w:rPr>
        <w:t>《环境影响评价技术导则</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地下水环境》</w:t>
      </w:r>
      <w:r>
        <w:rPr>
          <w:rFonts w:hint="eastAsia" w:ascii="Times New Roman" w:hAnsi="Times New Roman" w:eastAsia="仿宋_GB2312" w:cs="仿宋_GB2312"/>
          <w:color w:val="000000"/>
          <w:sz w:val="32"/>
          <w:szCs w:val="32"/>
          <w:lang w:val="en-US" w:eastAsia="zh-CN"/>
        </w:rPr>
        <w:t>中建设项目污染防控对策要求和GB 18597-2023《危险废物贮存污染控制标准》中贮存设施污染控制要求，须对工艺、管道、设备、</w:t>
      </w:r>
      <w:r>
        <w:rPr>
          <w:rFonts w:hint="eastAsia" w:eastAsia="仿宋_GB2312" w:cs="仿宋_GB2312"/>
          <w:color w:val="000000"/>
          <w:sz w:val="32"/>
          <w:szCs w:val="32"/>
          <w:lang w:val="en-US" w:eastAsia="zh-CN"/>
        </w:rPr>
        <w:t>设施</w:t>
      </w:r>
      <w:r>
        <w:rPr>
          <w:rFonts w:hint="eastAsia" w:ascii="Times New Roman" w:hAnsi="Times New Roman" w:eastAsia="仿宋_GB2312" w:cs="仿宋_GB2312"/>
          <w:color w:val="000000"/>
          <w:sz w:val="32"/>
          <w:szCs w:val="32"/>
          <w:lang w:val="en-US" w:eastAsia="zh-CN"/>
        </w:rPr>
        <w:t>采取污染防控措施，将污染物跑、冒、滴、漏降到最低限度；</w:t>
      </w:r>
      <w:r>
        <w:rPr>
          <w:rFonts w:hint="eastAsia" w:ascii="Times New Roman" w:hAnsi="Times New Roman" w:eastAsia="仿宋_GB2312" w:cs="仿宋_GB2312"/>
          <w:color w:val="000000"/>
          <w:sz w:val="32"/>
          <w:szCs w:val="32"/>
        </w:rPr>
        <w:t>须对危险废物暂存间按要求</w:t>
      </w:r>
      <w:r>
        <w:rPr>
          <w:rFonts w:hint="eastAsia" w:ascii="Times New Roman" w:hAnsi="Times New Roman" w:eastAsia="仿宋_GB2312" w:cs="仿宋_GB2312"/>
          <w:color w:val="000000"/>
          <w:sz w:val="32"/>
          <w:szCs w:val="32"/>
          <w:lang w:val="en-US" w:eastAsia="zh-CN"/>
        </w:rPr>
        <w:t>做好重点防渗</w:t>
      </w:r>
      <w:r>
        <w:rPr>
          <w:rFonts w:hint="eastAsia" w:ascii="Times New Roman" w:hAnsi="Times New Roman" w:eastAsia="仿宋_GB2312" w:cs="仿宋_GB2312"/>
          <w:color w:val="000000"/>
          <w:sz w:val="32"/>
          <w:szCs w:val="32"/>
        </w:rPr>
        <w:t>处理</w:t>
      </w:r>
      <w:r>
        <w:rPr>
          <w:rFonts w:hint="eastAsia" w:ascii="Times New Roman" w:hAnsi="Times New Roman" w:eastAsia="仿宋_GB2312" w:cs="仿宋_GB2312"/>
          <w:color w:val="000000"/>
          <w:sz w:val="32"/>
          <w:szCs w:val="32"/>
          <w:lang w:val="en-US" w:eastAsia="zh-CN"/>
        </w:rPr>
        <w:t>；对一般固废暂存间、1#车间、2#车间</w:t>
      </w:r>
      <w:r>
        <w:rPr>
          <w:rFonts w:hint="eastAsia" w:eastAsia="仿宋_GB2312" w:cs="仿宋_GB2312"/>
          <w:color w:val="000000"/>
          <w:sz w:val="32"/>
          <w:szCs w:val="32"/>
          <w:lang w:val="en-US" w:eastAsia="zh-CN"/>
        </w:rPr>
        <w:t>按要求做好一般防渗处理；对</w:t>
      </w:r>
      <w:r>
        <w:rPr>
          <w:rFonts w:hint="eastAsia" w:ascii="Times New Roman" w:hAnsi="Times New Roman" w:eastAsia="仿宋_GB2312" w:cs="仿宋_GB2312"/>
          <w:color w:val="000000"/>
          <w:sz w:val="32"/>
          <w:szCs w:val="32"/>
          <w:lang w:val="en-US" w:eastAsia="zh-CN"/>
        </w:rPr>
        <w:t>办公</w:t>
      </w:r>
      <w:r>
        <w:rPr>
          <w:rFonts w:hint="eastAsia" w:eastAsia="仿宋_GB2312" w:cs="仿宋_GB2312"/>
          <w:color w:val="000000"/>
          <w:sz w:val="32"/>
          <w:szCs w:val="32"/>
          <w:lang w:val="en-US" w:eastAsia="zh-CN"/>
        </w:rPr>
        <w:t>区</w:t>
      </w:r>
      <w:r>
        <w:rPr>
          <w:rFonts w:hint="eastAsia" w:ascii="Times New Roman" w:hAnsi="Times New Roman" w:eastAsia="仿宋_GB2312" w:cs="仿宋_GB2312"/>
          <w:color w:val="000000"/>
          <w:sz w:val="32"/>
          <w:szCs w:val="32"/>
          <w:lang w:val="en-US" w:eastAsia="zh-CN"/>
        </w:rPr>
        <w:t>等区域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做好简单防</w:t>
      </w:r>
      <w:r>
        <w:rPr>
          <w:rFonts w:hint="eastAsia" w:ascii="Times New Roman" w:hAnsi="Times New Roman" w:eastAsia="仿宋_GB2312" w:cs="仿宋_GB2312"/>
          <w:color w:val="000000"/>
          <w:sz w:val="32"/>
          <w:szCs w:val="32"/>
        </w:rPr>
        <w:t>渗漏处理。按照GB 15562.1-1995《环境保护图形标志—排</w:t>
      </w:r>
      <w:r>
        <w:rPr>
          <w:rFonts w:hint="eastAsia" w:eastAsia="仿宋_GB2312" w:cs="仿宋_GB2312"/>
          <w:color w:val="000000"/>
          <w:sz w:val="32"/>
          <w:szCs w:val="32"/>
          <w:lang w:val="en-US" w:eastAsia="zh-CN"/>
        </w:rPr>
        <w:t>放</w:t>
      </w:r>
      <w:r>
        <w:rPr>
          <w:rFonts w:hint="eastAsia" w:ascii="Times New Roman" w:hAnsi="Times New Roman" w:eastAsia="仿宋_GB2312" w:cs="仿宋_GB2312"/>
          <w:color w:val="000000"/>
          <w:sz w:val="32"/>
          <w:szCs w:val="32"/>
        </w:rPr>
        <w:t>口（源）》和原国家环保总局《关于开展排污口规范化整治工作的通知》（环发〔1999〕24号）附件有关规定建设规范化排污口。须按排污许可</w:t>
      </w:r>
      <w:r>
        <w:rPr>
          <w:rFonts w:hint="eastAsia" w:eastAsia="仿宋_GB2312" w:cs="仿宋_GB2312"/>
          <w:color w:val="000000"/>
          <w:sz w:val="32"/>
          <w:szCs w:val="32"/>
          <w:lang w:val="en-US" w:eastAsia="zh-CN"/>
        </w:rPr>
        <w:t>及《报告表》的</w:t>
      </w:r>
      <w:r>
        <w:rPr>
          <w:rFonts w:hint="eastAsia" w:ascii="Times New Roman" w:hAnsi="Times New Roman" w:eastAsia="仿宋_GB2312" w:cs="仿宋_GB2312"/>
          <w:color w:val="000000"/>
          <w:sz w:val="32"/>
          <w:szCs w:val="32"/>
        </w:rPr>
        <w:t>相关管理要求定期进行监测。</w:t>
      </w:r>
    </w:p>
    <w:p w14:paraId="1A9CD805">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4F7A4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2025年</w:t>
      </w:r>
      <w:r>
        <w:rPr>
          <w:rFonts w:hint="eastAsia" w:eastAsia="仿宋_GB2312" w:cs="仿宋_GB2312"/>
          <w:color w:val="000000" w:themeColor="text1"/>
          <w:sz w:val="32"/>
          <w:szCs w:val="32"/>
          <w:lang w:val="en-US" w:eastAsia="zh-CN"/>
          <w14:textFill>
            <w14:solidFill>
              <w14:schemeClr w14:val="tx1"/>
            </w14:solidFill>
          </w14:textFill>
        </w:rPr>
        <w:t>11</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7</w:t>
      </w:r>
      <w:r>
        <w:rPr>
          <w:rFonts w:hint="eastAsia" w:eastAsia="仿宋_GB2312" w:cs="仿宋_GB2312"/>
          <w:color w:val="000000" w:themeColor="text1"/>
          <w:sz w:val="32"/>
          <w:szCs w:val="32"/>
          <w14:textFill>
            <w14:solidFill>
              <w14:schemeClr w14:val="tx1"/>
            </w14:solidFill>
          </w14:textFill>
        </w:rPr>
        <w:t>日</w:t>
      </w:r>
    </w:p>
    <w:p w14:paraId="3F17D88C">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F510DD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3CD5957C">
      <w:pPr>
        <w:pStyle w:val="38"/>
        <w:spacing w:beforeLines="0" w:line="240" w:lineRule="auto"/>
        <w:ind w:right="0" w:rightChars="0" w:firstLine="640"/>
        <w:jc w:val="both"/>
        <w:rPr>
          <w:rFonts w:hint="eastAsia" w:ascii="Times New Roman" w:hAnsi="Times New Roman" w:eastAsia="仿宋_GB2312" w:cs="仿宋_GB2312"/>
          <w:color w:val="000000" w:themeColor="text1"/>
          <w:lang w:eastAsia="zh-CN"/>
          <w14:textFill>
            <w14:solidFill>
              <w14:schemeClr w14:val="tx1"/>
            </w14:solidFill>
          </w14:textFill>
        </w:rPr>
      </w:pPr>
    </w:p>
    <w:p w14:paraId="74B063CF">
      <w:pPr>
        <w:pStyle w:val="38"/>
        <w:spacing w:beforeLines="0" w:line="240" w:lineRule="auto"/>
        <w:ind w:right="0" w:rightChars="0" w:firstLine="640"/>
        <w:jc w:val="both"/>
        <w:rPr>
          <w:rFonts w:hint="eastAsia" w:ascii="Times New Roman" w:hAnsi="Times New Roman" w:eastAsia="仿宋_GB2312" w:cs="仿宋_GB2312"/>
          <w:color w:val="000000" w:themeColor="text1"/>
          <w:lang w:eastAsia="zh-CN"/>
          <w14:textFill>
            <w14:solidFill>
              <w14:schemeClr w14:val="tx1"/>
            </w14:solidFill>
          </w14:textFill>
        </w:rPr>
      </w:pPr>
    </w:p>
    <w:p w14:paraId="39AC2C57">
      <w:pPr>
        <w:pStyle w:val="38"/>
        <w:spacing w:beforeLines="0" w:line="240" w:lineRule="auto"/>
        <w:ind w:right="0" w:rightChars="0" w:firstLine="640"/>
        <w:jc w:val="both"/>
        <w:rPr>
          <w:rFonts w:hint="eastAsia" w:ascii="Times New Roman" w:hAnsi="Times New Roman" w:eastAsia="仿宋_GB2312" w:cs="仿宋_GB2312"/>
          <w:color w:val="000000" w:themeColor="text1"/>
          <w:lang w:eastAsia="zh-CN"/>
          <w14:textFill>
            <w14:solidFill>
              <w14:schemeClr w14:val="tx1"/>
            </w14:solidFill>
          </w14:textFill>
        </w:rPr>
      </w:pPr>
    </w:p>
    <w:p w14:paraId="2D44C33E">
      <w:pPr>
        <w:pStyle w:val="38"/>
        <w:spacing w:beforeLines="0" w:line="240" w:lineRule="auto"/>
        <w:ind w:right="0" w:rightChars="0" w:firstLine="640"/>
        <w:jc w:val="both"/>
        <w:rPr>
          <w:rFonts w:hint="eastAsia" w:ascii="Times New Roman" w:hAnsi="Times New Roman" w:eastAsia="仿宋_GB2312" w:cs="仿宋_GB2312"/>
          <w:color w:val="000000" w:themeColor="text1"/>
          <w:lang w:eastAsia="zh-CN"/>
          <w14:textFill>
            <w14:solidFill>
              <w14:schemeClr w14:val="tx1"/>
            </w14:solidFill>
          </w14:textFill>
        </w:rPr>
      </w:pPr>
    </w:p>
    <w:p w14:paraId="56564DAF">
      <w:pPr>
        <w:pStyle w:val="38"/>
        <w:spacing w:beforeLines="0" w:line="240" w:lineRule="auto"/>
        <w:ind w:right="0" w:rightChars="0" w:firstLine="640"/>
        <w:jc w:val="both"/>
        <w:rPr>
          <w:rFonts w:hint="eastAsia" w:ascii="Times New Roman" w:hAnsi="Times New Roman" w:eastAsia="仿宋_GB2312" w:cs="仿宋_GB2312"/>
          <w:color w:val="000000" w:themeColor="text1"/>
          <w:lang w:eastAsia="zh-CN"/>
          <w14:textFill>
            <w14:solidFill>
              <w14:schemeClr w14:val="tx1"/>
            </w14:solidFill>
          </w14:textFill>
        </w:rPr>
      </w:pPr>
    </w:p>
    <w:p w14:paraId="061C6882">
      <w:pPr>
        <w:pStyle w:val="38"/>
        <w:spacing w:beforeLines="0" w:line="240" w:lineRule="auto"/>
        <w:ind w:right="0" w:rightChars="0" w:firstLine="640"/>
        <w:jc w:val="both"/>
        <w:rPr>
          <w:rFonts w:hint="eastAsia" w:ascii="Times New Roman" w:hAnsi="Times New Roman" w:eastAsia="仿宋_GB2312" w:cs="仿宋_GB2312"/>
          <w:color w:val="000000" w:themeColor="text1"/>
          <w:lang w:eastAsia="zh-CN"/>
          <w14:textFill>
            <w14:solidFill>
              <w14:schemeClr w14:val="tx1"/>
            </w14:solidFill>
          </w14:textFill>
        </w:rPr>
      </w:pPr>
      <w:r>
        <w:rPr>
          <w:rFonts w:hint="eastAsia" w:ascii="Times New Roman" w:hAnsi="Times New Roman" w:eastAsia="仿宋_GB2312" w:cs="仿宋_GB2312"/>
          <w:color w:val="000000" w:themeColor="text1"/>
          <w:lang w:eastAsia="zh-CN"/>
          <w14:textFill>
            <w14:solidFill>
              <w14:schemeClr w14:val="tx1"/>
            </w14:solidFill>
          </w14:textFill>
        </w:rPr>
        <w:t>（</w:t>
      </w:r>
      <w:r>
        <w:rPr>
          <w:rFonts w:hint="eastAsia" w:ascii="Times New Roman" w:hAnsi="Times New Roman" w:eastAsia="仿宋_GB2312" w:cs="仿宋_GB2312"/>
          <w:color w:val="000000" w:themeColor="text1"/>
          <w:lang w:val="en-US" w:eastAsia="zh-CN"/>
          <w14:textFill>
            <w14:solidFill>
              <w14:schemeClr w14:val="tx1"/>
            </w14:solidFill>
          </w14:textFill>
        </w:rPr>
        <w:t>此页无正文</w:t>
      </w:r>
      <w:r>
        <w:rPr>
          <w:rFonts w:hint="eastAsia" w:ascii="Times New Roman" w:hAnsi="Times New Roman" w:eastAsia="仿宋_GB2312" w:cs="仿宋_GB2312"/>
          <w:color w:val="000000" w:themeColor="text1"/>
          <w:lang w:eastAsia="zh-CN"/>
          <w14:textFill>
            <w14:solidFill>
              <w14:schemeClr w14:val="tx1"/>
            </w14:solidFill>
          </w14:textFill>
        </w:rPr>
        <w:t>）</w:t>
      </w:r>
    </w:p>
    <w:p w14:paraId="382342B9">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4057511">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3C956476">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2599763">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A7FBD02">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85D947C">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55C8D382">
      <w:pPr>
        <w:pStyle w:val="2"/>
        <w:rPr>
          <w:rFonts w:hint="eastAsia" w:eastAsia="仿宋_GB2312" w:cs="仿宋_GB2312"/>
          <w:bCs/>
          <w:color w:val="000000" w:themeColor="text1"/>
          <w:sz w:val="28"/>
          <w:szCs w:val="28"/>
          <w:u w:val="single"/>
          <w14:textFill>
            <w14:solidFill>
              <w14:schemeClr w14:val="tx1"/>
            </w14:solidFill>
          </w14:textFill>
        </w:rPr>
      </w:pPr>
    </w:p>
    <w:p w14:paraId="2512371F">
      <w:pPr>
        <w:pStyle w:val="3"/>
        <w:rPr>
          <w:rFonts w:hint="eastAsia" w:eastAsia="仿宋_GB2312" w:cs="仿宋_GB2312"/>
          <w:bCs/>
          <w:color w:val="000000" w:themeColor="text1"/>
          <w:sz w:val="28"/>
          <w:szCs w:val="28"/>
          <w:u w:val="single"/>
          <w14:textFill>
            <w14:solidFill>
              <w14:schemeClr w14:val="tx1"/>
            </w14:solidFill>
          </w14:textFill>
        </w:rPr>
      </w:pPr>
    </w:p>
    <w:p w14:paraId="3F19CAB2">
      <w:pPr>
        <w:rPr>
          <w:rFonts w:hint="eastAsia" w:eastAsia="仿宋_GB2312" w:cs="仿宋_GB2312"/>
          <w:bCs/>
          <w:color w:val="000000" w:themeColor="text1"/>
          <w:sz w:val="28"/>
          <w:szCs w:val="28"/>
          <w:u w:val="single"/>
          <w14:textFill>
            <w14:solidFill>
              <w14:schemeClr w14:val="tx1"/>
            </w14:solidFill>
          </w14:textFill>
        </w:rPr>
      </w:pPr>
    </w:p>
    <w:p w14:paraId="45AD1A9D">
      <w:pPr>
        <w:pStyle w:val="2"/>
        <w:rPr>
          <w:rFonts w:hint="eastAsia" w:eastAsia="仿宋_GB2312" w:cs="仿宋_GB2312"/>
          <w:bCs/>
          <w:color w:val="000000" w:themeColor="text1"/>
          <w:sz w:val="28"/>
          <w:szCs w:val="28"/>
          <w:u w:val="single"/>
          <w14:textFill>
            <w14:solidFill>
              <w14:schemeClr w14:val="tx1"/>
            </w14:solidFill>
          </w14:textFill>
        </w:rPr>
      </w:pPr>
    </w:p>
    <w:p w14:paraId="73459545">
      <w:pPr>
        <w:pStyle w:val="3"/>
        <w:rPr>
          <w:rFonts w:hint="eastAsia" w:eastAsia="仿宋_GB2312" w:cs="仿宋_GB2312"/>
          <w:bCs/>
          <w:color w:val="000000" w:themeColor="text1"/>
          <w:sz w:val="28"/>
          <w:szCs w:val="28"/>
          <w:u w:val="single"/>
          <w14:textFill>
            <w14:solidFill>
              <w14:schemeClr w14:val="tx1"/>
            </w14:solidFill>
          </w14:textFill>
        </w:rPr>
      </w:pPr>
    </w:p>
    <w:p w14:paraId="2B6B512F">
      <w:pPr>
        <w:rPr>
          <w:rFonts w:hint="eastAsia" w:eastAsia="仿宋_GB2312" w:cs="仿宋_GB2312"/>
          <w:bCs/>
          <w:color w:val="000000" w:themeColor="text1"/>
          <w:sz w:val="28"/>
          <w:szCs w:val="28"/>
          <w:u w:val="single"/>
          <w14:textFill>
            <w14:solidFill>
              <w14:schemeClr w14:val="tx1"/>
            </w14:solidFill>
          </w14:textFill>
        </w:rPr>
      </w:pPr>
    </w:p>
    <w:p w14:paraId="5606FE28">
      <w:pPr>
        <w:pStyle w:val="2"/>
        <w:rPr>
          <w:rFonts w:hint="eastAsia" w:eastAsia="仿宋_GB2312" w:cs="仿宋_GB2312"/>
          <w:bCs/>
          <w:color w:val="000000" w:themeColor="text1"/>
          <w:sz w:val="28"/>
          <w:szCs w:val="28"/>
          <w:u w:val="single"/>
          <w14:textFill>
            <w14:solidFill>
              <w14:schemeClr w14:val="tx1"/>
            </w14:solidFill>
          </w14:textFill>
        </w:rPr>
      </w:pPr>
    </w:p>
    <w:p w14:paraId="10FC7473">
      <w:pPr>
        <w:pStyle w:val="3"/>
        <w:rPr>
          <w:rFonts w:hint="eastAsia" w:eastAsia="仿宋_GB2312" w:cs="仿宋_GB2312"/>
          <w:bCs/>
          <w:color w:val="000000" w:themeColor="text1"/>
          <w:sz w:val="28"/>
          <w:szCs w:val="28"/>
          <w:u w:val="single"/>
          <w14:textFill>
            <w14:solidFill>
              <w14:schemeClr w14:val="tx1"/>
            </w14:solidFill>
          </w14:textFill>
        </w:rPr>
      </w:pPr>
    </w:p>
    <w:p w14:paraId="576CD7FD">
      <w:pPr>
        <w:pStyle w:val="3"/>
        <w:rPr>
          <w:rFonts w:hint="eastAsia"/>
        </w:rPr>
      </w:pPr>
    </w:p>
    <w:p w14:paraId="66D4CA79">
      <w:pPr>
        <w:spacing w:line="480" w:lineRule="exact"/>
        <w:jc w:val="distribute"/>
        <w:rPr>
          <w:rFonts w:hint="default" w:eastAsia="仿宋_GB2312" w:cs="仿宋_GB2312"/>
          <w:bCs/>
          <w:color w:val="000000" w:themeColor="text1"/>
          <w:sz w:val="28"/>
          <w:szCs w:val="28"/>
          <w:u w:val="single"/>
          <w:lang w:val="en-US"/>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val="en-US" w:eastAsia="zh-CN"/>
          <w14:textFill>
            <w14:solidFill>
              <w14:schemeClr w14:val="tx1"/>
            </w14:solidFill>
          </w14:textFill>
        </w:rPr>
        <w:t xml:space="preserve">2508-450222-04-01-859585 </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2025年</w:t>
      </w:r>
      <w:r>
        <w:rPr>
          <w:rFonts w:hint="eastAsia" w:eastAsia="仿宋_GB2312" w:cs="仿宋_GB2312"/>
          <w:color w:val="000000" w:themeColor="text1"/>
          <w:u w:val="single"/>
          <w:lang w:val="en-US" w:eastAsia="zh-CN"/>
          <w14:textFill>
            <w14:solidFill>
              <w14:schemeClr w14:val="tx1"/>
            </w14:solidFill>
          </w14:textFill>
        </w:rPr>
        <w:t>11</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7</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0E6C42"/>
    <w:rsid w:val="0252066A"/>
    <w:rsid w:val="041F0B43"/>
    <w:rsid w:val="049F2426"/>
    <w:rsid w:val="05E05A25"/>
    <w:rsid w:val="06053772"/>
    <w:rsid w:val="086E3851"/>
    <w:rsid w:val="095A6639"/>
    <w:rsid w:val="0A410022"/>
    <w:rsid w:val="0A4D58DB"/>
    <w:rsid w:val="0AAF03C9"/>
    <w:rsid w:val="0B5A4560"/>
    <w:rsid w:val="0CCC4FEA"/>
    <w:rsid w:val="0E7A1DC9"/>
    <w:rsid w:val="0FFA73AA"/>
    <w:rsid w:val="10D00A20"/>
    <w:rsid w:val="112D1E11"/>
    <w:rsid w:val="118218DF"/>
    <w:rsid w:val="12AA36D7"/>
    <w:rsid w:val="137F1409"/>
    <w:rsid w:val="14C20BA7"/>
    <w:rsid w:val="14CC4A81"/>
    <w:rsid w:val="156839A2"/>
    <w:rsid w:val="16290DB7"/>
    <w:rsid w:val="1650447E"/>
    <w:rsid w:val="195F2621"/>
    <w:rsid w:val="1E641526"/>
    <w:rsid w:val="20012DA5"/>
    <w:rsid w:val="21001530"/>
    <w:rsid w:val="21F661EB"/>
    <w:rsid w:val="23634FD8"/>
    <w:rsid w:val="246C599D"/>
    <w:rsid w:val="247C6E9E"/>
    <w:rsid w:val="24D44515"/>
    <w:rsid w:val="27D01156"/>
    <w:rsid w:val="27F21951"/>
    <w:rsid w:val="29EE7EF6"/>
    <w:rsid w:val="2C5C383D"/>
    <w:rsid w:val="2E82647A"/>
    <w:rsid w:val="2EA210B7"/>
    <w:rsid w:val="2ED87595"/>
    <w:rsid w:val="2F681955"/>
    <w:rsid w:val="312B3D9E"/>
    <w:rsid w:val="319E36DA"/>
    <w:rsid w:val="321F6D79"/>
    <w:rsid w:val="322F37A1"/>
    <w:rsid w:val="32A970B0"/>
    <w:rsid w:val="340071A3"/>
    <w:rsid w:val="37FD6B8A"/>
    <w:rsid w:val="38E0334C"/>
    <w:rsid w:val="3B0D21A6"/>
    <w:rsid w:val="3B4B3979"/>
    <w:rsid w:val="3B844B5E"/>
    <w:rsid w:val="3C29347A"/>
    <w:rsid w:val="3C356139"/>
    <w:rsid w:val="40D35433"/>
    <w:rsid w:val="41E225DE"/>
    <w:rsid w:val="43000F6E"/>
    <w:rsid w:val="436C2636"/>
    <w:rsid w:val="438D657A"/>
    <w:rsid w:val="43FE2FD4"/>
    <w:rsid w:val="44056A46"/>
    <w:rsid w:val="4491418D"/>
    <w:rsid w:val="44AF6A91"/>
    <w:rsid w:val="457E617A"/>
    <w:rsid w:val="45A21C32"/>
    <w:rsid w:val="480F6AC9"/>
    <w:rsid w:val="4A863467"/>
    <w:rsid w:val="4AEC23A3"/>
    <w:rsid w:val="4D0C04AB"/>
    <w:rsid w:val="4F0022F6"/>
    <w:rsid w:val="4F2F41A5"/>
    <w:rsid w:val="4FB82BD0"/>
    <w:rsid w:val="500E27F0"/>
    <w:rsid w:val="50D61560"/>
    <w:rsid w:val="523F1387"/>
    <w:rsid w:val="530473CA"/>
    <w:rsid w:val="535B5D4C"/>
    <w:rsid w:val="551E5CEB"/>
    <w:rsid w:val="55284354"/>
    <w:rsid w:val="564C1AF9"/>
    <w:rsid w:val="56521D3A"/>
    <w:rsid w:val="57867037"/>
    <w:rsid w:val="58DA37D1"/>
    <w:rsid w:val="5C252174"/>
    <w:rsid w:val="5FD0403C"/>
    <w:rsid w:val="60275934"/>
    <w:rsid w:val="628C5986"/>
    <w:rsid w:val="62A55DE6"/>
    <w:rsid w:val="643407A7"/>
    <w:rsid w:val="655A7348"/>
    <w:rsid w:val="691E364C"/>
    <w:rsid w:val="69A006B2"/>
    <w:rsid w:val="6A044068"/>
    <w:rsid w:val="6A9B1512"/>
    <w:rsid w:val="6AD14E1A"/>
    <w:rsid w:val="6B453112"/>
    <w:rsid w:val="6C832144"/>
    <w:rsid w:val="6CDD66BA"/>
    <w:rsid w:val="6D3F29A4"/>
    <w:rsid w:val="6E147762"/>
    <w:rsid w:val="6E423939"/>
    <w:rsid w:val="6E6C6C08"/>
    <w:rsid w:val="6F524050"/>
    <w:rsid w:val="6F800BBD"/>
    <w:rsid w:val="6FA76BBE"/>
    <w:rsid w:val="73816CB2"/>
    <w:rsid w:val="73D0568F"/>
    <w:rsid w:val="77F1407E"/>
    <w:rsid w:val="797C1F3C"/>
    <w:rsid w:val="79B3410A"/>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after="330" w:line="578" w:lineRule="auto"/>
    </w:pPr>
    <w:rPr>
      <w:b w:val="0"/>
      <w:bCs w:val="0"/>
      <w:kern w:val="44"/>
      <w:sz w:val="44"/>
      <w:szCs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sz w:val="24"/>
    </w:rPr>
  </w:style>
  <w:style w:type="paragraph" w:styleId="5">
    <w:name w:val="Title"/>
    <w:basedOn w:val="1"/>
    <w:next w:val="1"/>
    <w:qFormat/>
    <w:uiPriority w:val="0"/>
    <w:pPr>
      <w:spacing w:before="330" w:after="340"/>
      <w:jc w:val="center"/>
      <w:outlineLvl w:val="0"/>
    </w:pPr>
    <w:rPr>
      <w:b/>
      <w:bCs/>
      <w:sz w:val="32"/>
      <w:szCs w:val="32"/>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next w:val="2"/>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7"/>
    <w:qFormat/>
    <w:uiPriority w:val="0"/>
    <w:pPr>
      <w:ind w:firstLine="420" w:firstLineChars="200"/>
    </w:pPr>
  </w:style>
  <w:style w:type="paragraph" w:customStyle="1" w:styleId="17">
    <w:name w:val="报告正文"/>
    <w:basedOn w:val="1"/>
    <w:qFormat/>
    <w:uiPriority w:val="0"/>
    <w:pPr>
      <w:tabs>
        <w:tab w:val="left" w:pos="0"/>
      </w:tabs>
      <w:spacing w:line="360" w:lineRule="auto"/>
      <w:ind w:firstLine="420" w:firstLineChars="200"/>
    </w:pPr>
    <w:rPr>
      <w:color w:val="000000"/>
    </w:r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4"/>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2479</Words>
  <Characters>2676</Characters>
  <Lines>25</Lines>
  <Paragraphs>7</Paragraphs>
  <TotalTime>17</TotalTime>
  <ScaleCrop>false</ScaleCrop>
  <LinksUpToDate>false</LinksUpToDate>
  <CharactersWithSpaces>2788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2025-09-08T03:09:00Z</cp:lastPrinted>
  <dcterms:modified xsi:type="dcterms:W3CDTF">2025-11-07T01:53:52Z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35C2952E4B2D4901B7C05D4BA14AB33E_13</vt:lpwstr>
  </property>
  <property fmtid="{D5CDD505-2E9C-101B-9397-08002B2CF9AE}" pid="4" name="KSOTemplateDocerSaveRecord">
    <vt:lpwstr>eyJoZGlkIjoiNjdkZjg3YzQyMDQ4ZWZkODQ0MmYzZDZjYmNhZDFiOTciLCJ1c2VySWQiOiI3NDI3NDE5MTUifQ==</vt:lpwstr>
  </property>
</Properties>
</file>