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w:t>
      </w:r>
      <w:r>
        <w:rPr>
          <w:rFonts w:hint="default" w:ascii="Times New Roman" w:hAnsi="Times New Roman" w:eastAsia="仿宋_GB2312"/>
          <w:lang w:val="en-US"/>
        </w:rPr>
        <w:t>35</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445C714C">
      <w:pPr>
        <w:pStyle w:val="35"/>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eastAsia" w:cs="宋体"/>
        </w:rPr>
      </w:pPr>
      <w:r>
        <w:rPr>
          <w:rFonts w:hint="eastAsia" w:cs="宋体"/>
        </w:rPr>
        <w:t>关于柳州市柳城永泰木材加工厂</w:t>
      </w:r>
    </w:p>
    <w:p w14:paraId="7038CADE">
      <w:pPr>
        <w:pStyle w:val="35"/>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cs="宋体"/>
        </w:rPr>
      </w:pPr>
      <w:r>
        <w:rPr>
          <w:rFonts w:hint="eastAsia" w:cs="宋体"/>
          <w:lang w:eastAsia="zh-CN"/>
        </w:rPr>
        <w:t>永泰家具生产项目</w:t>
      </w:r>
      <w:r>
        <w:rPr>
          <w:rFonts w:hint="eastAsia" w:cs="宋体"/>
        </w:rPr>
        <w:t>环境影响报告表的批复</w:t>
      </w:r>
    </w:p>
    <w:p w14:paraId="13A60381">
      <w:pPr>
        <w:pStyle w:val="36"/>
        <w:keepNext w:val="0"/>
        <w:keepLines w:val="0"/>
        <w:pageBreakBefore w:val="0"/>
        <w:widowControl w:val="0"/>
        <w:kinsoku/>
        <w:wordWrap/>
        <w:overflowPunct/>
        <w:topLinePunct w:val="0"/>
        <w:autoSpaceDE/>
        <w:autoSpaceDN/>
        <w:bidi w:val="0"/>
        <w:adjustRightInd/>
        <w:snapToGrid/>
        <w:spacing w:before="312" w:line="48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 xml:space="preserve"> 柳州市柳城永泰木材加工厂</w:t>
      </w:r>
      <w:r>
        <w:rPr>
          <w:rFonts w:hint="eastAsia" w:ascii="Times New Roman" w:hAnsi="Times New Roman" w:eastAsia="仿宋_GB2312" w:cs="仿宋_GB2312"/>
          <w:color w:val="000000"/>
        </w:rPr>
        <w:t>：</w:t>
      </w:r>
    </w:p>
    <w:p w14:paraId="34CB166F">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color w:val="000000"/>
        </w:rPr>
      </w:pPr>
      <w:r>
        <w:rPr>
          <w:rFonts w:hint="eastAsia" w:eastAsia="仿宋_GB2312" w:cs="仿宋_GB2312"/>
          <w:color w:val="000000"/>
        </w:rPr>
        <w:t>你公司报来《</w:t>
      </w:r>
      <w:r>
        <w:rPr>
          <w:rFonts w:hint="eastAsia" w:eastAsia="仿宋_GB2312" w:cs="仿宋_GB2312"/>
          <w:color w:val="000000"/>
          <w:lang w:eastAsia="zh-CN"/>
        </w:rPr>
        <w:t>永泰家具生产项目</w:t>
      </w:r>
      <w:r>
        <w:rPr>
          <w:rFonts w:hint="eastAsia" w:eastAsia="仿宋_GB2312" w:cs="仿宋_GB2312"/>
          <w:color w:val="000000"/>
        </w:rPr>
        <w:t>环境影响报告表》（以下简称《报告表》）收悉。经我局审核，现批复如下：</w:t>
      </w:r>
    </w:p>
    <w:p w14:paraId="0214F612">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lang w:val="en-US" w:eastAsia="zh-CN"/>
        </w:rPr>
      </w:pPr>
      <w:r>
        <w:rPr>
          <w:rFonts w:hint="eastAsia" w:eastAsia="仿宋_GB2312" w:cs="仿宋_GB2312"/>
          <w:color w:val="000000"/>
        </w:rPr>
        <w:t>一、本项目为</w:t>
      </w:r>
      <w:r>
        <w:rPr>
          <w:rFonts w:hint="eastAsia" w:eastAsia="仿宋_GB2312" w:cs="仿宋_GB2312"/>
          <w:color w:val="000000"/>
          <w:lang w:val="en-US" w:eastAsia="zh-CN"/>
        </w:rPr>
        <w:t>新建</w:t>
      </w:r>
      <w:r>
        <w:rPr>
          <w:rFonts w:hint="eastAsia" w:eastAsia="仿宋_GB2312" w:cs="仿宋_GB2312"/>
          <w:color w:val="000000"/>
        </w:rPr>
        <w:t>工程，位于广西壮族自治区柳州市</w:t>
      </w:r>
      <w:r>
        <w:rPr>
          <w:rFonts w:hint="eastAsia" w:eastAsia="仿宋_GB2312" w:cs="仿宋_GB2312"/>
          <w:color w:val="000000"/>
          <w:lang w:eastAsia="zh-CN"/>
        </w:rPr>
        <w:t>柳城县</w:t>
      </w:r>
      <w:r>
        <w:rPr>
          <w:rFonts w:hint="eastAsia" w:eastAsia="仿宋_GB2312" w:cs="仿宋_GB2312"/>
          <w:color w:val="000000"/>
          <w:lang w:val="en-US" w:eastAsia="zh-CN"/>
        </w:rPr>
        <w:t>东泉镇区种畜牧场内</w:t>
      </w:r>
      <w:r>
        <w:rPr>
          <w:rFonts w:hint="eastAsia" w:eastAsia="仿宋_GB2312" w:cs="仿宋_GB2312"/>
          <w:color w:val="000000"/>
        </w:rPr>
        <w:t>，</w:t>
      </w:r>
      <w:r>
        <w:rPr>
          <w:rFonts w:hint="eastAsia" w:eastAsia="仿宋_GB2312" w:cs="仿宋_GB2312"/>
        </w:rPr>
        <w:t>占地面积</w:t>
      </w:r>
      <w:r>
        <w:rPr>
          <w:rFonts w:hint="default" w:eastAsia="仿宋_GB2312" w:cs="仿宋_GB2312"/>
          <w:lang w:val="en-US" w:eastAsia="zh-CN"/>
        </w:rPr>
        <w:t>14732</w:t>
      </w:r>
      <w:r>
        <w:rPr>
          <w:rFonts w:hint="eastAsia" w:eastAsia="仿宋_GB2312" w:cs="仿宋_GB2312"/>
        </w:rPr>
        <w:t>平方米。建设规模：</w:t>
      </w:r>
      <w:r>
        <w:rPr>
          <w:rFonts w:hint="eastAsia" w:eastAsia="仿宋_GB2312" w:cs="仿宋_GB2312"/>
          <w:lang w:val="en-US" w:eastAsia="zh-CN"/>
        </w:rPr>
        <w:t>建设家具生产线，年产沙发100套、喷漆家具820套，其中喷漆家具</w:t>
      </w:r>
      <w:bookmarkStart w:id="0" w:name="_GoBack"/>
      <w:bookmarkEnd w:id="0"/>
      <w:r>
        <w:rPr>
          <w:rFonts w:hint="eastAsia" w:eastAsia="仿宋_GB2312" w:cs="仿宋_GB2312"/>
          <w:lang w:val="en-US" w:eastAsia="zh-CN"/>
        </w:rPr>
        <w:t>包含本厂加工沙发100套和其他5家家具企业委托喷漆720套（不包含其他加工工序）。</w:t>
      </w:r>
    </w:p>
    <w:p w14:paraId="502DC679">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eastAsia="仿宋_GB2312" w:cs="仿宋_GB2312"/>
          <w:lang w:val="en-US" w:eastAsia="zh-CN"/>
        </w:rPr>
      </w:pPr>
      <w:r>
        <w:rPr>
          <w:rFonts w:hint="eastAsia" w:eastAsia="仿宋_GB2312" w:cs="仿宋_GB2312"/>
        </w:rPr>
        <w:t>项目建设内容包括</w:t>
      </w:r>
      <w:r>
        <w:rPr>
          <w:rFonts w:hint="eastAsia" w:eastAsia="仿宋_GB2312" w:cs="仿宋_GB2312"/>
          <w:lang w:val="en-US" w:eastAsia="zh-CN"/>
        </w:rPr>
        <w:t>主体</w:t>
      </w:r>
      <w:r>
        <w:rPr>
          <w:rFonts w:hint="eastAsia" w:eastAsia="仿宋_GB2312" w:cs="仿宋_GB2312"/>
        </w:rPr>
        <w:t>工程</w:t>
      </w:r>
      <w:r>
        <w:rPr>
          <w:rFonts w:hint="eastAsia" w:eastAsia="仿宋_GB2312" w:cs="仿宋_GB2312"/>
          <w:lang w:eastAsia="zh-CN"/>
        </w:rPr>
        <w:t>（</w:t>
      </w:r>
      <w:r>
        <w:rPr>
          <w:rFonts w:hint="eastAsia" w:eastAsia="仿宋_GB2312" w:cs="仿宋_GB2312"/>
          <w:lang w:val="en-US" w:eastAsia="zh-CN"/>
        </w:rPr>
        <w:t>6栋生产车间等）；环保工程（1根15米排气筒、布袋除尘器、“水帘+干式过滤+二级活性炭吸附”处理设备</w:t>
      </w:r>
      <w:r>
        <w:rPr>
          <w:rFonts w:hint="eastAsia" w:ascii="Times New Roman" w:hAnsi="Times New Roman" w:eastAsia="仿宋_GB2312" w:cs="仿宋_GB2312"/>
          <w:lang w:val="en-US" w:eastAsia="zh-CN"/>
        </w:rPr>
        <w:t>、1</w:t>
      </w:r>
      <w:r>
        <w:rPr>
          <w:rFonts w:hint="eastAsia" w:eastAsia="仿宋_GB2312" w:cs="仿宋_GB2312"/>
          <w:lang w:val="en-US" w:eastAsia="zh-CN"/>
        </w:rPr>
        <w:t>个</w:t>
      </w:r>
      <w:r>
        <w:rPr>
          <w:rFonts w:hint="eastAsia" w:ascii="Times New Roman" w:hAnsi="Times New Roman" w:eastAsia="仿宋_GB2312" w:cs="仿宋_GB2312"/>
          <w:lang w:val="en-US" w:eastAsia="zh-CN"/>
        </w:rPr>
        <w:t>面积为</w:t>
      </w:r>
      <w:r>
        <w:rPr>
          <w:rFonts w:hint="eastAsia" w:eastAsia="仿宋_GB2312" w:cs="仿宋_GB2312"/>
          <w:lang w:val="en-US" w:eastAsia="zh-CN"/>
        </w:rPr>
        <w:t>50</w:t>
      </w:r>
      <w:r>
        <w:rPr>
          <w:rFonts w:hint="eastAsia" w:ascii="Times New Roman" w:hAnsi="Times New Roman" w:eastAsia="仿宋_GB2312" w:cs="仿宋_GB2312"/>
          <w:lang w:val="en-US" w:eastAsia="zh-CN"/>
        </w:rPr>
        <w:t>平方米的一般固废暂存</w:t>
      </w:r>
      <w:r>
        <w:rPr>
          <w:rFonts w:hint="eastAsia" w:eastAsia="仿宋_GB2312" w:cs="仿宋_GB2312"/>
          <w:lang w:val="en-US" w:eastAsia="zh-CN"/>
        </w:rPr>
        <w:t>间、1个面积为5</w:t>
      </w:r>
      <w:r>
        <w:rPr>
          <w:rFonts w:hint="eastAsia" w:ascii="Times New Roman" w:hAnsi="Times New Roman" w:eastAsia="仿宋_GB2312" w:cs="仿宋_GB2312"/>
          <w:lang w:val="en-US" w:eastAsia="zh-CN"/>
        </w:rPr>
        <w:t>平方米</w:t>
      </w:r>
      <w:r>
        <w:rPr>
          <w:rFonts w:hint="eastAsia" w:eastAsia="仿宋_GB2312" w:cs="仿宋_GB2312"/>
          <w:lang w:val="en-US" w:eastAsia="zh-CN"/>
        </w:rPr>
        <w:t>的危险废物暂存间、1个容积为3立方米的沉淀池</w:t>
      </w:r>
      <w:r>
        <w:rPr>
          <w:rFonts w:hint="eastAsia" w:ascii="Times New Roman" w:hAnsi="Times New Roman" w:eastAsia="仿宋_GB2312" w:cs="仿宋_GB2312"/>
          <w:lang w:val="en-US" w:eastAsia="zh-CN"/>
        </w:rPr>
        <w:t>等）；辅助工程（办公室、</w:t>
      </w:r>
      <w:r>
        <w:rPr>
          <w:rFonts w:hint="eastAsia" w:eastAsia="仿宋_GB2312" w:cs="仿宋_GB2312"/>
          <w:lang w:val="en-US" w:eastAsia="zh-CN"/>
        </w:rPr>
        <w:t>宿舍</w:t>
      </w:r>
      <w:r>
        <w:rPr>
          <w:rFonts w:hint="eastAsia" w:ascii="Times New Roman" w:hAnsi="Times New Roman" w:eastAsia="仿宋_GB2312" w:cs="仿宋_GB2312"/>
          <w:lang w:val="en-US" w:eastAsia="zh-CN"/>
        </w:rPr>
        <w:t>等）；公用工程（供水、排水、供电等）；详见《</w:t>
      </w:r>
      <w:r>
        <w:rPr>
          <w:rFonts w:hint="eastAsia" w:eastAsia="仿宋_GB2312" w:cs="仿宋_GB2312"/>
          <w:color w:val="auto"/>
          <w:lang w:val="en-US" w:eastAsia="zh-CN"/>
        </w:rPr>
        <w:t>报告表》。</w:t>
      </w:r>
    </w:p>
    <w:p w14:paraId="4BC08BC1">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rPr>
      </w:pPr>
      <w:r>
        <w:rPr>
          <w:rFonts w:hint="eastAsia" w:eastAsia="仿宋_GB2312" w:cs="仿宋_GB2312"/>
        </w:rPr>
        <w:t>项目不涉及自然保护区、饮用水源保护区、文物保护单位、</w:t>
      </w:r>
      <w:r>
        <w:rPr>
          <w:rFonts w:hint="eastAsia" w:eastAsia="仿宋_GB2312" w:cs="仿宋_GB2312"/>
          <w:lang w:val="en-US" w:eastAsia="zh-CN"/>
        </w:rPr>
        <w:t>地质公园、风景名胜区、基本农田等特殊保护对象。项目总投资100.00万元</w:t>
      </w:r>
      <w:r>
        <w:rPr>
          <w:rFonts w:hint="eastAsia" w:eastAsia="仿宋_GB2312" w:cs="仿宋_GB2312"/>
        </w:rPr>
        <w:t>，其中环保投资</w:t>
      </w:r>
      <w:r>
        <w:rPr>
          <w:rFonts w:hint="eastAsia" w:eastAsia="仿宋_GB2312" w:cs="仿宋_GB2312"/>
          <w:lang w:val="en-US" w:eastAsia="zh-CN"/>
        </w:rPr>
        <w:t>15</w:t>
      </w:r>
      <w:r>
        <w:rPr>
          <w:rFonts w:hint="eastAsia" w:eastAsia="仿宋_GB2312" w:cs="仿宋_GB2312"/>
        </w:rPr>
        <w:t>.0</w:t>
      </w:r>
      <w:r>
        <w:rPr>
          <w:rFonts w:hint="eastAsia" w:eastAsia="仿宋_GB2312" w:cs="仿宋_GB2312"/>
          <w:lang w:val="en-US" w:eastAsia="zh-CN"/>
        </w:rPr>
        <w:t>0</w:t>
      </w:r>
      <w:r>
        <w:rPr>
          <w:rFonts w:hint="eastAsia" w:eastAsia="仿宋_GB2312" w:cs="仿宋_GB2312"/>
        </w:rPr>
        <w:t>万元</w:t>
      </w:r>
      <w:r>
        <w:rPr>
          <w:rFonts w:hint="eastAsia" w:eastAsia="仿宋_GB2312" w:cs="仿宋_GB2312"/>
          <w:lang w:eastAsia="zh-CN"/>
        </w:rPr>
        <w:t>，</w:t>
      </w:r>
      <w:r>
        <w:rPr>
          <w:rFonts w:hint="eastAsia" w:eastAsia="仿宋_GB2312" w:cs="仿宋_GB2312"/>
          <w:lang w:val="en-US" w:eastAsia="zh-CN"/>
        </w:rPr>
        <w:t>占比15.00%</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43A9BA9F">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使用油性漆。调漆、喷漆、晾干工序产生的废气经密闭负压收集后通过“水帘+干式过滤+二级活性炭”处理装置处理，经1</w:t>
      </w:r>
      <w:r>
        <w:rPr>
          <w:rFonts w:hint="eastAsia" w:eastAsia="仿宋_GB2312" w:cs="仿宋_GB2312"/>
          <w:sz w:val="32"/>
          <w:szCs w:val="32"/>
        </w:rPr>
        <w:t>根</w:t>
      </w:r>
      <w:r>
        <w:rPr>
          <w:rFonts w:hint="eastAsia" w:eastAsia="仿宋_GB2312" w:cs="仿宋_GB2312"/>
          <w:sz w:val="32"/>
          <w:szCs w:val="32"/>
          <w:lang w:val="en-US" w:eastAsia="zh-CN"/>
        </w:rPr>
        <w:t>15</w:t>
      </w:r>
      <w:r>
        <w:rPr>
          <w:rFonts w:hint="eastAsia" w:eastAsia="仿宋_GB2312" w:cs="仿宋_GB2312"/>
          <w:sz w:val="32"/>
          <w:szCs w:val="32"/>
        </w:rPr>
        <w:t>米高排气筒排放，须确保有组织外排的</w:t>
      </w:r>
      <w:r>
        <w:rPr>
          <w:rFonts w:hint="eastAsia" w:eastAsia="仿宋_GB2312" w:cs="仿宋_GB2312"/>
          <w:sz w:val="32"/>
          <w:szCs w:val="32"/>
          <w:lang w:val="en-US" w:eastAsia="zh-CN"/>
        </w:rPr>
        <w:t>颗粒物、二甲苯、非甲烷总烃排放浓度和速率能够达到GB 16297-1996《大气污染物综合排放标准》表2新污染源大气污染物排放限值二级排放标准要求</w:t>
      </w:r>
      <w:r>
        <w:rPr>
          <w:rFonts w:hint="eastAsia" w:eastAsia="仿宋_GB2312" w:cs="仿宋_GB2312"/>
          <w:sz w:val="32"/>
          <w:szCs w:val="32"/>
        </w:rPr>
        <w:t>。</w:t>
      </w:r>
    </w:p>
    <w:p w14:paraId="4CEDBA50">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项目木材压刨、开料、修边、砂光、钻孔、打眼工序产生的废气经</w:t>
      </w:r>
      <w:r>
        <w:rPr>
          <w:rFonts w:hint="default" w:ascii="Times New Roman" w:hAnsi="Times New Roman" w:eastAsia="仿宋_GB2312" w:cs="仿宋_GB2312"/>
          <w:sz w:val="32"/>
          <w:szCs w:val="32"/>
        </w:rPr>
        <w:t>各集气口收集</w:t>
      </w:r>
      <w:r>
        <w:rPr>
          <w:rFonts w:hint="eastAsia" w:ascii="Times New Roman" w:hAnsi="Times New Roman" w:eastAsia="仿宋_GB2312" w:cs="仿宋_GB2312"/>
          <w:sz w:val="32"/>
          <w:szCs w:val="32"/>
          <w:lang w:val="en-US" w:eastAsia="zh-CN"/>
        </w:rPr>
        <w:t>通过</w:t>
      </w:r>
      <w:r>
        <w:rPr>
          <w:rFonts w:hint="default" w:ascii="Times New Roman" w:hAnsi="Times New Roman" w:eastAsia="仿宋_GB2312" w:cs="仿宋_GB2312"/>
          <w:sz w:val="32"/>
          <w:szCs w:val="32"/>
        </w:rPr>
        <w:t>配套的布袋除尘器处理</w:t>
      </w:r>
      <w:r>
        <w:rPr>
          <w:rFonts w:hint="eastAsia" w:ascii="Times New Roman" w:hAnsi="Times New Roman" w:eastAsia="仿宋_GB2312" w:cs="仿宋_GB2312"/>
          <w:sz w:val="32"/>
          <w:szCs w:val="32"/>
          <w:lang w:val="en-US" w:eastAsia="zh-CN"/>
        </w:rPr>
        <w:t>后无组织排放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打磨工序产生的废气经吸尘管收集通过</w:t>
      </w:r>
      <w:r>
        <w:rPr>
          <w:rFonts w:hint="default" w:ascii="Times New Roman" w:hAnsi="Times New Roman" w:eastAsia="仿宋_GB2312" w:cs="仿宋_GB2312"/>
          <w:sz w:val="32"/>
          <w:szCs w:val="32"/>
        </w:rPr>
        <w:t>移动式布袋除尘器</w:t>
      </w:r>
      <w:r>
        <w:rPr>
          <w:rFonts w:hint="eastAsia" w:ascii="Times New Roman" w:hAnsi="Times New Roman" w:eastAsia="仿宋_GB2312" w:cs="仿宋_GB2312"/>
          <w:sz w:val="32"/>
          <w:szCs w:val="32"/>
          <w:lang w:val="en-US" w:eastAsia="zh-CN"/>
        </w:rPr>
        <w:t>处理后无组织排放；</w:t>
      </w:r>
      <w:r>
        <w:rPr>
          <w:rFonts w:hint="eastAsia" w:eastAsia="仿宋_GB2312" w:cs="仿宋_GB2312"/>
          <w:sz w:val="32"/>
          <w:szCs w:val="32"/>
          <w:lang w:val="en-US" w:eastAsia="zh-CN"/>
        </w:rPr>
        <w:t>调漆、喷漆、晾干</w:t>
      </w:r>
      <w:r>
        <w:rPr>
          <w:rFonts w:hint="eastAsia" w:ascii="Times New Roman" w:hAnsi="Times New Roman" w:eastAsia="仿宋_GB2312" w:cs="仿宋_GB2312"/>
          <w:sz w:val="32"/>
          <w:szCs w:val="32"/>
          <w:lang w:val="en-US" w:eastAsia="zh-CN"/>
        </w:rPr>
        <w:t>等工序未被收集的废气无组织排放。须确保厂界无组织排放的颗粒物、二甲苯、非甲烷总烃排放浓度达到GB 16297-1996《大气污染物综合排放标准》表2新污染源大气污染物排放限值中无组织排放监控浓度限值标准要求；厂区内非甲烷总烃无组织排放浓度达到GB 37822-2019《挥发性有机物无组织排放控制标准》</w:t>
      </w:r>
      <w:r>
        <w:rPr>
          <w:rFonts w:hint="eastAsia" w:eastAsia="仿宋_GB2312" w:cs="仿宋_GB2312"/>
          <w:sz w:val="32"/>
          <w:szCs w:val="32"/>
          <w:lang w:val="en-US" w:eastAsia="zh-CN"/>
        </w:rPr>
        <w:t>中</w:t>
      </w:r>
      <w:r>
        <w:rPr>
          <w:rFonts w:hint="eastAsia" w:ascii="Times New Roman" w:hAnsi="Times New Roman" w:eastAsia="仿宋_GB2312" w:cs="仿宋_GB2312"/>
          <w:sz w:val="32"/>
          <w:szCs w:val="32"/>
          <w:lang w:val="en-US" w:eastAsia="zh-CN"/>
        </w:rPr>
        <w:t>表A.1厂区内VOCs无组织排放限值要求。</w:t>
      </w:r>
    </w:p>
    <w:p w14:paraId="11BAF6D7">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水帘废水经三级沉淀池处理后循环使用，不得外排，须2个月更换一次，更换的水帘废水按照危险废物管理，委托有资质单位转运、处理；生活污水经化粪池处理后，定期清掏用于周边植被施肥。</w:t>
      </w:r>
    </w:p>
    <w:p w14:paraId="137FF4E7">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优化总平面布置，选择低噪先进的设备。对噪声源较大的砂光机、带锯、台钻、压刨机、修边机、精密裁板锯、空压机等高噪声设备采取消声、减振措施后，确保厂界噪声达到GB 12348-2008《工业企业厂界环境噪声排放标准》2类标准要求。</w:t>
      </w:r>
    </w:p>
    <w:p w14:paraId="238C71B3">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w:t>
      </w:r>
      <w:r>
        <w:rPr>
          <w:rFonts w:hint="eastAsia" w:eastAsia="仿宋_GB2312" w:cs="仿宋_GB2312"/>
          <w:color w:val="000000"/>
          <w:kern w:val="2"/>
          <w:sz w:val="32"/>
          <w:szCs w:val="32"/>
          <w:lang w:val="en-US" w:eastAsia="zh-CN" w:bidi="ar-SA"/>
        </w:rPr>
        <w:t>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目木材废边角料、白乳胶包装桶收集后外售处理；生活垃圾集中收集后由环卫部门</w:t>
      </w:r>
      <w:r>
        <w:rPr>
          <w:rFonts w:hint="eastAsia" w:eastAsia="仿宋_GB2312" w:cs="仿宋_GB2312"/>
          <w:color w:val="000000" w:themeColor="text1"/>
          <w:sz w:val="32"/>
          <w:szCs w:val="32"/>
          <w:lang w:val="en-US" w:eastAsia="zh-CN"/>
          <w14:textFill>
            <w14:solidFill>
              <w14:schemeClr w14:val="tx1"/>
            </w14:solidFill>
          </w14:textFill>
        </w:rPr>
        <w:t>定期清运处置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。须按GB 18599-2020</w:t>
      </w:r>
      <w:r>
        <w:rPr>
          <w:rFonts w:hint="eastAsia" w:eastAsia="仿宋_GB2312" w:cs="仿宋_GB2312"/>
          <w:color w:val="000000" w:themeColor="text1"/>
          <w:sz w:val="32"/>
          <w:szCs w:val="32"/>
          <w:lang w:val="en-US" w:eastAsia="zh-CN"/>
          <w14:textFill>
            <w14:solidFill>
              <w14:schemeClr w14:val="tx1"/>
            </w14:solidFill>
          </w14:textFill>
        </w:rPr>
        <w:t>《一般工业固体废物贮存和填埋污染控制标准》要求，建设规范的一般固体废物贮存设施。</w:t>
      </w:r>
    </w:p>
    <w:p w14:paraId="5A0EC403">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须按GB 18597-2023《危险废物贮存污染控制标准》及其修改单的要求，建设规范的废漆渣、废过滤棉、废活性炭、废机油、废包装桶、水帘废水和废含油抹布及手套等的收集和临时存放设施，对废漆渣、废活性炭、废过滤棉和水帘废水采取密闭、加盖等措施，并设立明显的危废标志，危险废物须定期收集并交由有危险废物处置资质的单位按规定处理、处置，不得随意堆放、擅自外排。做好危险废物处置及转移联单的台账记录。</w:t>
      </w:r>
    </w:p>
    <w:p w14:paraId="1A9CD805">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加强环境管理，落实环境保护规章制度。须确保环保措施的正常运转以及各项污染物稳定达标排放，按照排污许可及《报告表》的相关管理要求定期进行监测。</w:t>
      </w:r>
    </w:p>
    <w:p w14:paraId="0793EFC8">
      <w:pPr>
        <w:pStyle w:val="55"/>
        <w:keepNext w:val="0"/>
        <w:keepLines w:val="0"/>
        <w:pageBreakBefore w:val="0"/>
        <w:widowControl w:val="0"/>
        <w:numPr>
          <w:ilvl w:val="2"/>
          <w:numId w:val="1"/>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48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3F17D88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2025年</w:t>
      </w:r>
      <w:r>
        <w:rPr>
          <w:rFonts w:hint="eastAsia" w:eastAsia="仿宋_GB2312" w:cs="仿宋_GB2312"/>
          <w:color w:val="000000" w:themeColor="text1"/>
          <w:sz w:val="32"/>
          <w:szCs w:val="32"/>
          <w:lang w:val="en-US" w:eastAsia="zh-CN"/>
          <w14:textFill>
            <w14:solidFill>
              <w14:schemeClr w14:val="tx1"/>
            </w14:solidFill>
          </w14:textFill>
        </w:rPr>
        <w:t>10</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2</w:t>
      </w:r>
      <w:r>
        <w:rPr>
          <w:rFonts w:hint="default" w:eastAsia="仿宋_GB2312" w:cs="仿宋_GB2312"/>
          <w:color w:val="000000" w:themeColor="text1"/>
          <w:sz w:val="32"/>
          <w:szCs w:val="32"/>
          <w:lang w:val="en-US" w:eastAsia="zh-CN"/>
          <w14:textFill>
            <w14:solidFill>
              <w14:schemeClr w14:val="tx1"/>
            </w14:solidFill>
          </w14:textFill>
        </w:rPr>
        <w:t>8</w:t>
      </w:r>
      <w:r>
        <w:rPr>
          <w:rFonts w:hint="eastAsia" w:eastAsia="仿宋_GB2312" w:cs="仿宋_GB2312"/>
          <w:color w:val="000000" w:themeColor="text1"/>
          <w:sz w:val="32"/>
          <w:szCs w:val="32"/>
          <w14:textFill>
            <w14:solidFill>
              <w14:schemeClr w14:val="tx1"/>
            </w14:solidFill>
          </w14:textFill>
        </w:rPr>
        <w:t>日</w:t>
      </w:r>
    </w:p>
    <w:p w14:paraId="1F510DD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66D4CA79">
      <w:pPr>
        <w:spacing w:line="480" w:lineRule="exact"/>
        <w:jc w:val="distribute"/>
        <w:rPr>
          <w:rFonts w:hint="default" w:eastAsia="仿宋_GB2312" w:cs="仿宋_GB2312"/>
          <w:bCs/>
          <w:color w:val="000000" w:themeColor="text1"/>
          <w:sz w:val="28"/>
          <w:szCs w:val="28"/>
          <w:u w:val="single"/>
          <w:lang w:val="en-US"/>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val="en-US" w:eastAsia="zh-CN"/>
          <w14:textFill>
            <w14:solidFill>
              <w14:schemeClr w14:val="tx1"/>
            </w14:solidFill>
          </w14:textFill>
        </w:rPr>
        <w:t xml:space="preserve">2509-450222-04-01-442012 </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2025年</w:t>
      </w:r>
      <w:r>
        <w:rPr>
          <w:rFonts w:hint="eastAsia" w:eastAsia="仿宋_GB2312" w:cs="仿宋_GB2312"/>
          <w:color w:val="000000" w:themeColor="text1"/>
          <w:u w:val="single"/>
          <w:lang w:val="en-US" w:eastAsia="zh-CN"/>
          <w14:textFill>
            <w14:solidFill>
              <w14:schemeClr w14:val="tx1"/>
            </w14:solidFill>
          </w14:textFill>
        </w:rPr>
        <w:t>10</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2</w:t>
      </w:r>
      <w:r>
        <w:rPr>
          <w:rFonts w:hint="default" w:eastAsia="仿宋_GB2312" w:cs="仿宋_GB2312"/>
          <w:color w:val="000000" w:themeColor="text1"/>
          <w:u w:val="single"/>
          <w:lang w:val="en-US" w:eastAsia="zh-CN"/>
          <w14:textFill>
            <w14:solidFill>
              <w14:schemeClr w14:val="tx1"/>
            </w14:solidFill>
          </w14:textFill>
        </w:rPr>
        <w:t>8</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2I1ZmU0Y2UwYmI4MzhkNGE1Nzc2MmY1NGU1YWY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0E6C42"/>
    <w:rsid w:val="0252066A"/>
    <w:rsid w:val="041F0B43"/>
    <w:rsid w:val="049F2426"/>
    <w:rsid w:val="05E05A25"/>
    <w:rsid w:val="06053772"/>
    <w:rsid w:val="086E3851"/>
    <w:rsid w:val="095A6639"/>
    <w:rsid w:val="0A410022"/>
    <w:rsid w:val="0A4D58DB"/>
    <w:rsid w:val="0AAF03C9"/>
    <w:rsid w:val="0B5A4560"/>
    <w:rsid w:val="0CCC4FEA"/>
    <w:rsid w:val="0D6B5D9E"/>
    <w:rsid w:val="0E7A1DC9"/>
    <w:rsid w:val="0FFA73AA"/>
    <w:rsid w:val="10D00A20"/>
    <w:rsid w:val="118218DF"/>
    <w:rsid w:val="12AA36D7"/>
    <w:rsid w:val="137F1409"/>
    <w:rsid w:val="14C20BA7"/>
    <w:rsid w:val="14CC4A81"/>
    <w:rsid w:val="156839A2"/>
    <w:rsid w:val="16290DB7"/>
    <w:rsid w:val="1650447E"/>
    <w:rsid w:val="16D0166B"/>
    <w:rsid w:val="1E641526"/>
    <w:rsid w:val="20012DA5"/>
    <w:rsid w:val="21001530"/>
    <w:rsid w:val="21F661EB"/>
    <w:rsid w:val="23634FD8"/>
    <w:rsid w:val="246C599D"/>
    <w:rsid w:val="247C6E9E"/>
    <w:rsid w:val="24AA5DB7"/>
    <w:rsid w:val="24D44515"/>
    <w:rsid w:val="26A452B7"/>
    <w:rsid w:val="27D01156"/>
    <w:rsid w:val="27F21951"/>
    <w:rsid w:val="29EE7EF6"/>
    <w:rsid w:val="2C5C383D"/>
    <w:rsid w:val="2E82647A"/>
    <w:rsid w:val="2EA210B7"/>
    <w:rsid w:val="2ED87595"/>
    <w:rsid w:val="312B3D9E"/>
    <w:rsid w:val="321F6D79"/>
    <w:rsid w:val="322F37A1"/>
    <w:rsid w:val="32A970B0"/>
    <w:rsid w:val="340071A3"/>
    <w:rsid w:val="37FD6B8A"/>
    <w:rsid w:val="38E0334C"/>
    <w:rsid w:val="3B0D21A6"/>
    <w:rsid w:val="3B4B3979"/>
    <w:rsid w:val="3B844B5E"/>
    <w:rsid w:val="3C29347A"/>
    <w:rsid w:val="3C356139"/>
    <w:rsid w:val="3CB974BB"/>
    <w:rsid w:val="3EBE2508"/>
    <w:rsid w:val="40D35433"/>
    <w:rsid w:val="41E225DE"/>
    <w:rsid w:val="43000F6E"/>
    <w:rsid w:val="43166D1E"/>
    <w:rsid w:val="436C2636"/>
    <w:rsid w:val="438D657A"/>
    <w:rsid w:val="43FE2FD4"/>
    <w:rsid w:val="44056A46"/>
    <w:rsid w:val="4441205E"/>
    <w:rsid w:val="4491418D"/>
    <w:rsid w:val="44AF6A91"/>
    <w:rsid w:val="452E1D68"/>
    <w:rsid w:val="457E617A"/>
    <w:rsid w:val="45A21C32"/>
    <w:rsid w:val="480F6AC9"/>
    <w:rsid w:val="4A863467"/>
    <w:rsid w:val="4AEC23A3"/>
    <w:rsid w:val="4D0C04AB"/>
    <w:rsid w:val="4F0022F6"/>
    <w:rsid w:val="4F2F41A5"/>
    <w:rsid w:val="4F855D03"/>
    <w:rsid w:val="4FB82BD0"/>
    <w:rsid w:val="500E27F0"/>
    <w:rsid w:val="50D61560"/>
    <w:rsid w:val="523F1387"/>
    <w:rsid w:val="530473CA"/>
    <w:rsid w:val="535B5D4C"/>
    <w:rsid w:val="551E5CEB"/>
    <w:rsid w:val="55284354"/>
    <w:rsid w:val="564C1AF9"/>
    <w:rsid w:val="56521D3A"/>
    <w:rsid w:val="57867037"/>
    <w:rsid w:val="58DA37D1"/>
    <w:rsid w:val="5C252174"/>
    <w:rsid w:val="60275934"/>
    <w:rsid w:val="621E68C3"/>
    <w:rsid w:val="628C5986"/>
    <w:rsid w:val="62A55DE6"/>
    <w:rsid w:val="643407A7"/>
    <w:rsid w:val="655A7348"/>
    <w:rsid w:val="691E364C"/>
    <w:rsid w:val="69A006B2"/>
    <w:rsid w:val="6A044068"/>
    <w:rsid w:val="6AD14E1A"/>
    <w:rsid w:val="6B453112"/>
    <w:rsid w:val="6C832144"/>
    <w:rsid w:val="6CDD66BA"/>
    <w:rsid w:val="6D3F29A4"/>
    <w:rsid w:val="6E147762"/>
    <w:rsid w:val="6E423939"/>
    <w:rsid w:val="6E6C6C08"/>
    <w:rsid w:val="6F4F6B12"/>
    <w:rsid w:val="6F524050"/>
    <w:rsid w:val="6F800BBD"/>
    <w:rsid w:val="6FA76BBE"/>
    <w:rsid w:val="72A663F7"/>
    <w:rsid w:val="73816CB2"/>
    <w:rsid w:val="73D0568F"/>
    <w:rsid w:val="77F1407E"/>
    <w:rsid w:val="797C1F3C"/>
    <w:rsid w:val="79B3410A"/>
    <w:rsid w:val="79DE7879"/>
    <w:rsid w:val="7A6F6740"/>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after="330" w:line="578" w:lineRule="auto"/>
    </w:pPr>
    <w:rPr>
      <w:b w:val="0"/>
      <w:bCs w:val="0"/>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spacing w:before="330" w:after="340"/>
      <w:jc w:val="center"/>
      <w:outlineLvl w:val="0"/>
    </w:pPr>
    <w:rPr>
      <w:b/>
      <w:bCs/>
      <w:sz w:val="32"/>
      <w:szCs w:val="32"/>
    </w:rPr>
  </w:style>
  <w:style w:type="paragraph" w:styleId="6">
    <w:name w:val="Normal Indent"/>
    <w:basedOn w:val="1"/>
    <w:next w:val="5"/>
    <w:qFormat/>
    <w:uiPriority w:val="0"/>
    <w:pPr>
      <w:spacing w:line="360" w:lineRule="auto"/>
      <w:ind w:firstLine="420" w:firstLineChars="200"/>
    </w:pPr>
    <w:rPr>
      <w:sz w:val="24"/>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next w:val="6"/>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7"/>
    <w:qFormat/>
    <w:uiPriority w:val="0"/>
    <w:pPr>
      <w:ind w:firstLine="420" w:firstLineChars="200"/>
    </w:pPr>
  </w:style>
  <w:style w:type="paragraph" w:customStyle="1" w:styleId="17">
    <w:name w:val="报告正文"/>
    <w:basedOn w:val="1"/>
    <w:qFormat/>
    <w:uiPriority w:val="0"/>
    <w:pPr>
      <w:tabs>
        <w:tab w:val="left" w:pos="0"/>
      </w:tabs>
      <w:spacing w:line="360" w:lineRule="auto"/>
      <w:ind w:firstLine="420" w:firstLineChars="200"/>
    </w:pPr>
    <w:rPr>
      <w:color w:val="000000"/>
    </w:r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2"/>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2291</Words>
  <Characters>2433</Characters>
  <Lines>25</Lines>
  <Paragraphs>7</Paragraphs>
  <TotalTime>48</TotalTime>
  <ScaleCrop>false</ScaleCrop>
  <LinksUpToDate>false</LinksUpToDate>
  <CharactersWithSpaces>2512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2025-10-20T03:36:00Z</cp:lastPrinted>
  <dcterms:modified xsi:type="dcterms:W3CDTF">2025-10-28T08:16:45Z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34EAD0CD9CC749F0B9FBE94FBAF378A6_13</vt:lpwstr>
  </property>
  <property fmtid="{D5CDD505-2E9C-101B-9397-08002B2CF9AE}" pid="4" name="KSOTemplateDocerSaveRecord">
    <vt:lpwstr>eyJoZGlkIjoiNjdkZjg3YzQyMDQ4ZWZkODQ0MmYzZDZjYmNhZDFiOTciLCJ1c2VySWQiOiI3NDI3NDE5MTUifQ==</vt:lpwstr>
  </property>
</Properties>
</file>