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B69BE">
      <w:pPr>
        <w:pStyle w:val="33"/>
      </w:pPr>
      <w:r>
        <w:rPr>
          <w:rFonts w:hint="eastAsia"/>
        </w:rPr>
        <w:t>柳城县行政审批局文件</w:t>
      </w:r>
    </w:p>
    <w:p w14:paraId="1952C7F4">
      <w:pPr>
        <w:pStyle w:val="34"/>
        <w:spacing w:before="624"/>
        <w:rPr>
          <w:rFonts w:ascii="Times New Roman" w:hAnsi="Times New Roman" w:eastAsia="楷体_GB2312"/>
          <w:color w:val="000000"/>
          <w:sz w:val="32"/>
          <w:szCs w:val="32"/>
        </w:rPr>
      </w:pPr>
      <w:r>
        <w:rPr>
          <w:rFonts w:hint="eastAsia" w:ascii="Times New Roman" w:hAnsi="Times New Roman" w:eastAsia="仿宋_GB2312" w:cs="仿宋_GB2312"/>
        </w:rPr>
        <w:t>柳城审批项投审字</w:t>
      </w:r>
      <w:r>
        <w:rPr>
          <w:rFonts w:ascii="Times New Roman" w:hAnsi="Times New Roman" w:eastAsia="仿宋_GB2312"/>
        </w:rPr>
        <w:t>〔202</w:t>
      </w:r>
      <w:r>
        <w:rPr>
          <w:rFonts w:hint="eastAsia" w:ascii="Times New Roman" w:hAnsi="Times New Roman" w:eastAsia="仿宋_GB2312"/>
          <w:lang w:val="en-US" w:eastAsia="zh-CN"/>
        </w:rPr>
        <w:t>5</w:t>
      </w:r>
      <w:r>
        <w:rPr>
          <w:rFonts w:ascii="Times New Roman" w:hAnsi="Times New Roman" w:eastAsia="仿宋_GB2312"/>
        </w:rPr>
        <w:t>〕</w:t>
      </w:r>
      <w:r>
        <w:rPr>
          <w:rFonts w:hint="default" w:ascii="Times New Roman" w:hAnsi="Times New Roman" w:eastAsia="仿宋_GB2312"/>
          <w:lang w:val="en-US" w:eastAsia="zh-CN"/>
        </w:rPr>
        <w:t>34</w:t>
      </w:r>
      <w:r>
        <w:rPr>
          <w:rFonts w:ascii="Times New Roman" w:hAnsi="Times New Roman" w:eastAsia="仿宋_GB2312"/>
        </w:rPr>
        <w:t>号</w:t>
      </w:r>
    </w:p>
    <w:p w14:paraId="4BAC4154">
      <w:pPr>
        <w:spacing w:line="640" w:lineRule="exact"/>
        <w:rPr>
          <w:sz w:val="28"/>
          <w:szCs w:val="28"/>
        </w:rPr>
      </w:pPr>
      <w:r>
        <w:rPr>
          <w:rFonts w:eastAsia="黑体"/>
          <w:color w:val="FF0000"/>
          <w:sz w:val="96"/>
          <w:szCs w:val="20"/>
          <w:u w:val="single"/>
        </w:rPr>
        <w:t xml:space="preserve">                  </w:t>
      </w:r>
    </w:p>
    <w:p w14:paraId="48609600">
      <w:pPr>
        <w:pStyle w:val="35"/>
        <w:keepNext w:val="0"/>
        <w:keepLines w:val="0"/>
        <w:pageBreakBefore w:val="0"/>
        <w:widowControl w:val="0"/>
        <w:kinsoku/>
        <w:wordWrap/>
        <w:overflowPunct/>
        <w:topLinePunct w:val="0"/>
        <w:autoSpaceDE/>
        <w:autoSpaceDN/>
        <w:bidi w:val="0"/>
        <w:adjustRightInd/>
        <w:snapToGrid/>
        <w:spacing w:before="100" w:line="520" w:lineRule="exact"/>
        <w:jc w:val="center"/>
        <w:textAlignment w:val="auto"/>
        <w:rPr>
          <w:rFonts w:hint="eastAsia" w:cs="宋体"/>
        </w:rPr>
      </w:pPr>
      <w:r>
        <w:rPr>
          <w:rFonts w:hint="eastAsia" w:cs="宋体"/>
        </w:rPr>
        <w:t>关于广西鑫聚达生物科技有限公司</w:t>
      </w:r>
    </w:p>
    <w:p w14:paraId="7AE7AD3D">
      <w:pPr>
        <w:pStyle w:val="35"/>
        <w:keepNext w:val="0"/>
        <w:keepLines w:val="0"/>
        <w:pageBreakBefore w:val="0"/>
        <w:widowControl w:val="0"/>
        <w:kinsoku/>
        <w:wordWrap/>
        <w:overflowPunct/>
        <w:topLinePunct w:val="0"/>
        <w:autoSpaceDE/>
        <w:autoSpaceDN/>
        <w:bidi w:val="0"/>
        <w:adjustRightInd/>
        <w:snapToGrid/>
        <w:spacing w:before="100" w:line="520" w:lineRule="exact"/>
        <w:jc w:val="center"/>
        <w:textAlignment w:val="auto"/>
        <w:rPr>
          <w:rFonts w:hint="eastAsia" w:cs="宋体"/>
          <w:lang w:eastAsia="zh-CN"/>
        </w:rPr>
      </w:pPr>
      <w:r>
        <w:rPr>
          <w:rFonts w:hint="eastAsia" w:cs="宋体"/>
          <w:lang w:eastAsia="zh-CN"/>
        </w:rPr>
        <w:t>鑫聚达年产4万吨生物质颗粒建设项目</w:t>
      </w:r>
    </w:p>
    <w:p w14:paraId="7038CADE">
      <w:pPr>
        <w:pStyle w:val="35"/>
        <w:keepNext w:val="0"/>
        <w:keepLines w:val="0"/>
        <w:pageBreakBefore w:val="0"/>
        <w:widowControl w:val="0"/>
        <w:kinsoku/>
        <w:wordWrap/>
        <w:overflowPunct/>
        <w:topLinePunct w:val="0"/>
        <w:autoSpaceDE/>
        <w:autoSpaceDN/>
        <w:bidi w:val="0"/>
        <w:adjustRightInd/>
        <w:snapToGrid/>
        <w:spacing w:before="100" w:line="520" w:lineRule="exact"/>
        <w:jc w:val="center"/>
        <w:textAlignment w:val="auto"/>
        <w:rPr>
          <w:rFonts w:cs="宋体"/>
        </w:rPr>
      </w:pPr>
      <w:r>
        <w:rPr>
          <w:rFonts w:hint="eastAsia" w:cs="宋体"/>
        </w:rPr>
        <w:t>环境影响报告表的批复</w:t>
      </w:r>
    </w:p>
    <w:p w14:paraId="13A60381">
      <w:pPr>
        <w:pStyle w:val="36"/>
        <w:keepNext w:val="0"/>
        <w:keepLines w:val="0"/>
        <w:pageBreakBefore w:val="0"/>
        <w:widowControl w:val="0"/>
        <w:kinsoku/>
        <w:wordWrap/>
        <w:overflowPunct/>
        <w:topLinePunct w:val="0"/>
        <w:autoSpaceDE/>
        <w:autoSpaceDN/>
        <w:bidi w:val="0"/>
        <w:adjustRightInd/>
        <w:snapToGrid/>
        <w:spacing w:before="312" w:line="520" w:lineRule="exact"/>
        <w:textAlignment w:val="auto"/>
        <w:rPr>
          <w:rFonts w:ascii="Times New Roman" w:hAnsi="Times New Roman" w:eastAsia="仿宋_GB2312" w:cs="仿宋_GB2312"/>
          <w:color w:val="000000"/>
        </w:rPr>
      </w:pPr>
      <w:r>
        <w:rPr>
          <w:rFonts w:hint="eastAsia" w:ascii="Times New Roman" w:hAnsi="Times New Roman" w:eastAsia="仿宋_GB2312" w:cs="仿宋_GB2312"/>
          <w:color w:val="000000"/>
          <w:lang w:eastAsia="zh-CN"/>
        </w:rPr>
        <w:t xml:space="preserve"> 广西鑫聚达生物科技有限公司</w:t>
      </w:r>
      <w:r>
        <w:rPr>
          <w:rFonts w:hint="eastAsia" w:ascii="Times New Roman" w:hAnsi="Times New Roman" w:eastAsia="仿宋_GB2312" w:cs="仿宋_GB2312"/>
          <w:color w:val="000000"/>
        </w:rPr>
        <w:t>：</w:t>
      </w:r>
    </w:p>
    <w:p w14:paraId="34CB166F">
      <w:pPr>
        <w:pStyle w:val="37"/>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eastAsia="仿宋_GB2312" w:cs="仿宋_GB2312"/>
          <w:color w:val="000000"/>
        </w:rPr>
      </w:pPr>
      <w:r>
        <w:rPr>
          <w:rFonts w:hint="eastAsia" w:eastAsia="仿宋_GB2312" w:cs="仿宋_GB2312"/>
          <w:color w:val="000000"/>
        </w:rPr>
        <w:t>你公司报来《</w:t>
      </w:r>
      <w:r>
        <w:rPr>
          <w:rFonts w:hint="eastAsia" w:eastAsia="仿宋_GB2312" w:cs="仿宋_GB2312"/>
          <w:color w:val="000000"/>
          <w:lang w:eastAsia="zh-CN"/>
        </w:rPr>
        <w:t>鑫聚达年产4万吨生物质颗粒建设项目</w:t>
      </w:r>
      <w:r>
        <w:rPr>
          <w:rFonts w:hint="eastAsia" w:eastAsia="仿宋_GB2312" w:cs="仿宋_GB2312"/>
          <w:color w:val="000000"/>
        </w:rPr>
        <w:t>环境影响报告表》（以下简称《报告表》）收悉。经我局审核，现批复如下：</w:t>
      </w:r>
    </w:p>
    <w:p w14:paraId="0214F612">
      <w:pPr>
        <w:pStyle w:val="37"/>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eastAsia="仿宋_GB2312" w:cs="仿宋_GB2312"/>
        </w:rPr>
      </w:pPr>
      <w:r>
        <w:rPr>
          <w:rFonts w:hint="eastAsia" w:eastAsia="仿宋_GB2312" w:cs="仿宋_GB2312"/>
          <w:color w:val="000000"/>
        </w:rPr>
        <w:t>一、本项目为</w:t>
      </w:r>
      <w:r>
        <w:rPr>
          <w:rFonts w:hint="eastAsia" w:eastAsia="仿宋_GB2312" w:cs="仿宋_GB2312"/>
          <w:color w:val="000000"/>
          <w:lang w:val="en-US" w:eastAsia="zh-CN"/>
        </w:rPr>
        <w:t>新建</w:t>
      </w:r>
      <w:r>
        <w:rPr>
          <w:rFonts w:hint="eastAsia" w:eastAsia="仿宋_GB2312" w:cs="仿宋_GB2312"/>
          <w:color w:val="000000"/>
        </w:rPr>
        <w:t>工程，位于广西壮族自治区柳州市</w:t>
      </w:r>
      <w:r>
        <w:rPr>
          <w:rFonts w:hint="eastAsia" w:eastAsia="仿宋_GB2312" w:cs="仿宋_GB2312"/>
          <w:color w:val="000000"/>
          <w:lang w:eastAsia="zh-CN"/>
        </w:rPr>
        <w:t>柳城县</w:t>
      </w:r>
      <w:r>
        <w:rPr>
          <w:rFonts w:hint="eastAsia" w:eastAsia="仿宋_GB2312" w:cs="仿宋_GB2312"/>
          <w:color w:val="000000"/>
          <w:lang w:val="en-US" w:eastAsia="zh-CN"/>
        </w:rPr>
        <w:t>东泉镇走马坪柳州种畜场内（原老牛舍内）</w:t>
      </w:r>
      <w:r>
        <w:rPr>
          <w:rFonts w:hint="eastAsia" w:eastAsia="仿宋_GB2312" w:cs="仿宋_GB2312"/>
          <w:color w:val="000000"/>
        </w:rPr>
        <w:t>，</w:t>
      </w:r>
      <w:r>
        <w:rPr>
          <w:rFonts w:hint="eastAsia" w:eastAsia="仿宋_GB2312" w:cs="仿宋_GB2312"/>
        </w:rPr>
        <w:t>占地面积</w:t>
      </w:r>
      <w:r>
        <w:rPr>
          <w:rFonts w:hint="default" w:eastAsia="仿宋_GB2312" w:cs="仿宋_GB2312"/>
          <w:lang w:val="en-US" w:eastAsia="zh-CN"/>
        </w:rPr>
        <w:t>5261</w:t>
      </w:r>
      <w:r>
        <w:rPr>
          <w:rFonts w:hint="eastAsia" w:eastAsia="仿宋_GB2312" w:cs="仿宋_GB2312"/>
        </w:rPr>
        <w:t>平方米。建设规模：</w:t>
      </w:r>
      <w:r>
        <w:rPr>
          <w:rFonts w:hint="eastAsia" w:eastAsia="仿宋_GB2312" w:cs="仿宋_GB2312"/>
          <w:lang w:val="en-US" w:eastAsia="zh-CN"/>
        </w:rPr>
        <w:t>建设1条生物质颗粒生产线，年产4万吨生物质颗粒</w:t>
      </w:r>
      <w:r>
        <w:rPr>
          <w:rFonts w:hint="eastAsia" w:eastAsia="仿宋_GB2312" w:cs="仿宋_GB2312"/>
        </w:rPr>
        <w:t>。</w:t>
      </w:r>
    </w:p>
    <w:p w14:paraId="502DC679">
      <w:pPr>
        <w:pStyle w:val="37"/>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eastAsia="仿宋_GB2312" w:cs="仿宋_GB2312"/>
          <w:lang w:val="en-US" w:eastAsia="zh-CN"/>
        </w:rPr>
      </w:pPr>
      <w:r>
        <w:rPr>
          <w:rFonts w:hint="eastAsia" w:eastAsia="仿宋_GB2312" w:cs="仿宋_GB2312"/>
        </w:rPr>
        <w:t>项目建设内容包括</w:t>
      </w:r>
      <w:r>
        <w:rPr>
          <w:rFonts w:hint="eastAsia" w:eastAsia="仿宋_GB2312" w:cs="仿宋_GB2312"/>
          <w:lang w:val="en-US" w:eastAsia="zh-CN"/>
        </w:rPr>
        <w:t>主体</w:t>
      </w:r>
      <w:r>
        <w:rPr>
          <w:rFonts w:hint="eastAsia" w:eastAsia="仿宋_GB2312" w:cs="仿宋_GB2312"/>
        </w:rPr>
        <w:t>工程</w:t>
      </w:r>
      <w:r>
        <w:rPr>
          <w:rFonts w:hint="eastAsia" w:eastAsia="仿宋_GB2312" w:cs="仿宋_GB2312"/>
          <w:lang w:eastAsia="zh-CN"/>
        </w:rPr>
        <w:t>（</w:t>
      </w:r>
      <w:r>
        <w:rPr>
          <w:rFonts w:hint="eastAsia" w:eastAsia="仿宋_GB2312" w:cs="仿宋_GB2312"/>
          <w:lang w:val="en-US" w:eastAsia="zh-CN"/>
        </w:rPr>
        <w:t>生产车间等）</w:t>
      </w:r>
      <w:r>
        <w:rPr>
          <w:rFonts w:hint="eastAsia" w:eastAsia="仿宋_GB2312" w:cs="仿宋_GB2312"/>
          <w:lang w:eastAsia="zh-CN"/>
        </w:rPr>
        <w:t>；</w:t>
      </w:r>
      <w:r>
        <w:rPr>
          <w:rFonts w:hint="eastAsia" w:eastAsia="仿宋_GB2312" w:cs="仿宋_GB2312"/>
          <w:lang w:val="en-US" w:eastAsia="zh-CN"/>
        </w:rPr>
        <w:t>储运工程（原料堆场、破碎后半成品堆场、粉碎后半成品堆场、成品料仓等）；环保工程（1根15米排气筒、1套中央除尘系</w:t>
      </w:r>
      <w:r>
        <w:rPr>
          <w:rFonts w:hint="eastAsia" w:ascii="Times New Roman" w:hAnsi="Times New Roman" w:eastAsia="仿宋_GB2312" w:cs="仿宋_GB2312"/>
          <w:lang w:val="en-US" w:eastAsia="zh-CN"/>
        </w:rPr>
        <w:t>统、1间面积为20平方米的一般固废暂存库等）；辅助工程（办公室、门卫室等）；公用工程（供水、排水、供电等）；详见《</w:t>
      </w:r>
      <w:r>
        <w:rPr>
          <w:rFonts w:hint="eastAsia" w:eastAsia="仿宋_GB2312" w:cs="仿宋_GB2312"/>
          <w:color w:val="auto"/>
          <w:lang w:val="en-US" w:eastAsia="zh-CN"/>
        </w:rPr>
        <w:t>报告表》。</w:t>
      </w:r>
    </w:p>
    <w:p w14:paraId="4BC08BC1">
      <w:pPr>
        <w:pStyle w:val="37"/>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eastAsia="仿宋_GB2312" w:cs="仿宋_GB2312"/>
        </w:rPr>
      </w:pPr>
      <w:r>
        <w:rPr>
          <w:rFonts w:hint="eastAsia" w:eastAsia="仿宋_GB2312" w:cs="仿宋_GB2312"/>
        </w:rPr>
        <w:t>项目不涉及自然保护区、饮用水源保护区、文物保护单位、</w:t>
      </w:r>
      <w:r>
        <w:rPr>
          <w:rFonts w:hint="eastAsia" w:eastAsia="仿宋_GB2312" w:cs="仿宋_GB2312"/>
          <w:lang w:val="en-US" w:eastAsia="zh-CN"/>
        </w:rPr>
        <w:t>地质公园、风景名胜区、基本农田等特殊保护对象。项目总投资300.00万元</w:t>
      </w:r>
      <w:r>
        <w:rPr>
          <w:rFonts w:hint="eastAsia" w:eastAsia="仿宋_GB2312" w:cs="仿宋_GB2312"/>
        </w:rPr>
        <w:t>，其中环保投资</w:t>
      </w:r>
      <w:r>
        <w:rPr>
          <w:rFonts w:hint="eastAsia" w:eastAsia="仿宋_GB2312" w:cs="仿宋_GB2312"/>
          <w:lang w:val="en-US" w:eastAsia="zh-CN"/>
        </w:rPr>
        <w:t>50</w:t>
      </w:r>
      <w:r>
        <w:rPr>
          <w:rFonts w:hint="eastAsia" w:eastAsia="仿宋_GB2312" w:cs="仿宋_GB2312"/>
        </w:rPr>
        <w:t>.0</w:t>
      </w:r>
      <w:r>
        <w:rPr>
          <w:rFonts w:hint="eastAsia" w:eastAsia="仿宋_GB2312" w:cs="仿宋_GB2312"/>
          <w:lang w:val="en-US" w:eastAsia="zh-CN"/>
        </w:rPr>
        <w:t>0</w:t>
      </w:r>
      <w:r>
        <w:rPr>
          <w:rFonts w:hint="eastAsia" w:eastAsia="仿宋_GB2312" w:cs="仿宋_GB2312"/>
        </w:rPr>
        <w:t>万元</w:t>
      </w:r>
      <w:r>
        <w:rPr>
          <w:rFonts w:hint="eastAsia" w:eastAsia="仿宋_GB2312" w:cs="仿宋_GB2312"/>
          <w:lang w:eastAsia="zh-CN"/>
        </w:rPr>
        <w:t>，</w:t>
      </w:r>
      <w:r>
        <w:rPr>
          <w:rFonts w:hint="eastAsia" w:eastAsia="仿宋_GB2312" w:cs="仿宋_GB2312"/>
          <w:lang w:val="en-US" w:eastAsia="zh-CN"/>
        </w:rPr>
        <w:t>占比16.67%</w:t>
      </w:r>
      <w:r>
        <w:rPr>
          <w:rFonts w:hint="eastAsia" w:eastAsia="仿宋_GB2312" w:cs="仿宋_GB2312"/>
        </w:rPr>
        <w:t>。</w:t>
      </w:r>
    </w:p>
    <w:p w14:paraId="6F8B22E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eastAsia="仿宋_GB2312" w:cs="仿宋_GB2312"/>
          <w:sz w:val="32"/>
          <w:szCs w:val="32"/>
        </w:rPr>
      </w:pPr>
      <w:r>
        <w:rPr>
          <w:rFonts w:hint="eastAsia" w:eastAsia="仿宋_GB2312" w:cs="仿宋_GB2312"/>
          <w:sz w:val="32"/>
          <w:szCs w:val="32"/>
        </w:rPr>
        <w:t>项目已获得广西壮族自治区投资项目备案证明。从环境影响角度考虑，同意你公司按照《报告表》所列的建设项目的地点、性质、规模、采取的环境保护对策措施及下述要求进行项目建设。</w:t>
      </w:r>
    </w:p>
    <w:p w14:paraId="2F77293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eastAsia="仿宋_GB2312" w:cs="仿宋_GB2312"/>
          <w:sz w:val="32"/>
          <w:szCs w:val="32"/>
        </w:rPr>
      </w:pPr>
      <w:r>
        <w:rPr>
          <w:rFonts w:hint="eastAsia" w:eastAsia="仿宋_GB2312" w:cs="仿宋_GB2312"/>
          <w:sz w:val="32"/>
          <w:szCs w:val="32"/>
        </w:rPr>
        <w:t>二、项目须落实《报告表》提出的各项环保要求，重点抓好以下环保工作：</w:t>
      </w:r>
    </w:p>
    <w:p w14:paraId="43A9BA9F">
      <w:pPr>
        <w:pStyle w:val="55"/>
        <w:keepNext w:val="0"/>
        <w:keepLines w:val="0"/>
        <w:pageBreakBefore w:val="0"/>
        <w:widowControl w:val="0"/>
        <w:numPr>
          <w:ilvl w:val="2"/>
          <w:numId w:val="1"/>
        </w:numPr>
        <w:kinsoku/>
        <w:wordWrap/>
        <w:overflowPunct/>
        <w:topLinePunct w:val="0"/>
        <w:autoSpaceDE/>
        <w:autoSpaceDN/>
        <w:bidi w:val="0"/>
        <w:adjustRightInd/>
        <w:snapToGrid/>
        <w:spacing w:line="500" w:lineRule="exact"/>
        <w:ind w:left="0" w:firstLine="640" w:firstLineChars="200"/>
        <w:textAlignment w:val="auto"/>
        <w:rPr>
          <w:rFonts w:eastAsia="仿宋_GB2312" w:cs="仿宋_GB2312"/>
          <w:sz w:val="32"/>
          <w:szCs w:val="32"/>
        </w:rPr>
      </w:pPr>
      <w:r>
        <w:rPr>
          <w:rFonts w:hint="eastAsia" w:eastAsia="仿宋_GB2312" w:cs="仿宋_GB2312"/>
          <w:sz w:val="32"/>
          <w:szCs w:val="32"/>
        </w:rPr>
        <w:t>项目</w:t>
      </w:r>
      <w:r>
        <w:rPr>
          <w:rFonts w:hint="eastAsia" w:eastAsia="仿宋_GB2312" w:cs="仿宋_GB2312"/>
          <w:sz w:val="32"/>
          <w:szCs w:val="32"/>
          <w:lang w:val="en-US" w:eastAsia="zh-CN"/>
        </w:rPr>
        <w:t>投料、破碎、粉碎、制粒工序产生的废气经集气罩收集后通过布袋除尘器处理，</w:t>
      </w:r>
      <w:r>
        <w:rPr>
          <w:rFonts w:hint="eastAsia" w:eastAsia="仿宋_GB2312" w:cs="仿宋_GB2312"/>
          <w:sz w:val="32"/>
          <w:szCs w:val="32"/>
        </w:rPr>
        <w:t>通过</w:t>
      </w:r>
      <w:r>
        <w:rPr>
          <w:rFonts w:hint="eastAsia" w:eastAsia="仿宋_GB2312" w:cs="仿宋_GB2312"/>
          <w:sz w:val="32"/>
          <w:szCs w:val="32"/>
          <w:lang w:val="en-US" w:eastAsia="zh-CN"/>
        </w:rPr>
        <w:t>1</w:t>
      </w:r>
      <w:r>
        <w:rPr>
          <w:rFonts w:hint="eastAsia" w:eastAsia="仿宋_GB2312" w:cs="仿宋_GB2312"/>
          <w:sz w:val="32"/>
          <w:szCs w:val="32"/>
        </w:rPr>
        <w:t>根</w:t>
      </w:r>
      <w:r>
        <w:rPr>
          <w:rFonts w:hint="eastAsia" w:eastAsia="仿宋_GB2312" w:cs="仿宋_GB2312"/>
          <w:sz w:val="32"/>
          <w:szCs w:val="32"/>
          <w:lang w:val="en-US" w:eastAsia="zh-CN"/>
        </w:rPr>
        <w:t>15</w:t>
      </w:r>
      <w:r>
        <w:rPr>
          <w:rFonts w:hint="eastAsia" w:eastAsia="仿宋_GB2312" w:cs="仿宋_GB2312"/>
          <w:sz w:val="32"/>
          <w:szCs w:val="32"/>
        </w:rPr>
        <w:t>米高排气筒排放，须确保有组织外排的</w:t>
      </w:r>
      <w:r>
        <w:rPr>
          <w:rFonts w:hint="eastAsia" w:eastAsia="仿宋_GB2312" w:cs="仿宋_GB2312"/>
          <w:sz w:val="32"/>
          <w:szCs w:val="32"/>
          <w:lang w:val="en-US" w:eastAsia="zh-CN"/>
        </w:rPr>
        <w:t>颗粒物排放浓度和速率能够达到GB 16297-1996《大气污染物综合排放标准》表2新污染源大气污染物排放限值二级排放标准要求</w:t>
      </w:r>
      <w:r>
        <w:rPr>
          <w:rFonts w:hint="eastAsia" w:eastAsia="仿宋_GB2312" w:cs="仿宋_GB2312"/>
          <w:sz w:val="32"/>
          <w:szCs w:val="32"/>
        </w:rPr>
        <w:t>。</w:t>
      </w:r>
    </w:p>
    <w:p w14:paraId="04360A8C">
      <w:pPr>
        <w:pStyle w:val="55"/>
        <w:keepNext w:val="0"/>
        <w:keepLines w:val="0"/>
        <w:pageBreakBefore w:val="0"/>
        <w:widowControl w:val="0"/>
        <w:numPr>
          <w:ilvl w:val="2"/>
          <w:numId w:val="1"/>
        </w:numPr>
        <w:kinsoku/>
        <w:wordWrap/>
        <w:overflowPunct/>
        <w:topLinePunct w:val="0"/>
        <w:autoSpaceDE/>
        <w:autoSpaceDN/>
        <w:bidi w:val="0"/>
        <w:adjustRightInd/>
        <w:snapToGrid/>
        <w:spacing w:line="500" w:lineRule="exact"/>
        <w:ind w:left="0" w:firstLine="640" w:firstLineChars="200"/>
        <w:textAlignment w:val="auto"/>
        <w:rPr>
          <w:rFonts w:hint="eastAsia" w:ascii="Times New Roman" w:hAnsi="Times New Roman" w:eastAsia="仿宋_GB2312" w:cs="仿宋_GB2312"/>
          <w:color w:val="000000"/>
          <w:sz w:val="32"/>
          <w:szCs w:val="32"/>
        </w:rPr>
      </w:pPr>
      <w:r>
        <w:rPr>
          <w:rFonts w:hint="eastAsia" w:eastAsia="仿宋_GB2312" w:cs="仿宋_GB2312"/>
          <w:color w:val="000000"/>
          <w:sz w:val="32"/>
          <w:szCs w:val="32"/>
        </w:rPr>
        <w:t>项目</w:t>
      </w:r>
      <w:r>
        <w:rPr>
          <w:rFonts w:hint="eastAsia" w:eastAsia="仿宋_GB2312" w:cs="仿宋_GB2312"/>
          <w:color w:val="000000"/>
          <w:sz w:val="32"/>
          <w:szCs w:val="32"/>
          <w:lang w:val="en-US" w:eastAsia="zh-CN"/>
        </w:rPr>
        <w:t>须</w:t>
      </w:r>
      <w:r>
        <w:rPr>
          <w:rFonts w:hint="eastAsia" w:ascii="Times New Roman" w:hAnsi="Times New Roman" w:eastAsia="仿宋_GB2312" w:cs="仿宋_GB2312"/>
          <w:color w:val="000000"/>
          <w:sz w:val="32"/>
          <w:szCs w:val="32"/>
          <w:lang w:val="en-US" w:eastAsia="zh-CN"/>
        </w:rPr>
        <w:t>采取密闭厂房、定期清扫车间地面粉尘、厂界四周加强绿化等控制措施</w:t>
      </w:r>
      <w:r>
        <w:rPr>
          <w:rFonts w:hint="eastAsia" w:eastAsia="仿宋_GB2312" w:cs="仿宋_GB2312"/>
          <w:color w:val="000000"/>
          <w:sz w:val="32"/>
          <w:szCs w:val="32"/>
          <w:lang w:val="en-US" w:eastAsia="zh-CN"/>
        </w:rPr>
        <w:t>；堆场工序</w:t>
      </w:r>
      <w:r>
        <w:rPr>
          <w:rFonts w:hint="eastAsia" w:ascii="Times New Roman" w:hAnsi="Times New Roman" w:eastAsia="仿宋_GB2312" w:cs="仿宋_GB2312"/>
          <w:color w:val="000000"/>
          <w:sz w:val="32"/>
          <w:szCs w:val="32"/>
          <w:lang w:val="en-US" w:eastAsia="zh-CN"/>
        </w:rPr>
        <w:t>须</w:t>
      </w:r>
      <w:r>
        <w:rPr>
          <w:rFonts w:hint="eastAsia" w:eastAsia="仿宋_GB2312" w:cs="仿宋_GB2312"/>
          <w:color w:val="000000"/>
          <w:sz w:val="32"/>
          <w:szCs w:val="32"/>
          <w:lang w:val="en-US" w:eastAsia="zh-CN"/>
        </w:rPr>
        <w:t>采取堆场篷布遮盖、增加不低于堆场高度的围挡等</w:t>
      </w:r>
      <w:r>
        <w:rPr>
          <w:rFonts w:hint="eastAsia" w:eastAsia="仿宋_GB2312" w:cs="仿宋_GB2312"/>
          <w:sz w:val="32"/>
          <w:szCs w:val="32"/>
          <w:lang w:val="en-US" w:eastAsia="zh-CN"/>
        </w:rPr>
        <w:t>控制</w:t>
      </w:r>
      <w:r>
        <w:rPr>
          <w:rFonts w:hint="eastAsia" w:ascii="Times New Roman" w:hAnsi="Times New Roman" w:eastAsia="仿宋_GB2312" w:cs="仿宋_GB2312"/>
          <w:sz w:val="32"/>
          <w:szCs w:val="32"/>
          <w:lang w:val="en-US" w:eastAsia="zh-CN"/>
        </w:rPr>
        <w:t>措施</w:t>
      </w:r>
      <w:r>
        <w:rPr>
          <w:rFonts w:hint="eastAsia" w:eastAsia="仿宋_GB2312" w:cs="仿宋_GB2312"/>
          <w:color w:val="000000"/>
          <w:sz w:val="32"/>
          <w:szCs w:val="32"/>
          <w:lang w:val="en-US" w:eastAsia="zh-CN"/>
        </w:rPr>
        <w:t>；</w:t>
      </w:r>
      <w:r>
        <w:rPr>
          <w:rFonts w:hint="eastAsia" w:eastAsia="仿宋_GB2312" w:cs="仿宋_GB2312"/>
          <w:sz w:val="32"/>
          <w:szCs w:val="32"/>
          <w:lang w:val="en-US" w:eastAsia="zh-CN"/>
        </w:rPr>
        <w:t>物料输送工序</w:t>
      </w:r>
      <w:r>
        <w:rPr>
          <w:rFonts w:hint="eastAsia" w:ascii="Times New Roman" w:hAnsi="Times New Roman" w:eastAsia="仿宋_GB2312" w:cs="仿宋_GB2312"/>
          <w:color w:val="000000"/>
          <w:sz w:val="32"/>
          <w:szCs w:val="32"/>
          <w:lang w:val="en-US" w:eastAsia="zh-CN"/>
        </w:rPr>
        <w:t>须</w:t>
      </w:r>
      <w:r>
        <w:rPr>
          <w:rFonts w:hint="eastAsia" w:eastAsia="仿宋_GB2312" w:cs="仿宋_GB2312"/>
          <w:sz w:val="32"/>
          <w:szCs w:val="32"/>
          <w:lang w:val="en-US" w:eastAsia="zh-CN"/>
        </w:rPr>
        <w:t>采取封闭式输送、在皮带传输上方加盖防尘罩等控制</w:t>
      </w:r>
      <w:r>
        <w:rPr>
          <w:rFonts w:hint="eastAsia" w:ascii="Times New Roman" w:hAnsi="Times New Roman" w:eastAsia="仿宋_GB2312" w:cs="仿宋_GB2312"/>
          <w:sz w:val="32"/>
          <w:szCs w:val="32"/>
          <w:lang w:val="en-US" w:eastAsia="zh-CN"/>
        </w:rPr>
        <w:t>措施</w:t>
      </w:r>
      <w:r>
        <w:rPr>
          <w:rFonts w:hint="eastAsia" w:eastAsia="仿宋_GB2312" w:cs="仿宋_GB2312"/>
          <w:sz w:val="32"/>
          <w:szCs w:val="32"/>
          <w:lang w:val="en-US" w:eastAsia="zh-CN"/>
        </w:rPr>
        <w:t>；须</w:t>
      </w:r>
      <w:r>
        <w:rPr>
          <w:rFonts w:hint="eastAsia" w:ascii="Times New Roman" w:hAnsi="Times New Roman" w:eastAsia="仿宋_GB2312" w:cs="仿宋_GB2312"/>
          <w:sz w:val="32"/>
          <w:szCs w:val="32"/>
          <w:lang w:val="en-US" w:eastAsia="zh-CN"/>
        </w:rPr>
        <w:t>确保</w:t>
      </w:r>
      <w:r>
        <w:rPr>
          <w:rFonts w:hint="eastAsia" w:eastAsia="仿宋_GB2312" w:cs="仿宋_GB2312"/>
          <w:sz w:val="32"/>
          <w:szCs w:val="32"/>
          <w:lang w:val="en-US" w:eastAsia="zh-CN"/>
        </w:rPr>
        <w:t>厂界</w:t>
      </w:r>
      <w:r>
        <w:rPr>
          <w:rFonts w:hint="eastAsia" w:ascii="Times New Roman" w:hAnsi="Times New Roman" w:eastAsia="仿宋_GB2312" w:cs="仿宋_GB2312"/>
          <w:sz w:val="32"/>
          <w:szCs w:val="32"/>
          <w:lang w:val="en-US" w:eastAsia="zh-CN"/>
        </w:rPr>
        <w:t>无组织排放的</w:t>
      </w:r>
      <w:r>
        <w:rPr>
          <w:rFonts w:hint="eastAsia" w:eastAsia="仿宋_GB2312" w:cs="仿宋_GB2312"/>
          <w:sz w:val="32"/>
          <w:szCs w:val="32"/>
          <w:lang w:val="en-US" w:eastAsia="zh-CN"/>
        </w:rPr>
        <w:t>颗粒物排放浓度达到GB 16297-1996《大气污染物综合排放标准》</w:t>
      </w:r>
      <w:r>
        <w:rPr>
          <w:rFonts w:hint="eastAsia" w:eastAsia="仿宋_GB2312" w:cs="仿宋_GB2312"/>
          <w:color w:val="000000"/>
          <w:sz w:val="32"/>
          <w:szCs w:val="32"/>
        </w:rPr>
        <w:t>表2新污染源大气污染物排放限值</w:t>
      </w:r>
      <w:r>
        <w:rPr>
          <w:rFonts w:hint="eastAsia" w:eastAsia="仿宋_GB2312" w:cs="仿宋_GB2312"/>
          <w:color w:val="000000"/>
          <w:sz w:val="32"/>
          <w:szCs w:val="32"/>
          <w:lang w:eastAsia="zh-CN"/>
        </w:rPr>
        <w:t>中无</w:t>
      </w:r>
      <w:r>
        <w:rPr>
          <w:rFonts w:hint="eastAsia" w:eastAsia="仿宋_GB2312" w:cs="仿宋_GB2312"/>
          <w:color w:val="000000"/>
          <w:sz w:val="32"/>
          <w:szCs w:val="32"/>
          <w:lang w:val="en-US" w:eastAsia="zh-CN"/>
        </w:rPr>
        <w:t>组织</w:t>
      </w:r>
      <w:r>
        <w:rPr>
          <w:rFonts w:hint="eastAsia" w:eastAsia="仿宋_GB2312" w:cs="仿宋_GB2312"/>
          <w:color w:val="000000"/>
          <w:sz w:val="32"/>
          <w:szCs w:val="32"/>
        </w:rPr>
        <w:t>排放</w:t>
      </w:r>
      <w:r>
        <w:rPr>
          <w:rFonts w:hint="eastAsia" w:eastAsia="仿宋_GB2312" w:cs="仿宋_GB2312"/>
          <w:color w:val="000000"/>
          <w:sz w:val="32"/>
          <w:szCs w:val="32"/>
          <w:lang w:val="en-US" w:eastAsia="zh-CN"/>
        </w:rPr>
        <w:t>监控浓度限值</w:t>
      </w:r>
      <w:r>
        <w:rPr>
          <w:rFonts w:hint="eastAsia" w:eastAsia="仿宋_GB2312" w:cs="仿宋_GB2312"/>
          <w:color w:val="000000"/>
          <w:sz w:val="32"/>
          <w:szCs w:val="32"/>
        </w:rPr>
        <w:t>标准要求</w:t>
      </w:r>
      <w:r>
        <w:rPr>
          <w:rFonts w:hint="eastAsia" w:eastAsia="仿宋_GB2312" w:cs="仿宋_GB2312"/>
          <w:color w:val="000000"/>
          <w:sz w:val="32"/>
          <w:szCs w:val="32"/>
          <w:lang w:eastAsia="zh-CN"/>
        </w:rPr>
        <w:t>。</w:t>
      </w:r>
    </w:p>
    <w:p w14:paraId="7BAA8419">
      <w:pPr>
        <w:pStyle w:val="55"/>
        <w:keepNext w:val="0"/>
        <w:keepLines w:val="0"/>
        <w:pageBreakBefore w:val="0"/>
        <w:widowControl w:val="0"/>
        <w:numPr>
          <w:ilvl w:val="2"/>
          <w:numId w:val="1"/>
        </w:numPr>
        <w:kinsoku/>
        <w:wordWrap/>
        <w:overflowPunct/>
        <w:topLinePunct w:val="0"/>
        <w:autoSpaceDE/>
        <w:autoSpaceDN/>
        <w:bidi w:val="0"/>
        <w:adjustRightInd/>
        <w:snapToGrid/>
        <w:spacing w:line="500" w:lineRule="exact"/>
        <w:ind w:left="0" w:firstLine="640" w:firstLineChars="200"/>
        <w:textAlignment w:val="auto"/>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lang w:val="en-US" w:eastAsia="zh-CN"/>
        </w:rPr>
        <w:t>项目食堂须采用清洁能源作为燃料，产生的油烟废气经油烟净化器处理后</w:t>
      </w:r>
      <w:r>
        <w:rPr>
          <w:rFonts w:hint="eastAsia" w:eastAsia="仿宋_GB2312" w:cs="仿宋_GB2312"/>
          <w:color w:val="000000"/>
          <w:sz w:val="32"/>
          <w:szCs w:val="32"/>
          <w:lang w:val="en-US" w:eastAsia="zh-CN"/>
        </w:rPr>
        <w:t>通过烟囱</w:t>
      </w:r>
      <w:r>
        <w:rPr>
          <w:rFonts w:hint="eastAsia" w:ascii="Times New Roman" w:hAnsi="Times New Roman" w:eastAsia="仿宋_GB2312" w:cs="仿宋_GB2312"/>
          <w:color w:val="000000"/>
          <w:sz w:val="32"/>
          <w:szCs w:val="32"/>
          <w:lang w:val="en-US" w:eastAsia="zh-CN"/>
        </w:rPr>
        <w:t>排放，须确保净化设施最低去除效率</w:t>
      </w:r>
      <w:r>
        <w:rPr>
          <w:rFonts w:hint="eastAsia" w:eastAsia="仿宋_GB2312" w:cs="仿宋_GB2312"/>
          <w:color w:val="000000"/>
          <w:sz w:val="32"/>
          <w:szCs w:val="32"/>
          <w:lang w:val="en-US" w:eastAsia="zh-CN"/>
        </w:rPr>
        <w:t>和</w:t>
      </w:r>
      <w:r>
        <w:rPr>
          <w:rFonts w:hint="eastAsia" w:ascii="Times New Roman" w:hAnsi="Times New Roman" w:eastAsia="仿宋_GB2312" w:cs="仿宋_GB2312"/>
          <w:color w:val="000000"/>
          <w:sz w:val="32"/>
          <w:szCs w:val="32"/>
          <w:lang w:val="en-US" w:eastAsia="zh-CN"/>
        </w:rPr>
        <w:t>外排的油烟排放浓度符合GB</w:t>
      </w:r>
      <w:r>
        <w:rPr>
          <w:rFonts w:hint="eastAsia"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lang w:val="en-US" w:eastAsia="zh-CN"/>
        </w:rPr>
        <w:t>18483-2001《饮食业油烟排放标准（试行）》。</w:t>
      </w:r>
      <w:bookmarkStart w:id="0" w:name="_GoBack"/>
      <w:bookmarkEnd w:id="0"/>
    </w:p>
    <w:p w14:paraId="14DA378E">
      <w:pPr>
        <w:pStyle w:val="55"/>
        <w:keepNext w:val="0"/>
        <w:keepLines w:val="0"/>
        <w:pageBreakBefore w:val="0"/>
        <w:widowControl w:val="0"/>
        <w:numPr>
          <w:ilvl w:val="2"/>
          <w:numId w:val="1"/>
        </w:numPr>
        <w:kinsoku/>
        <w:wordWrap/>
        <w:overflowPunct/>
        <w:topLinePunct w:val="0"/>
        <w:autoSpaceDE/>
        <w:autoSpaceDN/>
        <w:bidi w:val="0"/>
        <w:adjustRightInd/>
        <w:snapToGrid/>
        <w:spacing w:line="500" w:lineRule="exact"/>
        <w:ind w:left="0" w:firstLine="640" w:firstLineChars="200"/>
        <w:textAlignment w:val="auto"/>
        <w:rPr>
          <w:rFonts w:hint="eastAsia" w:eastAsia="仿宋_GB2312" w:cs="仿宋_GB2312"/>
          <w:color w:val="000000" w:themeColor="text1"/>
          <w:sz w:val="32"/>
          <w:szCs w:val="32"/>
          <w:lang w:val="en-US" w:eastAsia="zh-CN"/>
          <w14:textFill>
            <w14:solidFill>
              <w14:schemeClr w14:val="tx1"/>
            </w14:solidFill>
          </w14:textFill>
        </w:rPr>
      </w:pPr>
      <w:r>
        <w:rPr>
          <w:rFonts w:hint="eastAsia" w:eastAsia="仿宋_GB2312" w:cs="仿宋_GB2312"/>
          <w:color w:val="000000"/>
          <w:sz w:val="32"/>
          <w:szCs w:val="32"/>
        </w:rPr>
        <w:t>项目</w:t>
      </w:r>
      <w:r>
        <w:rPr>
          <w:rFonts w:hint="eastAsia" w:eastAsia="仿宋_GB2312" w:cs="仿宋_GB2312"/>
          <w:color w:val="000000"/>
          <w:sz w:val="32"/>
          <w:szCs w:val="32"/>
          <w:lang w:val="en-US" w:eastAsia="zh-CN"/>
        </w:rPr>
        <w:t>不产生</w:t>
      </w:r>
      <w:r>
        <w:rPr>
          <w:rFonts w:hint="eastAsia" w:eastAsia="仿宋_GB2312" w:cs="仿宋_GB2312"/>
          <w:color w:val="000000"/>
          <w:sz w:val="32"/>
          <w:szCs w:val="32"/>
        </w:rPr>
        <w:t>生产废水</w:t>
      </w:r>
      <w:r>
        <w:rPr>
          <w:rFonts w:hint="eastAsia" w:eastAsia="仿宋_GB2312" w:cs="仿宋_GB2312"/>
          <w:color w:val="000000"/>
          <w:sz w:val="32"/>
          <w:szCs w:val="32"/>
          <w:lang w:eastAsia="zh-CN"/>
        </w:rPr>
        <w:t>，</w:t>
      </w:r>
      <w:r>
        <w:rPr>
          <w:rFonts w:hint="eastAsia" w:eastAsia="仿宋_GB2312" w:cs="仿宋_GB2312"/>
          <w:color w:val="000000"/>
          <w:sz w:val="32"/>
          <w:szCs w:val="32"/>
          <w:lang w:val="en-US" w:eastAsia="zh-CN"/>
        </w:rPr>
        <w:t>生活污水</w:t>
      </w:r>
      <w:r>
        <w:rPr>
          <w:rFonts w:hint="eastAsia" w:eastAsia="仿宋_GB2312" w:cs="仿宋_GB2312"/>
          <w:color w:val="000000" w:themeColor="text1"/>
          <w:sz w:val="32"/>
          <w:szCs w:val="32"/>
          <w:lang w:val="en-US" w:eastAsia="zh-CN"/>
          <w14:textFill>
            <w14:solidFill>
              <w14:schemeClr w14:val="tx1"/>
            </w14:solidFill>
          </w14:textFill>
        </w:rPr>
        <w:t>经化粪池处理达到GB 8978-1996《污水综合排放标准》三级标准后用作周边植被施肥。</w:t>
      </w:r>
    </w:p>
    <w:p w14:paraId="137FF4E7">
      <w:pPr>
        <w:pStyle w:val="55"/>
        <w:keepNext w:val="0"/>
        <w:keepLines w:val="0"/>
        <w:pageBreakBefore w:val="0"/>
        <w:widowControl w:val="0"/>
        <w:numPr>
          <w:ilvl w:val="2"/>
          <w:numId w:val="1"/>
        </w:numPr>
        <w:kinsoku/>
        <w:wordWrap/>
        <w:overflowPunct/>
        <w:topLinePunct w:val="0"/>
        <w:autoSpaceDE/>
        <w:autoSpaceDN/>
        <w:bidi w:val="0"/>
        <w:adjustRightInd/>
        <w:snapToGrid/>
        <w:spacing w:line="500" w:lineRule="exact"/>
        <w:ind w:left="0" w:firstLine="640" w:firstLineChars="200"/>
        <w:textAlignment w:val="auto"/>
        <w:rPr>
          <w:rFonts w:hint="eastAsia" w:eastAsia="仿宋_GB2312" w:cs="仿宋_GB2312"/>
          <w:color w:val="000000" w:themeColor="text1"/>
          <w:sz w:val="32"/>
          <w:szCs w:val="32"/>
          <w:lang w:val="en-US" w:eastAsia="zh-CN"/>
          <w14:textFill>
            <w14:solidFill>
              <w14:schemeClr w14:val="tx1"/>
            </w14:solidFill>
          </w14:textFill>
        </w:rPr>
      </w:pPr>
      <w:r>
        <w:rPr>
          <w:rFonts w:hint="eastAsia" w:eastAsia="仿宋_GB2312" w:cs="仿宋_GB2312"/>
          <w:color w:val="000000" w:themeColor="text1"/>
          <w:sz w:val="32"/>
          <w:szCs w:val="32"/>
          <w:lang w:val="en-US" w:eastAsia="zh-CN"/>
          <w14:textFill>
            <w14:solidFill>
              <w14:schemeClr w14:val="tx1"/>
            </w14:solidFill>
          </w14:textFill>
        </w:rPr>
        <w:t>优化总平面布置，选择低噪先进的设备。对噪声源较大的粉碎机、破碎机、摇摆筛、颗粒成型机、中央除尘系统、风机等高噪声设备采取消声、减振措施后，确保厂界噪声达到GB 12348-2008《工业企业厂界环境噪声排放标准》2类标准要求。</w:t>
      </w:r>
    </w:p>
    <w:p w14:paraId="238C71B3">
      <w:pPr>
        <w:pStyle w:val="55"/>
        <w:keepNext w:val="0"/>
        <w:keepLines w:val="0"/>
        <w:pageBreakBefore w:val="0"/>
        <w:widowControl w:val="0"/>
        <w:numPr>
          <w:ilvl w:val="2"/>
          <w:numId w:val="1"/>
        </w:numPr>
        <w:kinsoku/>
        <w:wordWrap/>
        <w:overflowPunct/>
        <w:topLinePunct w:val="0"/>
        <w:autoSpaceDE/>
        <w:autoSpaceDN/>
        <w:bidi w:val="0"/>
        <w:adjustRightInd/>
        <w:snapToGrid/>
        <w:spacing w:line="500" w:lineRule="exact"/>
        <w:ind w:left="0" w:firstLine="640" w:firstLineChars="200"/>
        <w:textAlignment w:val="auto"/>
        <w:rPr>
          <w:rFonts w:hint="eastAsia" w:eastAsia="仿宋_GB2312" w:cs="仿宋_GB2312"/>
          <w:color w:val="000000"/>
          <w:sz w:val="32"/>
          <w:szCs w:val="32"/>
          <w:lang w:val="en-US" w:eastAsia="zh-CN"/>
        </w:rPr>
      </w:pPr>
      <w:r>
        <w:rPr>
          <w:rFonts w:hint="eastAsia" w:eastAsia="仿宋_GB2312" w:cs="仿宋_GB2312"/>
          <w:color w:val="000000" w:themeColor="text1"/>
          <w:sz w:val="32"/>
          <w:szCs w:val="32"/>
          <w:lang w:val="en-US" w:eastAsia="zh-CN"/>
          <w14:textFill>
            <w14:solidFill>
              <w14:schemeClr w14:val="tx1"/>
            </w14:solidFill>
          </w14:textFill>
        </w:rPr>
        <w:t>做好一般固体废物的综合利用和妥善处置工作。</w:t>
      </w:r>
      <w:r>
        <w:rPr>
          <w:rFonts w:hint="eastAsia" w:eastAsia="仿宋_GB2312" w:cs="仿宋_GB2312"/>
          <w:color w:val="000000"/>
          <w:kern w:val="2"/>
          <w:sz w:val="32"/>
          <w:szCs w:val="32"/>
          <w:lang w:val="en-US" w:eastAsia="zh-CN" w:bidi="ar-SA"/>
        </w:rPr>
        <w:t>项目须做好不合格成型材料、布袋除尘器收集尘、堆场沉降粉尘、输送收集粉尘、集气罩未收集的沉降粉尘</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、原料卸料沉降粉尘的回用和管理，禁止丢弃、倾倒等非法处置。须按GB 18599-2020</w:t>
      </w:r>
      <w:r>
        <w:rPr>
          <w:rFonts w:hint="eastAsia" w:eastAsia="仿宋_GB2312" w:cs="仿宋_GB2312"/>
          <w:color w:val="000000" w:themeColor="text1"/>
          <w:sz w:val="32"/>
          <w:szCs w:val="32"/>
          <w:lang w:val="en-US" w:eastAsia="zh-CN"/>
          <w14:textFill>
            <w14:solidFill>
              <w14:schemeClr w14:val="tx1"/>
            </w14:solidFill>
          </w14:textFill>
        </w:rPr>
        <w:t>《一般工业固体废物贮存和填埋污染控制标准》要求，建设规范的一般固体废物贮存设施；</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生活垃圾集中收集后由环卫部门</w:t>
      </w:r>
      <w:r>
        <w:rPr>
          <w:rFonts w:hint="eastAsia" w:eastAsia="仿宋_GB2312" w:cs="仿宋_GB2312"/>
          <w:color w:val="000000" w:themeColor="text1"/>
          <w:sz w:val="32"/>
          <w:szCs w:val="32"/>
          <w:lang w:val="en-US" w:eastAsia="zh-CN"/>
          <w14:textFill>
            <w14:solidFill>
              <w14:schemeClr w14:val="tx1"/>
            </w14:solidFill>
          </w14:textFill>
        </w:rPr>
        <w:t>定期清运处置</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w:t>
      </w:r>
    </w:p>
    <w:p w14:paraId="1A9CD805">
      <w:pPr>
        <w:pStyle w:val="55"/>
        <w:keepNext w:val="0"/>
        <w:keepLines w:val="0"/>
        <w:pageBreakBefore w:val="0"/>
        <w:widowControl w:val="0"/>
        <w:numPr>
          <w:ilvl w:val="2"/>
          <w:numId w:val="1"/>
        </w:numPr>
        <w:kinsoku/>
        <w:wordWrap/>
        <w:overflowPunct/>
        <w:topLinePunct w:val="0"/>
        <w:autoSpaceDE/>
        <w:autoSpaceDN/>
        <w:bidi w:val="0"/>
        <w:adjustRightInd/>
        <w:snapToGrid/>
        <w:spacing w:line="500" w:lineRule="exact"/>
        <w:ind w:left="0" w:firstLine="640" w:firstLineChars="200"/>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加强环境管理，落实环境保护规章制度。须确保环保措施的正常运转以及各项污染物稳定达标排放，按照排污许可及《报告表》的相关管理要求定期进行监测。</w:t>
      </w:r>
    </w:p>
    <w:p w14:paraId="0793EFC8">
      <w:pPr>
        <w:pStyle w:val="55"/>
        <w:keepNext w:val="0"/>
        <w:keepLines w:val="0"/>
        <w:pageBreakBefore w:val="0"/>
        <w:widowControl w:val="0"/>
        <w:numPr>
          <w:ilvl w:val="2"/>
          <w:numId w:val="1"/>
        </w:numPr>
        <w:kinsoku/>
        <w:wordWrap/>
        <w:overflowPunct/>
        <w:topLinePunct w:val="0"/>
        <w:autoSpaceDE/>
        <w:autoSpaceDN/>
        <w:bidi w:val="0"/>
        <w:adjustRightInd/>
        <w:snapToGrid/>
        <w:spacing w:line="500" w:lineRule="exact"/>
        <w:ind w:left="0" w:firstLine="640" w:firstLineChars="200"/>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按照《关于印发&lt;企业事业单位突发环境事件应急预案备案管理办法&gt;（试行）》（环发〔2015〕4号）等相关要求，开展企业突发环境事件风险评估，确定风险等级，制订突发环境事件应急预案并报当地生态主管部门备案，定期组织应急演练；按照《突发环境事件应急管理办法（试行）》（环境保护部令第34号）、《企业突发环境事件隐患排查和治理工作指南（试行）》（环境保护部公告2016年第74号）相关要求，制定环境安全隐患排查治理制度，建立隐患排查治理档案，落实相关环境风险防控措施。</w:t>
      </w:r>
    </w:p>
    <w:p w14:paraId="3074E035">
      <w:pPr>
        <w:pStyle w:val="5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三、该项目建设必须严格执行环境保护设施与主体工程同时设计、同时施工、同时投产使用的环境保护“三同时”制度，并依法申请排污许可证。在落实本批复和《报告表》提出的各项环境保护措施和要求后，建设单位可自行决定投入调试的具体时间并以书面形式向当地生态环境主管部门备案。调试生产前，建设单位应按国家和自治区有关规定进行申报排污许可证。工程建成后，须按《建设项目竣工环境保护验收暂行办法》（国环规环评〔2017〕4号）要求实施竣工环境保护验收。未落实本批复和《报告表》提出的各项环境保护措施、未取得排污许可证擅自投入调试生产、未经竣工环境验收擅自投入生产的、未向社会公开有关信息的，应承担相应的法律责任。</w:t>
      </w:r>
    </w:p>
    <w:p w14:paraId="50A4CFBD">
      <w:pPr>
        <w:pStyle w:val="5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eastAsia="仿宋_GB2312" w:cs="仿宋_GB2312"/>
          <w:color w:val="000000"/>
          <w:sz w:val="32"/>
          <w:szCs w:val="32"/>
        </w:rPr>
      </w:pPr>
      <w:r>
        <w:rPr>
          <w:rFonts w:hint="eastAsia" w:eastAsia="仿宋_GB2312" w:cs="仿宋_GB2312"/>
          <w:color w:val="000000"/>
          <w:sz w:val="32"/>
          <w:szCs w:val="32"/>
          <w:lang w:val="en-US" w:eastAsia="zh-CN"/>
        </w:rPr>
        <w:t>四、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p>
    <w:p w14:paraId="412AA8B8">
      <w:pPr>
        <w:pStyle w:val="55"/>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eastAsia="仿宋_GB2312" w:cs="仿宋_GB2312"/>
          <w:color w:val="000000"/>
          <w:sz w:val="32"/>
          <w:szCs w:val="32"/>
        </w:rPr>
      </w:pPr>
      <w:r>
        <w:rPr>
          <w:rFonts w:hint="eastAsia" w:eastAsia="仿宋_GB2312" w:cs="仿宋_GB2312"/>
          <w:color w:val="000000"/>
          <w:sz w:val="32"/>
          <w:szCs w:val="32"/>
          <w:lang w:val="en-US" w:eastAsia="zh-CN"/>
        </w:rPr>
        <w:t>五、建设单位自收到本批复之日起5个工作日内，将批复文件及批准后的《报告表》（报批稿）送达柳州市柳城生态环境局，并按规定接受辖区生态环境部门的监管检查。</w:t>
      </w:r>
    </w:p>
    <w:p w14:paraId="7C988932">
      <w:pPr>
        <w:pStyle w:val="38"/>
        <w:keepNext w:val="0"/>
        <w:keepLines w:val="0"/>
        <w:pageBreakBefore w:val="0"/>
        <w:widowControl w:val="0"/>
        <w:kinsoku/>
        <w:wordWrap/>
        <w:overflowPunct/>
        <w:topLinePunct w:val="0"/>
        <w:autoSpaceDE/>
        <w:autoSpaceDN/>
        <w:bidi w:val="0"/>
        <w:adjustRightInd/>
        <w:snapToGrid/>
        <w:spacing w:beforeLines="0" w:line="520" w:lineRule="exact"/>
        <w:ind w:right="0" w:rightChars="0" w:firstLine="640" w:firstLineChars="200"/>
        <w:jc w:val="both"/>
        <w:textAlignment w:val="auto"/>
        <w:rPr>
          <w:rFonts w:hint="eastAsia" w:ascii="Times New Roman" w:hAnsi="Times New Roman" w:eastAsia="仿宋_GB2312" w:cs="仿宋_GB2312"/>
          <w:color w:val="000000"/>
        </w:rPr>
      </w:pPr>
      <w:r>
        <w:rPr>
          <w:rFonts w:hint="eastAsia" w:ascii="Times New Roman" w:hAnsi="Times New Roman" w:eastAsia="仿宋_GB2312" w:cs="仿宋_GB2312"/>
          <w:color w:val="000000"/>
        </w:rPr>
        <w:t xml:space="preserve">   </w:t>
      </w:r>
    </w:p>
    <w:p w14:paraId="6981FCA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eastAsia" w:eastAsia="仿宋_GB2312" w:cs="仿宋_GB2312"/>
          <w:color w:val="000000" w:themeColor="text1"/>
          <w:sz w:val="32"/>
          <w:szCs w:val="32"/>
          <w14:textFill>
            <w14:solidFill>
              <w14:schemeClr w14:val="tx1"/>
            </w14:solidFill>
          </w14:textFill>
        </w:rPr>
      </w:pPr>
    </w:p>
    <w:p w14:paraId="3F17D88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eastAsia" w:ascii="Times New Roman" w:hAnsi="Times New Roman" w:eastAsia="仿宋_GB2312" w:cs="仿宋_GB2312"/>
          <w:color w:val="000000" w:themeColor="text1"/>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2025年</w:t>
      </w:r>
      <w:r>
        <w:rPr>
          <w:rFonts w:hint="eastAsia" w:eastAsia="仿宋_GB2312" w:cs="仿宋_GB2312"/>
          <w:color w:val="000000" w:themeColor="text1"/>
          <w:sz w:val="32"/>
          <w:szCs w:val="32"/>
          <w:lang w:val="en-US" w:eastAsia="zh-CN"/>
          <w14:textFill>
            <w14:solidFill>
              <w14:schemeClr w14:val="tx1"/>
            </w14:solidFill>
          </w14:textFill>
        </w:rPr>
        <w:t>10</w:t>
      </w:r>
      <w:r>
        <w:rPr>
          <w:rFonts w:hint="eastAsia" w:eastAsia="仿宋_GB2312" w:cs="仿宋_GB2312"/>
          <w:color w:val="000000" w:themeColor="text1"/>
          <w:sz w:val="32"/>
          <w:szCs w:val="32"/>
          <w14:textFill>
            <w14:solidFill>
              <w14:schemeClr w14:val="tx1"/>
            </w14:solidFill>
          </w14:textFill>
        </w:rPr>
        <w:t>月</w:t>
      </w:r>
      <w:r>
        <w:rPr>
          <w:rFonts w:hint="eastAsia" w:eastAsia="仿宋_GB2312" w:cs="仿宋_GB2312"/>
          <w:color w:val="000000" w:themeColor="text1"/>
          <w:sz w:val="32"/>
          <w:szCs w:val="32"/>
          <w:lang w:val="en-US" w:eastAsia="zh-CN"/>
          <w14:textFill>
            <w14:solidFill>
              <w14:schemeClr w14:val="tx1"/>
            </w14:solidFill>
          </w14:textFill>
        </w:rPr>
        <w:t>20</w:t>
      </w:r>
      <w:r>
        <w:rPr>
          <w:rFonts w:hint="eastAsia" w:eastAsia="仿宋_GB2312" w:cs="仿宋_GB2312"/>
          <w:color w:val="000000" w:themeColor="text1"/>
          <w:sz w:val="32"/>
          <w:szCs w:val="32"/>
          <w14:textFill>
            <w14:solidFill>
              <w14:schemeClr w14:val="tx1"/>
            </w14:solidFill>
          </w14:textFill>
        </w:rPr>
        <w:t>日</w:t>
      </w:r>
    </w:p>
    <w:p w14:paraId="1F510DDB">
      <w:pPr>
        <w:pStyle w:val="38"/>
        <w:keepNext w:val="0"/>
        <w:keepLines w:val="0"/>
        <w:pageBreakBefore w:val="0"/>
        <w:widowControl w:val="0"/>
        <w:kinsoku/>
        <w:wordWrap/>
        <w:overflowPunct/>
        <w:topLinePunct w:val="0"/>
        <w:autoSpaceDE/>
        <w:autoSpaceDN/>
        <w:bidi w:val="0"/>
        <w:adjustRightInd/>
        <w:snapToGrid/>
        <w:spacing w:beforeLines="0" w:line="520" w:lineRule="exact"/>
        <w:ind w:right="0" w:rightChars="0" w:firstLine="640" w:firstLineChars="200"/>
        <w:jc w:val="both"/>
        <w:textAlignment w:val="auto"/>
        <w:rPr>
          <w:rFonts w:hint="eastAsia" w:ascii="Times New Roman" w:hAnsi="Times New Roman" w:eastAsia="仿宋_GB2312" w:cs="仿宋_GB2312"/>
          <w:color w:val="000000" w:themeColor="text1"/>
          <w14:textFill>
            <w14:solidFill>
              <w14:schemeClr w14:val="tx1"/>
            </w14:solidFill>
          </w14:textFill>
        </w:rPr>
      </w:pPr>
      <w:r>
        <w:rPr>
          <w:rFonts w:hint="eastAsia" w:ascii="Times New Roman" w:hAnsi="Times New Roman" w:eastAsia="仿宋_GB2312" w:cs="仿宋_GB2312"/>
          <w:color w:val="000000" w:themeColor="text1"/>
          <w14:textFill>
            <w14:solidFill>
              <w14:schemeClr w14:val="tx1"/>
            </w14:solidFill>
          </w14:textFill>
        </w:rPr>
        <w:t>（此件公开发布）</w:t>
      </w:r>
    </w:p>
    <w:p w14:paraId="5D78DF57">
      <w:pPr>
        <w:pStyle w:val="38"/>
        <w:keepNext w:val="0"/>
        <w:keepLines w:val="0"/>
        <w:pageBreakBefore w:val="0"/>
        <w:widowControl w:val="0"/>
        <w:kinsoku/>
        <w:wordWrap/>
        <w:overflowPunct/>
        <w:topLinePunct w:val="0"/>
        <w:autoSpaceDE/>
        <w:autoSpaceDN/>
        <w:bidi w:val="0"/>
        <w:adjustRightInd/>
        <w:snapToGrid/>
        <w:spacing w:beforeLines="0" w:line="520" w:lineRule="exact"/>
        <w:ind w:right="0" w:rightChars="0" w:firstLine="640" w:firstLineChars="20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66D4CA79">
      <w:pPr>
        <w:spacing w:line="480" w:lineRule="exact"/>
        <w:jc w:val="distribute"/>
        <w:rPr>
          <w:rFonts w:hint="default" w:eastAsia="仿宋_GB2312" w:cs="仿宋_GB2312"/>
          <w:bCs/>
          <w:color w:val="000000" w:themeColor="text1"/>
          <w:sz w:val="28"/>
          <w:szCs w:val="28"/>
          <w:u w:val="single"/>
          <w:lang w:val="en-US"/>
          <w14:textFill>
            <w14:solidFill>
              <w14:schemeClr w14:val="tx1"/>
            </w14:solidFill>
          </w14:textFill>
        </w:rPr>
      </w:pPr>
      <w:r>
        <w:rPr>
          <w:rFonts w:hint="eastAsia" w:eastAsia="仿宋_GB2312" w:cs="仿宋_GB2312"/>
          <w:bCs/>
          <w:color w:val="000000" w:themeColor="text1"/>
          <w:sz w:val="28"/>
          <w:szCs w:val="28"/>
          <w:u w:val="single"/>
          <w14:textFill>
            <w14:solidFill>
              <w14:schemeClr w14:val="tx1"/>
            </w14:solidFill>
          </w14:textFill>
        </w:rPr>
        <w:t>投资项目在线审批监管平台项目代码：</w:t>
      </w:r>
      <w:r>
        <w:rPr>
          <w:rFonts w:hint="eastAsia" w:eastAsia="仿宋_GB2312" w:cs="仿宋_GB2312"/>
          <w:bCs/>
          <w:color w:val="000000" w:themeColor="text1"/>
          <w:sz w:val="28"/>
          <w:szCs w:val="28"/>
          <w:u w:val="single"/>
          <w:lang w:val="en-US" w:eastAsia="zh-CN"/>
          <w14:textFill>
            <w14:solidFill>
              <w14:schemeClr w14:val="tx1"/>
            </w14:solidFill>
          </w14:textFill>
        </w:rPr>
        <w:t xml:space="preserve">2507-450222-04-01-611013 </w:t>
      </w:r>
    </w:p>
    <w:p w14:paraId="5D6519BF">
      <w:pPr>
        <w:spacing w:line="480" w:lineRule="exact"/>
        <w:rPr>
          <w:rFonts w:eastAsia="仿宋_GB2312" w:cs="仿宋_GB2312"/>
          <w:color w:val="000000" w:themeColor="text1"/>
          <w:sz w:val="30"/>
          <w:u w:val="single"/>
          <w14:textFill>
            <w14:solidFill>
              <w14:schemeClr w14:val="tx1"/>
            </w14:solidFill>
          </w14:textFill>
        </w:rPr>
      </w:pPr>
      <w:r>
        <w:rPr>
          <w:rFonts w:hint="eastAsia" w:eastAsia="仿宋_GB2312" w:cs="仿宋_GB2312"/>
          <w:color w:val="000000" w:themeColor="text1"/>
          <w:sz w:val="32"/>
          <w:szCs w:val="32"/>
          <w:u w:val="single"/>
          <w14:textFill>
            <w14:solidFill>
              <w14:schemeClr w14:val="tx1"/>
            </w14:solidFill>
          </w14:textFill>
        </w:rPr>
        <w:t xml:space="preserve">抄送:柳州市柳城生态环境局                               </w:t>
      </w:r>
    </w:p>
    <w:p w14:paraId="421E8451">
      <w:pPr>
        <w:pStyle w:val="37"/>
        <w:ind w:firstLine="0" w:firstLineChars="0"/>
        <w:rPr>
          <w:rFonts w:ascii="仿宋_GB2312" w:hAnsi="仿宋_GB2312" w:eastAsia="仿宋_GB2312" w:cs="仿宋_GB2312"/>
          <w:color w:val="000000"/>
          <w:u w:val="single"/>
        </w:rPr>
      </w:pPr>
      <w:r>
        <w:rPr>
          <w:rFonts w:hint="eastAsia" w:eastAsia="仿宋_GB2312" w:cs="仿宋_GB2312"/>
          <w:color w:val="000000" w:themeColor="text1"/>
          <w:u w:val="single"/>
          <w14:textFill>
            <w14:solidFill>
              <w14:schemeClr w14:val="tx1"/>
            </w14:solidFill>
          </w14:textFill>
        </w:rPr>
        <w:t xml:space="preserve">柳城县行政审批局               </w:t>
      </w:r>
      <w:r>
        <w:rPr>
          <w:rFonts w:hint="eastAsia" w:eastAsia="仿宋_GB2312" w:cs="仿宋_GB2312"/>
          <w:color w:val="000000" w:themeColor="text1"/>
          <w:u w:val="single"/>
          <w:lang w:val="en-US" w:eastAsia="zh-CN"/>
          <w14:textFill>
            <w14:solidFill>
              <w14:schemeClr w14:val="tx1"/>
            </w14:solidFill>
          </w14:textFill>
        </w:rPr>
        <w:t xml:space="preserve"> </w:t>
      </w:r>
      <w:r>
        <w:rPr>
          <w:rFonts w:hint="eastAsia" w:eastAsia="仿宋_GB2312" w:cs="仿宋_GB2312"/>
          <w:color w:val="000000" w:themeColor="text1"/>
          <w:u w:val="single"/>
          <w14:textFill>
            <w14:solidFill>
              <w14:schemeClr w14:val="tx1"/>
            </w14:solidFill>
          </w14:textFill>
        </w:rPr>
        <w:t xml:space="preserve"> </w:t>
      </w:r>
      <w:r>
        <w:rPr>
          <w:rFonts w:hint="eastAsia" w:eastAsia="仿宋_GB2312" w:cs="仿宋_GB2312"/>
          <w:color w:val="000000" w:themeColor="text1"/>
          <w:u w:val="single"/>
          <w:lang w:val="en-US" w:eastAsia="zh-CN"/>
          <w14:textFill>
            <w14:solidFill>
              <w14:schemeClr w14:val="tx1"/>
            </w14:solidFill>
          </w14:textFill>
        </w:rPr>
        <w:t xml:space="preserve"> </w:t>
      </w:r>
      <w:r>
        <w:rPr>
          <w:rFonts w:hint="eastAsia" w:eastAsia="仿宋_GB2312" w:cs="仿宋_GB2312"/>
          <w:color w:val="000000" w:themeColor="text1"/>
          <w:u w:val="single"/>
          <w14:textFill>
            <w14:solidFill>
              <w14:schemeClr w14:val="tx1"/>
            </w14:solidFill>
          </w14:textFill>
        </w:rPr>
        <w:t xml:space="preserve"> 2025年</w:t>
      </w:r>
      <w:r>
        <w:rPr>
          <w:rFonts w:hint="eastAsia" w:eastAsia="仿宋_GB2312" w:cs="仿宋_GB2312"/>
          <w:color w:val="000000" w:themeColor="text1"/>
          <w:u w:val="single"/>
          <w:lang w:val="en-US" w:eastAsia="zh-CN"/>
          <w14:textFill>
            <w14:solidFill>
              <w14:schemeClr w14:val="tx1"/>
            </w14:solidFill>
          </w14:textFill>
        </w:rPr>
        <w:t>10</w:t>
      </w:r>
      <w:r>
        <w:rPr>
          <w:rFonts w:hint="eastAsia" w:eastAsia="仿宋_GB2312" w:cs="仿宋_GB2312"/>
          <w:color w:val="000000" w:themeColor="text1"/>
          <w:u w:val="single"/>
          <w14:textFill>
            <w14:solidFill>
              <w14:schemeClr w14:val="tx1"/>
            </w14:solidFill>
          </w14:textFill>
        </w:rPr>
        <w:t>月</w:t>
      </w:r>
      <w:r>
        <w:rPr>
          <w:rFonts w:hint="eastAsia" w:eastAsia="仿宋_GB2312" w:cs="仿宋_GB2312"/>
          <w:color w:val="000000" w:themeColor="text1"/>
          <w:u w:val="single"/>
          <w:lang w:val="en-US" w:eastAsia="zh-CN"/>
          <w14:textFill>
            <w14:solidFill>
              <w14:schemeClr w14:val="tx1"/>
            </w14:solidFill>
          </w14:textFill>
        </w:rPr>
        <w:t>20</w:t>
      </w:r>
      <w:r>
        <w:rPr>
          <w:rFonts w:hint="eastAsia" w:eastAsia="仿宋_GB2312" w:cs="仿宋_GB2312"/>
          <w:color w:val="000000" w:themeColor="text1"/>
          <w:u w:val="single"/>
          <w14:textFill>
            <w14:solidFill>
              <w14:schemeClr w14:val="tx1"/>
            </w14:solidFill>
          </w14:textFill>
        </w:rPr>
        <w:t>日印发</w:t>
      </w:r>
    </w:p>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E2C07">
    <w:pPr>
      <w:pStyle w:val="12"/>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7</w:t>
    </w:r>
    <w:r>
      <w:rPr>
        <w:sz w:val="32"/>
        <w:szCs w:val="32"/>
        <w:lang w:val="zh-CN"/>
      </w:rPr>
      <w:fldChar w:fldCharType="end"/>
    </w:r>
  </w:p>
  <w:p w14:paraId="3167E61B">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D47AA">
    <w:pPr>
      <w:pStyle w:val="12"/>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6</w:t>
    </w:r>
    <w:r>
      <w:rPr>
        <w:sz w:val="32"/>
        <w:szCs w:val="32"/>
        <w:lang w:val="zh-CN"/>
      </w:rPr>
      <w:fldChar w:fldCharType="end"/>
    </w:r>
  </w:p>
  <w:p w14:paraId="1D42424F">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10E48">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155292"/>
    <w:multiLevelType w:val="multilevel"/>
    <w:tmpl w:val="67155292"/>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chineseCountingThousand"/>
      <w:suff w:val="nothing"/>
      <w:lvlText w:val="（%3）"/>
      <w:lvlJc w:val="lef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hNDg1MTYwMjY5ZWFjMzhlZmRhZTkzZTY4NzdiMzgifQ=="/>
  </w:docVars>
  <w:rsids>
    <w:rsidRoot w:val="00172A27"/>
    <w:rsid w:val="002417E1"/>
    <w:rsid w:val="00395B51"/>
    <w:rsid w:val="003A481E"/>
    <w:rsid w:val="005C1AC5"/>
    <w:rsid w:val="005D2033"/>
    <w:rsid w:val="00646AD1"/>
    <w:rsid w:val="00770B2A"/>
    <w:rsid w:val="009269D4"/>
    <w:rsid w:val="009F57AD"/>
    <w:rsid w:val="00AC411B"/>
    <w:rsid w:val="00B051A8"/>
    <w:rsid w:val="00B202D5"/>
    <w:rsid w:val="00D1559E"/>
    <w:rsid w:val="012515C4"/>
    <w:rsid w:val="020E6C42"/>
    <w:rsid w:val="0252066A"/>
    <w:rsid w:val="041F0B43"/>
    <w:rsid w:val="049F2426"/>
    <w:rsid w:val="05E05A25"/>
    <w:rsid w:val="06053772"/>
    <w:rsid w:val="086E3851"/>
    <w:rsid w:val="095A6639"/>
    <w:rsid w:val="0A410022"/>
    <w:rsid w:val="0A4D58DB"/>
    <w:rsid w:val="0AAF03C9"/>
    <w:rsid w:val="0B5A4560"/>
    <w:rsid w:val="0CCC4FEA"/>
    <w:rsid w:val="0D6B5D9E"/>
    <w:rsid w:val="0E7A1DC9"/>
    <w:rsid w:val="0FFA73AA"/>
    <w:rsid w:val="10D00A20"/>
    <w:rsid w:val="118218DF"/>
    <w:rsid w:val="12AA36D7"/>
    <w:rsid w:val="137F1409"/>
    <w:rsid w:val="14C20BA7"/>
    <w:rsid w:val="14CC4A81"/>
    <w:rsid w:val="156839A2"/>
    <w:rsid w:val="16290DB7"/>
    <w:rsid w:val="1650447E"/>
    <w:rsid w:val="16D0166B"/>
    <w:rsid w:val="1E641526"/>
    <w:rsid w:val="20012DA5"/>
    <w:rsid w:val="21001530"/>
    <w:rsid w:val="21F661EB"/>
    <w:rsid w:val="23634FD8"/>
    <w:rsid w:val="246C599D"/>
    <w:rsid w:val="247C6E9E"/>
    <w:rsid w:val="24D44515"/>
    <w:rsid w:val="27D01156"/>
    <w:rsid w:val="27F21951"/>
    <w:rsid w:val="29EE7EF6"/>
    <w:rsid w:val="2C5C383D"/>
    <w:rsid w:val="2E82647A"/>
    <w:rsid w:val="2EA210B7"/>
    <w:rsid w:val="2ED87595"/>
    <w:rsid w:val="312B3D9E"/>
    <w:rsid w:val="321F6D79"/>
    <w:rsid w:val="322F37A1"/>
    <w:rsid w:val="32A970B0"/>
    <w:rsid w:val="340071A3"/>
    <w:rsid w:val="37FD6B8A"/>
    <w:rsid w:val="38E0334C"/>
    <w:rsid w:val="3B0D21A6"/>
    <w:rsid w:val="3B4B3979"/>
    <w:rsid w:val="3B844B5E"/>
    <w:rsid w:val="3C29347A"/>
    <w:rsid w:val="3C356139"/>
    <w:rsid w:val="40D35433"/>
    <w:rsid w:val="41E225DE"/>
    <w:rsid w:val="43000F6E"/>
    <w:rsid w:val="43166D1E"/>
    <w:rsid w:val="436C2636"/>
    <w:rsid w:val="438D657A"/>
    <w:rsid w:val="43FE2FD4"/>
    <w:rsid w:val="44056A46"/>
    <w:rsid w:val="4491418D"/>
    <w:rsid w:val="44AF6A91"/>
    <w:rsid w:val="452E1D68"/>
    <w:rsid w:val="457E617A"/>
    <w:rsid w:val="45A21C32"/>
    <w:rsid w:val="480F6AC9"/>
    <w:rsid w:val="4A863467"/>
    <w:rsid w:val="4AEC23A3"/>
    <w:rsid w:val="4D0C04AB"/>
    <w:rsid w:val="4F0022F6"/>
    <w:rsid w:val="4F2F41A5"/>
    <w:rsid w:val="4FB82BD0"/>
    <w:rsid w:val="500E27F0"/>
    <w:rsid w:val="50D61560"/>
    <w:rsid w:val="523F1387"/>
    <w:rsid w:val="530473CA"/>
    <w:rsid w:val="535B5D4C"/>
    <w:rsid w:val="551E5CEB"/>
    <w:rsid w:val="55284354"/>
    <w:rsid w:val="564C1AF9"/>
    <w:rsid w:val="56521D3A"/>
    <w:rsid w:val="57867037"/>
    <w:rsid w:val="58DA37D1"/>
    <w:rsid w:val="5C252174"/>
    <w:rsid w:val="60275934"/>
    <w:rsid w:val="628C5986"/>
    <w:rsid w:val="62A55DE6"/>
    <w:rsid w:val="643407A7"/>
    <w:rsid w:val="655A7348"/>
    <w:rsid w:val="691E364C"/>
    <w:rsid w:val="69A006B2"/>
    <w:rsid w:val="6A044068"/>
    <w:rsid w:val="6AD14E1A"/>
    <w:rsid w:val="6B453112"/>
    <w:rsid w:val="6C832144"/>
    <w:rsid w:val="6CDD66BA"/>
    <w:rsid w:val="6D3F29A4"/>
    <w:rsid w:val="6E147762"/>
    <w:rsid w:val="6E423939"/>
    <w:rsid w:val="6E6C6C08"/>
    <w:rsid w:val="6F524050"/>
    <w:rsid w:val="6F800BBD"/>
    <w:rsid w:val="6FA76BBE"/>
    <w:rsid w:val="73816CB2"/>
    <w:rsid w:val="73D0568F"/>
    <w:rsid w:val="77F1407E"/>
    <w:rsid w:val="797C1F3C"/>
    <w:rsid w:val="79B3410A"/>
    <w:rsid w:val="7A6F6740"/>
    <w:rsid w:val="7B62386D"/>
    <w:rsid w:val="7B7B048A"/>
    <w:rsid w:val="7CB7465C"/>
    <w:rsid w:val="7CF95B0B"/>
    <w:rsid w:val="7E614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0" w:name="heading 2"/>
    <w:lsdException w:qFormat="1" w:uiPriority="0" w:name="heading 3"/>
    <w:lsdException w:qFormat="1" w:unhideWhenUsed="0" w:uiPriority="0" w:semiHidden="0" w:name="heading 4"/>
    <w:lsdException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qFormat/>
    <w:uiPriority w:val="0"/>
    <w:pPr>
      <w:keepNext/>
      <w:keepLines/>
      <w:spacing w:before="340" w:after="330" w:line="578" w:lineRule="auto"/>
    </w:pPr>
    <w:rPr>
      <w:b w:val="0"/>
      <w:bCs w:val="0"/>
      <w:kern w:val="44"/>
      <w:sz w:val="44"/>
      <w:szCs w:val="44"/>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spacing w:line="360" w:lineRule="auto"/>
      <w:ind w:firstLine="420" w:firstLineChars="200"/>
    </w:pPr>
    <w:rPr>
      <w:sz w:val="24"/>
    </w:rPr>
  </w:style>
  <w:style w:type="paragraph" w:styleId="5">
    <w:name w:val="Title"/>
    <w:basedOn w:val="1"/>
    <w:next w:val="1"/>
    <w:qFormat/>
    <w:uiPriority w:val="0"/>
    <w:pPr>
      <w:spacing w:before="330" w:after="340"/>
      <w:jc w:val="center"/>
      <w:outlineLvl w:val="0"/>
    </w:pPr>
    <w:rPr>
      <w:b/>
      <w:bCs/>
      <w:sz w:val="32"/>
      <w:szCs w:val="32"/>
    </w:rPr>
  </w:style>
  <w:style w:type="paragraph" w:styleId="7">
    <w:name w:val="annotation text"/>
    <w:basedOn w:val="1"/>
    <w:link w:val="52"/>
    <w:qFormat/>
    <w:uiPriority w:val="0"/>
    <w:pPr>
      <w:jc w:val="left"/>
    </w:pPr>
  </w:style>
  <w:style w:type="paragraph" w:styleId="8">
    <w:name w:val="Body Text"/>
    <w:basedOn w:val="1"/>
    <w:link w:val="43"/>
    <w:qFormat/>
    <w:uiPriority w:val="0"/>
    <w:rPr>
      <w:b/>
      <w:sz w:val="32"/>
      <w:szCs w:val="20"/>
    </w:rPr>
  </w:style>
  <w:style w:type="paragraph" w:styleId="9">
    <w:name w:val="Body Text Indent"/>
    <w:basedOn w:val="1"/>
    <w:next w:val="2"/>
    <w:qFormat/>
    <w:uiPriority w:val="0"/>
    <w:pPr>
      <w:spacing w:after="120"/>
      <w:ind w:left="420" w:leftChars="200"/>
    </w:pPr>
  </w:style>
  <w:style w:type="paragraph" w:styleId="10">
    <w:name w:val="Date"/>
    <w:basedOn w:val="1"/>
    <w:next w:val="1"/>
    <w:link w:val="42"/>
    <w:qFormat/>
    <w:uiPriority w:val="0"/>
    <w:pPr>
      <w:ind w:left="100" w:leftChars="2500"/>
    </w:pPr>
  </w:style>
  <w:style w:type="paragraph" w:styleId="11">
    <w:name w:val="Balloon Text"/>
    <w:basedOn w:val="1"/>
    <w:link w:val="54"/>
    <w:qFormat/>
    <w:uiPriority w:val="0"/>
    <w:rPr>
      <w:sz w:val="18"/>
      <w:szCs w:val="18"/>
    </w:rPr>
  </w:style>
  <w:style w:type="paragraph" w:styleId="12">
    <w:name w:val="footer"/>
    <w:basedOn w:val="1"/>
    <w:link w:val="40"/>
    <w:qFormat/>
    <w:uiPriority w:val="99"/>
    <w:pPr>
      <w:tabs>
        <w:tab w:val="center" w:pos="4153"/>
        <w:tab w:val="right" w:pos="8306"/>
      </w:tabs>
      <w:snapToGrid w:val="0"/>
      <w:jc w:val="left"/>
    </w:pPr>
    <w:rPr>
      <w:sz w:val="18"/>
      <w:szCs w:val="18"/>
    </w:rPr>
  </w:style>
  <w:style w:type="paragraph" w:styleId="13">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link w:val="46"/>
    <w:qFormat/>
    <w:uiPriority w:val="0"/>
    <w:pPr>
      <w:spacing w:line="600" w:lineRule="exact"/>
      <w:jc w:val="center"/>
    </w:pPr>
    <w:rPr>
      <w:rFonts w:ascii="方正小标宋简体" w:eastAsia="方正小标宋简体"/>
      <w:bCs/>
      <w:sz w:val="44"/>
      <w:szCs w:val="44"/>
    </w:rPr>
  </w:style>
  <w:style w:type="paragraph" w:styleId="15">
    <w:name w:val="annotation subject"/>
    <w:basedOn w:val="7"/>
    <w:next w:val="7"/>
    <w:link w:val="53"/>
    <w:qFormat/>
    <w:uiPriority w:val="0"/>
    <w:rPr>
      <w:b/>
      <w:bCs/>
    </w:rPr>
  </w:style>
  <w:style w:type="paragraph" w:styleId="16">
    <w:name w:val="Body Text First Indent 2"/>
    <w:basedOn w:val="9"/>
    <w:next w:val="17"/>
    <w:qFormat/>
    <w:uiPriority w:val="0"/>
    <w:pPr>
      <w:ind w:firstLine="420" w:firstLineChars="200"/>
    </w:pPr>
  </w:style>
  <w:style w:type="paragraph" w:customStyle="1" w:styleId="17">
    <w:name w:val="报告正文"/>
    <w:basedOn w:val="1"/>
    <w:qFormat/>
    <w:uiPriority w:val="0"/>
    <w:pPr>
      <w:tabs>
        <w:tab w:val="left" w:pos="0"/>
      </w:tabs>
      <w:spacing w:line="360" w:lineRule="auto"/>
      <w:ind w:firstLine="420" w:firstLineChars="200"/>
    </w:pPr>
    <w:rPr>
      <w:color w:val="000000"/>
    </w:rPr>
  </w:style>
  <w:style w:type="character" w:styleId="20">
    <w:name w:val="page number"/>
    <w:basedOn w:val="19"/>
    <w:qFormat/>
    <w:uiPriority w:val="0"/>
  </w:style>
  <w:style w:type="character" w:styleId="21">
    <w:name w:val="Hyperlink"/>
    <w:qFormat/>
    <w:uiPriority w:val="0"/>
    <w:rPr>
      <w:color w:val="0000FF"/>
      <w:u w:val="single"/>
    </w:rPr>
  </w:style>
  <w:style w:type="character" w:styleId="22">
    <w:name w:val="annotation reference"/>
    <w:qFormat/>
    <w:uiPriority w:val="0"/>
    <w:rPr>
      <w:sz w:val="21"/>
      <w:szCs w:val="21"/>
    </w:rPr>
  </w:style>
  <w:style w:type="paragraph" w:customStyle="1" w:styleId="23">
    <w:name w:val="样式 Z正文 + 首行缩进:  2 字符1"/>
    <w:basedOn w:val="24"/>
    <w:qFormat/>
    <w:uiPriority w:val="0"/>
    <w:pPr>
      <w:ind w:firstLine="480"/>
    </w:pPr>
  </w:style>
  <w:style w:type="paragraph" w:customStyle="1" w:styleId="24">
    <w:name w:val="Z正文"/>
    <w:basedOn w:val="25"/>
    <w:qFormat/>
    <w:uiPriority w:val="0"/>
    <w:pPr>
      <w:ind w:firstLine="200" w:firstLineChars="200"/>
      <w:outlineLvl w:val="9"/>
    </w:pPr>
    <w:rPr>
      <w:rFonts w:ascii="Times New Roman"/>
      <w:sz w:val="24"/>
      <w:szCs w:val="24"/>
    </w:rPr>
  </w:style>
  <w:style w:type="paragraph" w:customStyle="1" w:styleId="25">
    <w:name w:val="样式 标题 1标题 11Head 1wsah1一、标题2Part'Document章Ch + 加粗"/>
    <w:basedOn w:val="4"/>
    <w:qFormat/>
    <w:uiPriority w:val="0"/>
    <w:rPr>
      <w:rFonts w:ascii="黑体"/>
      <w:sz w:val="32"/>
    </w:rPr>
  </w:style>
  <w:style w:type="paragraph" w:customStyle="1" w:styleId="26">
    <w:name w:val="Char Char Char Char Char Char1 Char"/>
    <w:basedOn w:val="1"/>
    <w:qFormat/>
    <w:uiPriority w:val="0"/>
  </w:style>
  <w:style w:type="paragraph" w:customStyle="1" w:styleId="27">
    <w:name w:val="2"/>
    <w:basedOn w:val="1"/>
    <w:qFormat/>
    <w:uiPriority w:val="0"/>
    <w:pPr>
      <w:spacing w:line="360" w:lineRule="auto"/>
      <w:ind w:firstLine="200" w:firstLineChars="200"/>
    </w:pPr>
    <w:rPr>
      <w:rFonts w:ascii="宋体" w:hAnsi="宋体" w:cs="宋体"/>
      <w:sz w:val="24"/>
    </w:rPr>
  </w:style>
  <w:style w:type="paragraph" w:customStyle="1" w:styleId="28">
    <w:name w:val="Char Char Char Char Char Char1 Char1"/>
    <w:basedOn w:val="1"/>
    <w:qFormat/>
    <w:uiPriority w:val="0"/>
  </w:style>
  <w:style w:type="paragraph" w:customStyle="1" w:styleId="29">
    <w:name w:val="列出段落1"/>
    <w:basedOn w:val="1"/>
    <w:qFormat/>
    <w:uiPriority w:val="34"/>
    <w:pPr>
      <w:ind w:firstLine="420" w:firstLineChars="200"/>
    </w:pPr>
  </w:style>
  <w:style w:type="paragraph" w:customStyle="1" w:styleId="30">
    <w:name w:val="表文字"/>
    <w:link w:val="41"/>
    <w:semiHidden/>
    <w:qFormat/>
    <w:uiPriority w:val="0"/>
    <w:pPr>
      <w:widowControl w:val="0"/>
      <w:adjustRightInd w:val="0"/>
      <w:spacing w:line="240" w:lineRule="exact"/>
      <w:jc w:val="center"/>
      <w:textAlignment w:val="baseline"/>
    </w:pPr>
    <w:rPr>
      <w:rFonts w:ascii="Times New Roman" w:hAnsi="Times New Roman" w:eastAsia="宋体" w:cs="Times New Roman"/>
      <w:sz w:val="21"/>
      <w:szCs w:val="21"/>
      <w:lang w:val="en-US" w:eastAsia="zh-CN" w:bidi="ar-SA"/>
    </w:rPr>
  </w:style>
  <w:style w:type="paragraph" w:customStyle="1" w:styleId="31">
    <w:name w:val="Char"/>
    <w:basedOn w:val="1"/>
    <w:qFormat/>
    <w:uiPriority w:val="0"/>
    <w:pPr>
      <w:widowControl/>
      <w:tabs>
        <w:tab w:val="left" w:pos="360"/>
      </w:tabs>
      <w:jc w:val="left"/>
    </w:pPr>
    <w:rPr>
      <w:kern w:val="0"/>
      <w:sz w:val="24"/>
    </w:rPr>
  </w:style>
  <w:style w:type="paragraph" w:customStyle="1" w:styleId="32">
    <w:name w:val="Char1"/>
    <w:basedOn w:val="1"/>
    <w:qFormat/>
    <w:uiPriority w:val="0"/>
    <w:pPr>
      <w:widowControl/>
      <w:tabs>
        <w:tab w:val="left" w:pos="360"/>
      </w:tabs>
      <w:jc w:val="left"/>
    </w:pPr>
    <w:rPr>
      <w:kern w:val="0"/>
      <w:sz w:val="24"/>
    </w:rPr>
  </w:style>
  <w:style w:type="paragraph" w:customStyle="1" w:styleId="33">
    <w:name w:val="标题1"/>
    <w:basedOn w:val="8"/>
    <w:link w:val="44"/>
    <w:qFormat/>
    <w:uiPriority w:val="0"/>
    <w:pPr>
      <w:jc w:val="distribute"/>
    </w:pPr>
    <w:rPr>
      <w:rFonts w:ascii="方正小标宋简体" w:eastAsia="方正小标宋简体"/>
      <w:color w:val="FF0000"/>
      <w:spacing w:val="-8"/>
      <w:sz w:val="52"/>
      <w:szCs w:val="52"/>
    </w:rPr>
  </w:style>
  <w:style w:type="paragraph" w:customStyle="1" w:styleId="34">
    <w:name w:val="文号1"/>
    <w:basedOn w:val="1"/>
    <w:link w:val="45"/>
    <w:qFormat/>
    <w:uiPriority w:val="0"/>
    <w:pPr>
      <w:adjustRightInd w:val="0"/>
      <w:snapToGrid w:val="0"/>
      <w:spacing w:beforeLines="200" w:line="400" w:lineRule="exact"/>
      <w:jc w:val="center"/>
    </w:pPr>
    <w:rPr>
      <w:rFonts w:ascii="仿宋" w:hAnsi="仿宋" w:eastAsia="仿宋"/>
      <w:sz w:val="30"/>
      <w:szCs w:val="30"/>
    </w:rPr>
  </w:style>
  <w:style w:type="paragraph" w:customStyle="1" w:styleId="35">
    <w:name w:val="标题2"/>
    <w:basedOn w:val="14"/>
    <w:link w:val="47"/>
    <w:qFormat/>
    <w:uiPriority w:val="0"/>
    <w:rPr>
      <w:rFonts w:ascii="宋体" w:hAnsi="宋体" w:eastAsia="宋体"/>
      <w:b/>
    </w:rPr>
  </w:style>
  <w:style w:type="paragraph" w:customStyle="1" w:styleId="36">
    <w:name w:val="对象"/>
    <w:basedOn w:val="1"/>
    <w:link w:val="48"/>
    <w:qFormat/>
    <w:uiPriority w:val="0"/>
    <w:pPr>
      <w:spacing w:beforeLines="100" w:line="540" w:lineRule="exact"/>
    </w:pPr>
    <w:rPr>
      <w:rFonts w:ascii="仿宋" w:hAnsi="仿宋" w:eastAsia="仿宋"/>
      <w:sz w:val="32"/>
      <w:szCs w:val="32"/>
    </w:rPr>
  </w:style>
  <w:style w:type="paragraph" w:customStyle="1" w:styleId="37">
    <w:name w:val="正本"/>
    <w:basedOn w:val="1"/>
    <w:link w:val="49"/>
    <w:qFormat/>
    <w:uiPriority w:val="0"/>
    <w:pPr>
      <w:spacing w:line="540" w:lineRule="exact"/>
      <w:ind w:firstLine="200" w:firstLineChars="200"/>
    </w:pPr>
    <w:rPr>
      <w:rFonts w:eastAsia="仿宋"/>
      <w:sz w:val="32"/>
      <w:szCs w:val="32"/>
    </w:rPr>
  </w:style>
  <w:style w:type="paragraph" w:customStyle="1" w:styleId="38">
    <w:name w:val="落款日期"/>
    <w:basedOn w:val="1"/>
    <w:link w:val="50"/>
    <w:qFormat/>
    <w:uiPriority w:val="0"/>
    <w:pPr>
      <w:spacing w:beforeLines="400" w:line="540" w:lineRule="exact"/>
      <w:ind w:right="200" w:rightChars="200" w:firstLine="200" w:firstLineChars="200"/>
      <w:jc w:val="right"/>
    </w:pPr>
    <w:rPr>
      <w:rFonts w:ascii="仿宋" w:hAnsi="仿宋" w:eastAsia="仿宋"/>
      <w:sz w:val="32"/>
      <w:szCs w:val="32"/>
    </w:rPr>
  </w:style>
  <w:style w:type="paragraph" w:customStyle="1" w:styleId="39">
    <w:name w:val="落款单位"/>
    <w:basedOn w:val="38"/>
    <w:link w:val="51"/>
    <w:qFormat/>
    <w:uiPriority w:val="0"/>
    <w:pPr>
      <w:ind w:right="300" w:rightChars="300" w:firstLine="0" w:firstLineChars="0"/>
    </w:pPr>
    <w:rPr>
      <w:rFonts w:eastAsia="仿宋_GB2312"/>
    </w:rPr>
  </w:style>
  <w:style w:type="character" w:customStyle="1" w:styleId="40">
    <w:name w:val="页脚 字符"/>
    <w:link w:val="12"/>
    <w:qFormat/>
    <w:uiPriority w:val="99"/>
    <w:rPr>
      <w:kern w:val="2"/>
      <w:sz w:val="18"/>
      <w:szCs w:val="18"/>
    </w:rPr>
  </w:style>
  <w:style w:type="character" w:customStyle="1" w:styleId="41">
    <w:name w:val="表文字 Char1"/>
    <w:link w:val="30"/>
    <w:semiHidden/>
    <w:qFormat/>
    <w:uiPriority w:val="0"/>
    <w:rPr>
      <w:sz w:val="21"/>
      <w:szCs w:val="21"/>
      <w:lang w:val="en-US" w:eastAsia="zh-CN" w:bidi="ar-SA"/>
    </w:rPr>
  </w:style>
  <w:style w:type="character" w:customStyle="1" w:styleId="42">
    <w:name w:val="日期 字符"/>
    <w:link w:val="10"/>
    <w:qFormat/>
    <w:uiPriority w:val="0"/>
    <w:rPr>
      <w:kern w:val="2"/>
      <w:sz w:val="21"/>
      <w:szCs w:val="24"/>
    </w:rPr>
  </w:style>
  <w:style w:type="character" w:customStyle="1" w:styleId="43">
    <w:name w:val="正文文本 字符"/>
    <w:link w:val="8"/>
    <w:qFormat/>
    <w:uiPriority w:val="0"/>
    <w:rPr>
      <w:b/>
      <w:kern w:val="2"/>
      <w:sz w:val="32"/>
    </w:rPr>
  </w:style>
  <w:style w:type="character" w:customStyle="1" w:styleId="44">
    <w:name w:val="标题1 字符"/>
    <w:link w:val="33"/>
    <w:qFormat/>
    <w:uiPriority w:val="0"/>
    <w:rPr>
      <w:rFonts w:ascii="方正小标宋简体" w:eastAsia="方正小标宋简体"/>
      <w:b/>
      <w:color w:val="FF0000"/>
      <w:spacing w:val="-8"/>
      <w:kern w:val="2"/>
      <w:sz w:val="52"/>
      <w:szCs w:val="52"/>
    </w:rPr>
  </w:style>
  <w:style w:type="character" w:customStyle="1" w:styleId="45">
    <w:name w:val="文号1 字符"/>
    <w:link w:val="34"/>
    <w:qFormat/>
    <w:uiPriority w:val="0"/>
    <w:rPr>
      <w:rFonts w:ascii="仿宋" w:hAnsi="仿宋" w:eastAsia="仿宋"/>
      <w:kern w:val="2"/>
      <w:sz w:val="30"/>
      <w:szCs w:val="30"/>
    </w:rPr>
  </w:style>
  <w:style w:type="character" w:customStyle="1" w:styleId="46">
    <w:name w:val="正文文本 2 字符"/>
    <w:link w:val="14"/>
    <w:qFormat/>
    <w:uiPriority w:val="0"/>
    <w:rPr>
      <w:rFonts w:ascii="方正小标宋简体" w:eastAsia="方正小标宋简体"/>
      <w:bCs/>
      <w:kern w:val="2"/>
      <w:sz w:val="44"/>
      <w:szCs w:val="44"/>
    </w:rPr>
  </w:style>
  <w:style w:type="character" w:customStyle="1" w:styleId="47">
    <w:name w:val="标题2 字符"/>
    <w:link w:val="35"/>
    <w:qFormat/>
    <w:uiPriority w:val="0"/>
    <w:rPr>
      <w:rFonts w:ascii="宋体" w:hAnsi="宋体"/>
      <w:b/>
      <w:bCs/>
      <w:kern w:val="2"/>
      <w:sz w:val="44"/>
      <w:szCs w:val="44"/>
    </w:rPr>
  </w:style>
  <w:style w:type="character" w:customStyle="1" w:styleId="48">
    <w:name w:val="对象 字符"/>
    <w:link w:val="36"/>
    <w:qFormat/>
    <w:uiPriority w:val="0"/>
    <w:rPr>
      <w:rFonts w:ascii="仿宋" w:hAnsi="仿宋" w:eastAsia="仿宋"/>
      <w:kern w:val="2"/>
      <w:sz w:val="32"/>
      <w:szCs w:val="32"/>
    </w:rPr>
  </w:style>
  <w:style w:type="character" w:customStyle="1" w:styleId="49">
    <w:name w:val="正本 字符"/>
    <w:link w:val="37"/>
    <w:qFormat/>
    <w:uiPriority w:val="0"/>
    <w:rPr>
      <w:rFonts w:eastAsia="仿宋"/>
      <w:kern w:val="2"/>
      <w:sz w:val="32"/>
      <w:szCs w:val="32"/>
    </w:rPr>
  </w:style>
  <w:style w:type="character" w:customStyle="1" w:styleId="50">
    <w:name w:val="落款日期 字符"/>
    <w:link w:val="38"/>
    <w:qFormat/>
    <w:uiPriority w:val="0"/>
    <w:rPr>
      <w:rFonts w:ascii="仿宋" w:hAnsi="仿宋" w:eastAsia="仿宋"/>
      <w:kern w:val="2"/>
      <w:sz w:val="32"/>
      <w:szCs w:val="32"/>
    </w:rPr>
  </w:style>
  <w:style w:type="character" w:customStyle="1" w:styleId="51">
    <w:name w:val="落款单位 字符"/>
    <w:link w:val="39"/>
    <w:qFormat/>
    <w:uiPriority w:val="0"/>
    <w:rPr>
      <w:rFonts w:ascii="仿宋" w:hAnsi="仿宋" w:eastAsia="仿宋_GB2312"/>
      <w:kern w:val="2"/>
      <w:sz w:val="32"/>
      <w:szCs w:val="32"/>
    </w:rPr>
  </w:style>
  <w:style w:type="character" w:customStyle="1" w:styleId="52">
    <w:name w:val="批注文字 字符"/>
    <w:link w:val="7"/>
    <w:qFormat/>
    <w:uiPriority w:val="0"/>
    <w:rPr>
      <w:kern w:val="2"/>
      <w:sz w:val="21"/>
      <w:szCs w:val="24"/>
    </w:rPr>
  </w:style>
  <w:style w:type="character" w:customStyle="1" w:styleId="53">
    <w:name w:val="批注主题 字符"/>
    <w:link w:val="15"/>
    <w:qFormat/>
    <w:uiPriority w:val="0"/>
    <w:rPr>
      <w:b/>
      <w:bCs/>
      <w:kern w:val="2"/>
      <w:sz w:val="21"/>
      <w:szCs w:val="24"/>
    </w:rPr>
  </w:style>
  <w:style w:type="character" w:customStyle="1" w:styleId="54">
    <w:name w:val="批注框文本 字符"/>
    <w:link w:val="11"/>
    <w:qFormat/>
    <w:uiPriority w:val="0"/>
    <w:rPr>
      <w:kern w:val="2"/>
      <w:sz w:val="18"/>
      <w:szCs w:val="18"/>
    </w:rPr>
  </w:style>
  <w:style w:type="paragraph" w:styleId="5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4</Pages>
  <Words>1966</Words>
  <Characters>2083</Characters>
  <Lines>25</Lines>
  <Paragraphs>7</Paragraphs>
  <TotalTime>219</TotalTime>
  <ScaleCrop>false</ScaleCrop>
  <LinksUpToDate>false</LinksUpToDate>
  <CharactersWithSpaces>2161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2024-08-01T03:35:00Z</dcterms:created>
  <dc:creator>雨林木风</dc:creator>
  <cp:lastModifiedBy>Roo</cp:lastModifiedBy>
  <cp:lastPrinted>2025-10-20T03:36:54Z</cp:lastPrinted>
  <dcterms:modified xsi:type="dcterms:W3CDTF">2025-10-20T07:13:31Z</dcterms:modified>
  <dc:title>柳环审字〔2012〕号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679E8A9791734E4F80A9C00C28151F26_13</vt:lpwstr>
  </property>
  <property fmtid="{D5CDD505-2E9C-101B-9397-08002B2CF9AE}" pid="4" name="KSOTemplateDocerSaveRecord">
    <vt:lpwstr>eyJoZGlkIjoiNjdkZjg3YzQyMDQ4ZWZkODQ0MmYzZDZjYmNhZDFiOTciLCJ1c2VySWQiOiI3NDI3NDE5MTUifQ==</vt:lpwstr>
  </property>
</Properties>
</file>