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w:t>
      </w:r>
      <w:r>
        <w:rPr>
          <w:rFonts w:hint="default" w:ascii="Times New Roman" w:hAnsi="Times New Roman" w:eastAsia="仿宋_GB2312"/>
          <w:lang w:val="en-US" w:eastAsia="zh-CN"/>
        </w:rPr>
        <w:t>33</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411C4338">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lang w:eastAsia="zh-CN"/>
        </w:rPr>
      </w:pPr>
      <w:r>
        <w:rPr>
          <w:rFonts w:hint="eastAsia" w:cs="宋体"/>
        </w:rPr>
        <w:t>关于</w:t>
      </w:r>
      <w:r>
        <w:rPr>
          <w:rFonts w:hint="eastAsia" w:cs="宋体"/>
          <w:lang w:eastAsia="zh-CN"/>
        </w:rPr>
        <w:t>广西通宇达彩钢有限公司年产5万平方</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lang w:eastAsia="zh-CN"/>
        </w:rPr>
        <w:t>彩钢板材项目</w:t>
      </w:r>
      <w:r>
        <w:rPr>
          <w:rFonts w:hint="eastAsia" w:cs="宋体"/>
        </w:rPr>
        <w:t>环境影响报告表的批复</w:t>
      </w:r>
    </w:p>
    <w:p w14:paraId="13A60381">
      <w:pPr>
        <w:pStyle w:val="36"/>
        <w:keepNext w:val="0"/>
        <w:keepLines w:val="0"/>
        <w:pageBreakBefore w:val="0"/>
        <w:widowControl w:val="0"/>
        <w:kinsoku/>
        <w:wordWrap/>
        <w:overflowPunct/>
        <w:topLinePunct w:val="0"/>
        <w:autoSpaceDE/>
        <w:autoSpaceDN/>
        <w:bidi w:val="0"/>
        <w:adjustRightInd/>
        <w:snapToGrid/>
        <w:spacing w:before="312" w:line="56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广西通宇达彩钢有限公司</w:t>
      </w:r>
      <w:r>
        <w:rPr>
          <w:rFonts w:hint="eastAsia" w:ascii="Times New Roman" w:hAnsi="Times New Roman" w:eastAsia="仿宋_GB2312" w:cs="仿宋_GB2312"/>
          <w:color w:val="000000"/>
        </w:rPr>
        <w:t>：</w:t>
      </w:r>
    </w:p>
    <w:p w14:paraId="34CB166F">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rPr>
      </w:pPr>
      <w:r>
        <w:rPr>
          <w:rFonts w:hint="eastAsia" w:eastAsia="仿宋_GB2312" w:cs="仿宋_GB2312"/>
          <w:color w:val="000000"/>
        </w:rPr>
        <w:t>你公司报来《</w:t>
      </w:r>
      <w:r>
        <w:rPr>
          <w:rFonts w:hint="eastAsia" w:eastAsia="仿宋_GB2312" w:cs="仿宋_GB2312"/>
          <w:color w:val="000000"/>
          <w:lang w:eastAsia="zh-CN"/>
        </w:rPr>
        <w:t>广西通宇达彩钢有限公司年产5万平方彩钢板材项目</w:t>
      </w:r>
      <w:r>
        <w:rPr>
          <w:rFonts w:hint="eastAsia" w:eastAsia="仿宋_GB2312" w:cs="仿宋_GB2312"/>
          <w:color w:val="000000"/>
        </w:rPr>
        <w:t>环境影响报告表》（以下简称《报告表》）收悉。经我局审核，现批复如下：</w:t>
      </w:r>
    </w:p>
    <w:p w14:paraId="0214F612">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rPr>
      </w:pPr>
      <w:r>
        <w:rPr>
          <w:rFonts w:hint="eastAsia" w:eastAsia="仿宋_GB2312" w:cs="仿宋_GB2312"/>
          <w:color w:val="000000"/>
        </w:rPr>
        <w:t>一、本项目为</w:t>
      </w:r>
      <w:r>
        <w:rPr>
          <w:rFonts w:hint="eastAsia" w:eastAsia="仿宋_GB2312" w:cs="仿宋_GB2312"/>
          <w:color w:val="000000"/>
          <w:lang w:val="en-US" w:eastAsia="zh-CN"/>
        </w:rPr>
        <w:t>新建</w:t>
      </w:r>
      <w:r>
        <w:rPr>
          <w:rFonts w:hint="eastAsia" w:eastAsia="仿宋_GB2312" w:cs="仿宋_GB2312"/>
          <w:color w:val="000000"/>
        </w:rPr>
        <w:t>工程，位于广西壮族自治区柳州市柳城县工业区沙埔镇片区一、二、三期中小企业创新创业基地、企业孵化中心标准厂房的建筑5号厂房，</w:t>
      </w:r>
      <w:r>
        <w:rPr>
          <w:rFonts w:hint="eastAsia" w:eastAsia="仿宋_GB2312" w:cs="仿宋_GB2312"/>
        </w:rPr>
        <w:t>占地面积</w:t>
      </w:r>
      <w:r>
        <w:rPr>
          <w:rFonts w:hint="eastAsia" w:eastAsia="仿宋_GB2312" w:cs="仿宋_GB2312"/>
          <w:lang w:val="en-US" w:eastAsia="zh-CN"/>
        </w:rPr>
        <w:t>2600</w:t>
      </w:r>
      <w:r>
        <w:rPr>
          <w:rFonts w:hint="eastAsia" w:eastAsia="仿宋_GB2312" w:cs="仿宋_GB2312"/>
        </w:rPr>
        <w:t>平方米。建设规模：</w:t>
      </w:r>
      <w:r>
        <w:rPr>
          <w:rFonts w:hint="eastAsia" w:eastAsia="仿宋_GB2312" w:cs="仿宋_GB2312"/>
          <w:lang w:val="en-US" w:eastAsia="zh-CN"/>
        </w:rPr>
        <w:t>建设1条生产线，年产5万平方米（约1500吨）彩钢板</w:t>
      </w:r>
      <w:r>
        <w:rPr>
          <w:rFonts w:hint="eastAsia" w:eastAsia="仿宋_GB2312" w:cs="仿宋_GB2312"/>
        </w:rPr>
        <w:t>。</w:t>
      </w:r>
    </w:p>
    <w:p w14:paraId="502DC679">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lang w:val="en-US" w:eastAsia="zh-CN"/>
        </w:rPr>
      </w:pPr>
      <w:r>
        <w:rPr>
          <w:rFonts w:hint="eastAsia" w:eastAsia="仿宋_GB2312" w:cs="仿宋_GB2312"/>
        </w:rPr>
        <w:t>项目建设内容包括</w:t>
      </w:r>
      <w:r>
        <w:rPr>
          <w:rFonts w:hint="eastAsia" w:eastAsia="仿宋_GB2312" w:cs="仿宋_GB2312"/>
          <w:lang w:val="en-US" w:eastAsia="zh-CN"/>
        </w:rPr>
        <w:t>主体</w:t>
      </w:r>
      <w:r>
        <w:rPr>
          <w:rFonts w:hint="eastAsia" w:eastAsia="仿宋_GB2312" w:cs="仿宋_GB2312"/>
        </w:rPr>
        <w:t>工程</w:t>
      </w:r>
      <w:r>
        <w:rPr>
          <w:rFonts w:hint="eastAsia" w:eastAsia="仿宋_GB2312" w:cs="仿宋_GB2312"/>
          <w:lang w:eastAsia="zh-CN"/>
        </w:rPr>
        <w:t>（</w:t>
      </w:r>
      <w:r>
        <w:rPr>
          <w:rFonts w:hint="eastAsia" w:eastAsia="仿宋_GB2312" w:cs="仿宋_GB2312"/>
          <w:lang w:val="en-US" w:eastAsia="zh-CN"/>
        </w:rPr>
        <w:t>生产车间）</w:t>
      </w:r>
      <w:r>
        <w:rPr>
          <w:rFonts w:hint="eastAsia" w:eastAsia="仿宋_GB2312" w:cs="仿宋_GB2312"/>
          <w:lang w:eastAsia="zh-CN"/>
        </w:rPr>
        <w:t>；</w:t>
      </w:r>
      <w:r>
        <w:rPr>
          <w:rFonts w:hint="eastAsia" w:eastAsia="仿宋_GB2312" w:cs="仿宋_GB2312"/>
          <w:lang w:val="en-US" w:eastAsia="zh-CN"/>
        </w:rPr>
        <w:t>储运工程（带钢原料区、彩涂卷原料堆放区、半成品区、成品区、岩棉堆放区）；环保工程（3根17米排气筒DA001-DA003、1套滤筒除尘器、1套二级活性炭吸附装置、1套旋风除尘器+布袋除尘器、1套移动式烟尘净化器、1个10平方米一般固体废物暂存区、1个2平方米危险废物暂存间等）、公用工程（供水、排水、供电、供热等）；</w:t>
      </w:r>
      <w:r>
        <w:rPr>
          <w:rFonts w:hint="eastAsia" w:eastAsia="仿宋_GB2312" w:cs="仿宋_GB2312"/>
          <w:color w:val="auto"/>
          <w:lang w:val="en-US" w:eastAsia="zh-CN"/>
        </w:rPr>
        <w:t>详见《报告表》。</w:t>
      </w:r>
    </w:p>
    <w:p w14:paraId="4BC08BC1">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rPr>
      </w:pPr>
      <w:r>
        <w:rPr>
          <w:rFonts w:hint="eastAsia" w:eastAsia="仿宋_GB2312" w:cs="仿宋_GB2312"/>
        </w:rPr>
        <w:t>项目不涉及自然保护区、饮用水源保护区、文物保护单位、</w:t>
      </w:r>
      <w:r>
        <w:rPr>
          <w:rFonts w:hint="eastAsia" w:eastAsia="仿宋_GB2312" w:cs="仿宋_GB2312"/>
          <w:lang w:val="en-US" w:eastAsia="zh-CN"/>
        </w:rPr>
        <w:t>地质公园、风景名胜区、基本农田等特殊保护对象。项目总投资500.00万元</w:t>
      </w:r>
      <w:r>
        <w:rPr>
          <w:rFonts w:hint="eastAsia" w:eastAsia="仿宋_GB2312" w:cs="仿宋_GB2312"/>
        </w:rPr>
        <w:t>，其中环保投资</w:t>
      </w:r>
      <w:r>
        <w:rPr>
          <w:rFonts w:hint="eastAsia" w:eastAsia="仿宋_GB2312" w:cs="仿宋_GB2312"/>
          <w:lang w:val="en-US" w:eastAsia="zh-CN"/>
        </w:rPr>
        <w:t>18</w:t>
      </w:r>
      <w:r>
        <w:rPr>
          <w:rFonts w:hint="eastAsia" w:eastAsia="仿宋_GB2312" w:cs="仿宋_GB2312"/>
        </w:rPr>
        <w:t>.0</w:t>
      </w:r>
      <w:r>
        <w:rPr>
          <w:rFonts w:hint="eastAsia" w:eastAsia="仿宋_GB2312" w:cs="仿宋_GB2312"/>
          <w:lang w:val="en-US" w:eastAsia="zh-CN"/>
        </w:rPr>
        <w:t>0</w:t>
      </w:r>
      <w:r>
        <w:rPr>
          <w:rFonts w:hint="eastAsia" w:eastAsia="仿宋_GB2312" w:cs="仿宋_GB2312"/>
        </w:rPr>
        <w:t>万元</w:t>
      </w:r>
      <w:r>
        <w:rPr>
          <w:rFonts w:hint="eastAsia" w:eastAsia="仿宋_GB2312" w:cs="仿宋_GB2312"/>
          <w:lang w:eastAsia="zh-CN"/>
        </w:rPr>
        <w:t>，</w:t>
      </w:r>
      <w:r>
        <w:rPr>
          <w:rFonts w:hint="eastAsia" w:eastAsia="仿宋_GB2312" w:cs="仿宋_GB2312"/>
          <w:lang w:val="en-US" w:eastAsia="zh-CN"/>
        </w:rPr>
        <w:t>占比3.60%</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w:t>
      </w:r>
      <w:r>
        <w:rPr>
          <w:rFonts w:hint="eastAsia" w:eastAsia="仿宋_GB2312" w:cs="仿宋_GB2312"/>
          <w:color w:val="000000"/>
          <w:kern w:val="2"/>
          <w:sz w:val="32"/>
          <w:szCs w:val="32"/>
          <w:lang w:val="en-US" w:eastAsia="zh-CN" w:bidi="ar-SA"/>
        </w:rPr>
        <w:t>及柳城县工业区管理委员会的入园证明</w:t>
      </w:r>
      <w:r>
        <w:rPr>
          <w:rFonts w:hint="eastAsia" w:eastAsia="仿宋_GB2312" w:cs="仿宋_GB2312"/>
          <w:sz w:val="32"/>
          <w:szCs w:val="32"/>
        </w:rPr>
        <w:t>。从环境影响角度考虑，同意你公司按照《报告表》所列的建设项目的地点、性质、规模、采取的环境保护对策措施及下述要求进行项目建设。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43A9BA9F">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拟建1</w:t>
      </w:r>
      <w:r>
        <w:rPr>
          <w:rFonts w:hint="eastAsia" w:eastAsia="仿宋_GB2312" w:cs="仿宋_GB2312"/>
          <w:sz w:val="32"/>
          <w:szCs w:val="32"/>
        </w:rPr>
        <w:t>台</w:t>
      </w:r>
      <w:r>
        <w:rPr>
          <w:rFonts w:hint="eastAsia" w:eastAsia="仿宋_GB2312" w:cs="仿宋_GB2312"/>
          <w:sz w:val="32"/>
          <w:szCs w:val="32"/>
          <w:lang w:val="en-US" w:eastAsia="zh-CN"/>
        </w:rPr>
        <w:t>燃生物质燃烧机，燃烧废气经“旋风+布袋除尘器”处理后，</w:t>
      </w:r>
      <w:r>
        <w:rPr>
          <w:rFonts w:hint="eastAsia" w:eastAsia="仿宋_GB2312" w:cs="仿宋_GB2312"/>
          <w:sz w:val="32"/>
          <w:szCs w:val="32"/>
        </w:rPr>
        <w:t>通过</w:t>
      </w:r>
      <w:r>
        <w:rPr>
          <w:rFonts w:hint="eastAsia" w:eastAsia="仿宋_GB2312" w:cs="仿宋_GB2312"/>
          <w:sz w:val="32"/>
          <w:szCs w:val="32"/>
          <w:lang w:val="en-US" w:eastAsia="zh-CN"/>
        </w:rPr>
        <w:t>1</w:t>
      </w:r>
      <w:r>
        <w:rPr>
          <w:rFonts w:hint="eastAsia" w:eastAsia="仿宋_GB2312" w:cs="仿宋_GB2312"/>
          <w:sz w:val="32"/>
          <w:szCs w:val="32"/>
        </w:rPr>
        <w:t>根</w:t>
      </w:r>
      <w:r>
        <w:rPr>
          <w:rFonts w:hint="eastAsia" w:eastAsia="仿宋_GB2312" w:cs="仿宋_GB2312"/>
          <w:sz w:val="32"/>
          <w:szCs w:val="32"/>
          <w:lang w:val="en-US" w:eastAsia="zh-CN"/>
        </w:rPr>
        <w:t>17</w:t>
      </w:r>
      <w:r>
        <w:rPr>
          <w:rFonts w:hint="eastAsia" w:eastAsia="仿宋_GB2312" w:cs="仿宋_GB2312"/>
          <w:sz w:val="32"/>
          <w:szCs w:val="32"/>
        </w:rPr>
        <w:t>米高排气筒（DA00</w:t>
      </w:r>
      <w:r>
        <w:rPr>
          <w:rFonts w:hint="eastAsia" w:eastAsia="仿宋_GB2312" w:cs="仿宋_GB2312"/>
          <w:sz w:val="32"/>
          <w:szCs w:val="32"/>
          <w:lang w:val="en-US" w:eastAsia="zh-CN"/>
        </w:rPr>
        <w:t>3</w:t>
      </w:r>
      <w:r>
        <w:rPr>
          <w:rFonts w:hint="eastAsia" w:eastAsia="仿宋_GB2312" w:cs="仿宋_GB2312"/>
          <w:sz w:val="32"/>
          <w:szCs w:val="32"/>
        </w:rPr>
        <w:t>）排放，须确保有组织外排的</w:t>
      </w:r>
      <w:r>
        <w:rPr>
          <w:rFonts w:hint="eastAsia" w:eastAsia="仿宋_GB2312" w:cs="仿宋_GB2312"/>
          <w:sz w:val="32"/>
          <w:szCs w:val="32"/>
          <w:lang w:val="en-US" w:eastAsia="zh-CN"/>
        </w:rPr>
        <w:t>二氧化硫、氮氧化物排放浓度和速率能够达到GB 16297-1996《大气污染物综合排放标准》表2新污染源大气污染物排放限值二级排放标准要求；</w:t>
      </w:r>
      <w:r>
        <w:rPr>
          <w:rFonts w:hint="eastAsia" w:eastAsia="仿宋_GB2312" w:cs="仿宋_GB2312"/>
          <w:sz w:val="32"/>
          <w:szCs w:val="32"/>
        </w:rPr>
        <w:t>颗粒物</w:t>
      </w:r>
      <w:r>
        <w:rPr>
          <w:rFonts w:hint="eastAsia" w:eastAsia="仿宋_GB2312" w:cs="仿宋_GB2312"/>
          <w:sz w:val="32"/>
          <w:szCs w:val="32"/>
          <w:lang w:val="en-US" w:eastAsia="zh-CN"/>
        </w:rPr>
        <w:t>的</w:t>
      </w:r>
      <w:r>
        <w:rPr>
          <w:rFonts w:hint="eastAsia" w:eastAsia="仿宋_GB2312" w:cs="仿宋_GB2312"/>
          <w:sz w:val="32"/>
          <w:szCs w:val="32"/>
        </w:rPr>
        <w:t>排放浓度</w:t>
      </w:r>
      <w:r>
        <w:rPr>
          <w:rFonts w:hint="eastAsia" w:eastAsia="仿宋_GB2312" w:cs="仿宋_GB2312"/>
          <w:sz w:val="32"/>
          <w:szCs w:val="32"/>
          <w:lang w:eastAsia="zh-CN"/>
        </w:rPr>
        <w:t>、</w:t>
      </w:r>
      <w:r>
        <w:rPr>
          <w:rFonts w:hint="eastAsia" w:eastAsia="仿宋_GB2312" w:cs="仿宋_GB2312"/>
          <w:sz w:val="32"/>
          <w:szCs w:val="32"/>
          <w:lang w:val="en-US" w:eastAsia="zh-CN"/>
        </w:rPr>
        <w:t>烟气黑度</w:t>
      </w:r>
      <w:r>
        <w:rPr>
          <w:rFonts w:hint="eastAsia" w:eastAsia="仿宋_GB2312" w:cs="仿宋_GB2312"/>
          <w:sz w:val="32"/>
          <w:szCs w:val="32"/>
        </w:rPr>
        <w:t>能够达到</w:t>
      </w:r>
      <w:r>
        <w:rPr>
          <w:rFonts w:hint="eastAsia" w:eastAsia="仿宋_GB2312" w:cs="仿宋_GB2312"/>
          <w:sz w:val="32"/>
          <w:szCs w:val="32"/>
          <w:lang w:val="en-US" w:eastAsia="zh-CN"/>
        </w:rPr>
        <w:t>GB 9078-1996《工业炉窑大气污染物排放标准》表2中“干燥炉、窑”二级排放标准限值要求</w:t>
      </w:r>
      <w:r>
        <w:rPr>
          <w:rFonts w:hint="eastAsia" w:eastAsia="仿宋_GB2312" w:cs="仿宋_GB2312"/>
          <w:sz w:val="32"/>
          <w:szCs w:val="32"/>
        </w:rPr>
        <w:t>。</w:t>
      </w:r>
    </w:p>
    <w:p w14:paraId="28A30C02">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喷塑工序</w:t>
      </w:r>
      <w:r>
        <w:rPr>
          <w:rFonts w:hint="eastAsia" w:eastAsia="仿宋_GB2312" w:cs="仿宋_GB2312"/>
          <w:color w:val="000000"/>
          <w:sz w:val="32"/>
          <w:szCs w:val="32"/>
        </w:rPr>
        <w:t>产生</w:t>
      </w:r>
      <w:r>
        <w:rPr>
          <w:rFonts w:hint="eastAsia" w:eastAsia="仿宋_GB2312" w:cs="仿宋_GB2312"/>
          <w:color w:val="000000"/>
          <w:sz w:val="32"/>
          <w:szCs w:val="32"/>
          <w:lang w:val="en-US" w:eastAsia="zh-CN"/>
        </w:rPr>
        <w:t>的废气经密闭设备收集后通过滤筒除尘器处理，经1根17米高排气筒（DA001）排放，</w:t>
      </w:r>
      <w:r>
        <w:rPr>
          <w:rFonts w:hint="eastAsia" w:eastAsia="仿宋_GB2312" w:cs="仿宋_GB2312"/>
          <w:sz w:val="32"/>
          <w:szCs w:val="32"/>
        </w:rPr>
        <w:t>须确保有组织外排的</w:t>
      </w:r>
      <w:r>
        <w:rPr>
          <w:rFonts w:hint="eastAsia" w:eastAsia="仿宋_GB2312" w:cs="仿宋_GB2312"/>
          <w:sz w:val="32"/>
          <w:szCs w:val="32"/>
          <w:lang w:val="en-US" w:eastAsia="zh-CN"/>
        </w:rPr>
        <w:t>颗粒物</w:t>
      </w:r>
      <w:r>
        <w:rPr>
          <w:rFonts w:hint="eastAsia" w:eastAsia="仿宋_GB2312" w:cs="仿宋_GB2312"/>
          <w:sz w:val="32"/>
          <w:szCs w:val="32"/>
        </w:rPr>
        <w:t>排放浓度和速率能够达到GB 16297-1996《大气污染物综合排放标准》</w:t>
      </w:r>
      <w:r>
        <w:rPr>
          <w:rFonts w:hint="eastAsia" w:eastAsia="仿宋_GB2312" w:cs="仿宋_GB2312"/>
          <w:color w:val="000000"/>
          <w:sz w:val="32"/>
          <w:szCs w:val="32"/>
        </w:rPr>
        <w:t>表2新污染源大气污染物排放限值二级排放标准要求。</w:t>
      </w:r>
    </w:p>
    <w:p w14:paraId="3F02AC65">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eastAsia="仿宋_GB2312" w:cs="仿宋_GB2312"/>
          <w:color w:val="000000"/>
          <w:sz w:val="32"/>
          <w:szCs w:val="32"/>
        </w:rPr>
      </w:pPr>
      <w:r>
        <w:rPr>
          <w:rFonts w:hint="eastAsia" w:eastAsia="仿宋_GB2312" w:cs="仿宋_GB2312"/>
          <w:sz w:val="32"/>
          <w:szCs w:val="32"/>
        </w:rPr>
        <w:t>项目</w:t>
      </w:r>
      <w:r>
        <w:rPr>
          <w:rFonts w:hint="eastAsia" w:eastAsia="仿宋_GB2312" w:cs="仿宋_GB2312"/>
          <w:sz w:val="32"/>
          <w:szCs w:val="32"/>
          <w:lang w:val="en-US" w:eastAsia="zh-CN"/>
        </w:rPr>
        <w:t>烘干工序产生的</w:t>
      </w:r>
      <w:r>
        <w:rPr>
          <w:rFonts w:hint="eastAsia" w:eastAsia="仿宋_GB2312" w:cs="仿宋_GB2312"/>
          <w:sz w:val="32"/>
          <w:szCs w:val="32"/>
        </w:rPr>
        <w:t>废气</w:t>
      </w:r>
      <w:r>
        <w:rPr>
          <w:rFonts w:hint="eastAsia" w:eastAsia="仿宋_GB2312" w:cs="仿宋_GB2312"/>
          <w:sz w:val="32"/>
          <w:szCs w:val="32"/>
          <w:lang w:val="en-US" w:eastAsia="zh-CN"/>
        </w:rPr>
        <w:t>经密闭设备收集后通过二级活性炭吸附装置</w:t>
      </w:r>
      <w:r>
        <w:rPr>
          <w:rFonts w:hint="eastAsia" w:eastAsia="仿宋_GB2312" w:cs="仿宋_GB2312"/>
          <w:sz w:val="32"/>
          <w:szCs w:val="32"/>
        </w:rPr>
        <w:t>处理，经</w:t>
      </w:r>
      <w:r>
        <w:rPr>
          <w:rFonts w:hint="eastAsia" w:eastAsia="仿宋_GB2312" w:cs="仿宋_GB2312"/>
          <w:sz w:val="32"/>
          <w:szCs w:val="32"/>
          <w:lang w:val="en-US" w:eastAsia="zh-CN"/>
        </w:rPr>
        <w:t>1</w:t>
      </w:r>
      <w:r>
        <w:rPr>
          <w:rFonts w:hint="eastAsia" w:eastAsia="仿宋_GB2312" w:cs="仿宋_GB2312"/>
          <w:sz w:val="32"/>
          <w:szCs w:val="32"/>
        </w:rPr>
        <w:t>根</w:t>
      </w:r>
      <w:r>
        <w:rPr>
          <w:rFonts w:hint="eastAsia" w:eastAsia="仿宋_GB2312" w:cs="仿宋_GB2312"/>
          <w:sz w:val="32"/>
          <w:szCs w:val="32"/>
          <w:lang w:val="en-US" w:eastAsia="zh-CN"/>
        </w:rPr>
        <w:t>17</w:t>
      </w:r>
      <w:r>
        <w:rPr>
          <w:rFonts w:hint="eastAsia" w:eastAsia="仿宋_GB2312" w:cs="仿宋_GB2312"/>
          <w:sz w:val="32"/>
          <w:szCs w:val="32"/>
        </w:rPr>
        <w:t>米高排气筒（DA00</w:t>
      </w:r>
      <w:r>
        <w:rPr>
          <w:rFonts w:hint="eastAsia" w:eastAsia="仿宋_GB2312" w:cs="仿宋_GB2312"/>
          <w:sz w:val="32"/>
          <w:szCs w:val="32"/>
          <w:lang w:val="en-US" w:eastAsia="zh-CN"/>
        </w:rPr>
        <w:t>2</w:t>
      </w:r>
      <w:r>
        <w:rPr>
          <w:rFonts w:hint="eastAsia" w:eastAsia="仿宋_GB2312" w:cs="仿宋_GB2312"/>
          <w:sz w:val="32"/>
          <w:szCs w:val="32"/>
        </w:rPr>
        <w:t>）排放，</w:t>
      </w:r>
      <w:r>
        <w:rPr>
          <w:rFonts w:hint="eastAsia" w:eastAsia="仿宋_GB2312" w:cs="仿宋_GB2312"/>
          <w:sz w:val="32"/>
          <w:szCs w:val="32"/>
          <w:lang w:val="en-US" w:eastAsia="zh-CN"/>
        </w:rPr>
        <w:t>须确保有组织</w:t>
      </w:r>
      <w:r>
        <w:rPr>
          <w:rFonts w:hint="eastAsia" w:eastAsia="仿宋_GB2312" w:cs="仿宋_GB2312"/>
          <w:sz w:val="32"/>
          <w:szCs w:val="32"/>
        </w:rPr>
        <w:t>外排的</w:t>
      </w:r>
      <w:r>
        <w:rPr>
          <w:rFonts w:hint="eastAsia" w:eastAsia="仿宋_GB2312" w:cs="仿宋_GB2312"/>
          <w:sz w:val="32"/>
          <w:szCs w:val="32"/>
          <w:lang w:val="en-US" w:eastAsia="zh-CN"/>
        </w:rPr>
        <w:t>非甲烷总烃</w:t>
      </w:r>
      <w:r>
        <w:rPr>
          <w:rFonts w:hint="eastAsia" w:eastAsia="仿宋_GB2312" w:cs="仿宋_GB2312"/>
          <w:sz w:val="32"/>
          <w:szCs w:val="32"/>
        </w:rPr>
        <w:t>排放浓度和速率达到GB 16297-1996《大气污染物综合排放标准》中表2新污染源大气污染物排放限值二级排放标准要求。</w:t>
      </w:r>
    </w:p>
    <w:p w14:paraId="04360A8C">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sz w:val="32"/>
          <w:szCs w:val="32"/>
          <w:lang w:val="en-US" w:eastAsia="zh-CN"/>
        </w:rPr>
        <w:t>项目焊接工序产生的废气经移动式焊接烟尘净化器处理后无组织排放，涂胶、切割等工序产生的废气无组织排放，须设置抽排风系统、加强车间通风，确保厂界外的颗粒物、非甲烷总烃排放</w:t>
      </w:r>
      <w:bookmarkStart w:id="0" w:name="_GoBack"/>
      <w:bookmarkEnd w:id="0"/>
      <w:r>
        <w:rPr>
          <w:rFonts w:hint="eastAsia" w:eastAsia="仿宋_GB2312" w:cs="仿宋_GB2312"/>
          <w:sz w:val="32"/>
          <w:szCs w:val="32"/>
          <w:lang w:val="en-US" w:eastAsia="zh-CN"/>
        </w:rPr>
        <w:t>浓度达到GB 16297-1996《大气污染物综合排放标准》</w:t>
      </w:r>
      <w:r>
        <w:rPr>
          <w:rFonts w:hint="eastAsia" w:eastAsia="仿宋_GB2312" w:cs="仿宋_GB2312"/>
          <w:color w:val="000000"/>
          <w:sz w:val="32"/>
          <w:szCs w:val="32"/>
        </w:rPr>
        <w:t>表2新污染源大气污染物排放限值</w:t>
      </w:r>
      <w:r>
        <w:rPr>
          <w:rFonts w:hint="eastAsia" w:eastAsia="仿宋_GB2312" w:cs="仿宋_GB2312"/>
          <w:color w:val="000000"/>
          <w:sz w:val="32"/>
          <w:szCs w:val="32"/>
          <w:lang w:eastAsia="zh-CN"/>
        </w:rPr>
        <w:t>中无</w:t>
      </w:r>
      <w:r>
        <w:rPr>
          <w:rFonts w:hint="eastAsia" w:eastAsia="仿宋_GB2312" w:cs="仿宋_GB2312"/>
          <w:color w:val="000000"/>
          <w:sz w:val="32"/>
          <w:szCs w:val="32"/>
          <w:lang w:val="en-US" w:eastAsia="zh-CN"/>
        </w:rPr>
        <w:t>组织</w:t>
      </w:r>
      <w:r>
        <w:rPr>
          <w:rFonts w:hint="eastAsia" w:eastAsia="仿宋_GB2312" w:cs="仿宋_GB2312"/>
          <w:color w:val="000000"/>
          <w:sz w:val="32"/>
          <w:szCs w:val="32"/>
        </w:rPr>
        <w:t>排放</w:t>
      </w:r>
      <w:r>
        <w:rPr>
          <w:rFonts w:hint="eastAsia" w:eastAsia="仿宋_GB2312" w:cs="仿宋_GB2312"/>
          <w:color w:val="000000"/>
          <w:sz w:val="32"/>
          <w:szCs w:val="32"/>
          <w:lang w:val="en-US" w:eastAsia="zh-CN"/>
        </w:rPr>
        <w:t>监控浓度限值</w:t>
      </w:r>
      <w:r>
        <w:rPr>
          <w:rFonts w:hint="eastAsia" w:eastAsia="仿宋_GB2312" w:cs="仿宋_GB2312"/>
          <w:color w:val="000000"/>
          <w:sz w:val="32"/>
          <w:szCs w:val="32"/>
        </w:rPr>
        <w:t>标准要求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厂区内非甲烷总烃无组织排放浓度</w:t>
      </w:r>
      <w:r>
        <w:rPr>
          <w:rFonts w:hint="eastAsia" w:ascii="Times New Roman" w:hAnsi="Times New Roman" w:eastAsia="仿宋_GB2312" w:cs="仿宋_GB2312"/>
          <w:color w:val="000000"/>
          <w:sz w:val="32"/>
          <w:szCs w:val="32"/>
          <w:lang w:val="en-US" w:eastAsia="zh-CN"/>
        </w:rPr>
        <w:t>达到</w:t>
      </w:r>
      <w:r>
        <w:rPr>
          <w:rFonts w:hint="eastAsia" w:ascii="Times New Roman" w:hAnsi="Times New Roman" w:eastAsia="仿宋_GB2312" w:cs="仿宋_GB2312"/>
          <w:color w:val="000000"/>
          <w:sz w:val="32"/>
          <w:szCs w:val="32"/>
        </w:rPr>
        <w:t>GB</w:t>
      </w:r>
      <w:r>
        <w:rPr>
          <w:rFonts w:hint="eastAsia" w:ascii="Times New Roman" w:hAnsi="Times New Roman" w:eastAsia="仿宋_GB2312" w:cs="仿宋_GB2312"/>
          <w:color w:val="000000"/>
          <w:sz w:val="32"/>
          <w:szCs w:val="32"/>
          <w:lang w:val="en-US" w:eastAsia="zh-CN"/>
        </w:rPr>
        <w:t xml:space="preserve"> 37822</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19</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挥发性有机物无组织排放控制</w:t>
      </w:r>
      <w:r>
        <w:rPr>
          <w:rFonts w:hint="eastAsia" w:ascii="Times New Roman" w:hAnsi="Times New Roman" w:eastAsia="仿宋_GB2312" w:cs="仿宋_GB2312"/>
          <w:color w:val="000000"/>
          <w:sz w:val="32"/>
          <w:szCs w:val="32"/>
        </w:rPr>
        <w:t>标准》</w:t>
      </w:r>
      <w:r>
        <w:rPr>
          <w:rFonts w:hint="eastAsia" w:ascii="Times New Roman" w:hAnsi="Times New Roman" w:eastAsia="仿宋_GB2312" w:cs="仿宋_GB2312"/>
          <w:color w:val="000000"/>
          <w:sz w:val="32"/>
          <w:szCs w:val="32"/>
          <w:lang w:val="en-US" w:eastAsia="zh-CN"/>
        </w:rPr>
        <w:t>中</w:t>
      </w:r>
      <w:r>
        <w:rPr>
          <w:rFonts w:hint="eastAsia" w:ascii="Times New Roman" w:hAnsi="Times New Roman" w:eastAsia="仿宋_GB2312" w:cs="仿宋_GB2312"/>
          <w:color w:val="000000"/>
          <w:sz w:val="32"/>
          <w:szCs w:val="32"/>
        </w:rPr>
        <w:t>表A.1厂区内</w:t>
      </w:r>
      <w:r>
        <w:rPr>
          <w:rFonts w:hint="eastAsia" w:ascii="Times New Roman" w:hAnsi="Times New Roman" w:eastAsia="仿宋_GB2312" w:cs="仿宋_GB2312"/>
          <w:color w:val="000000"/>
          <w:sz w:val="32"/>
          <w:szCs w:val="32"/>
          <w:lang w:val="en-US" w:eastAsia="zh-CN"/>
        </w:rPr>
        <w:t>VOC</w:t>
      </w:r>
      <w:r>
        <w:rPr>
          <w:rFonts w:hint="eastAsia" w:ascii="Times New Roman" w:hAnsi="Times New Roman" w:eastAsia="仿宋_GB2312" w:cs="仿宋_GB2312"/>
          <w:color w:val="000000"/>
          <w:sz w:val="32"/>
          <w:szCs w:val="32"/>
          <w:vertAlign w:val="subscript"/>
          <w:lang w:val="en-US" w:eastAsia="zh-CN"/>
        </w:rPr>
        <w:t>S</w:t>
      </w:r>
      <w:r>
        <w:rPr>
          <w:rFonts w:hint="eastAsia" w:ascii="Times New Roman" w:hAnsi="Times New Roman" w:eastAsia="仿宋_GB2312" w:cs="仿宋_GB2312"/>
          <w:color w:val="000000"/>
          <w:sz w:val="32"/>
          <w:szCs w:val="32"/>
        </w:rPr>
        <w:t>无组织排放</w:t>
      </w:r>
      <w:r>
        <w:rPr>
          <w:rFonts w:hint="eastAsia" w:ascii="Times New Roman" w:hAnsi="Times New Roman" w:eastAsia="仿宋_GB2312" w:cs="仿宋_GB2312"/>
          <w:color w:val="000000"/>
          <w:sz w:val="32"/>
          <w:szCs w:val="32"/>
          <w:lang w:val="en-US" w:eastAsia="zh-CN"/>
        </w:rPr>
        <w:t>限值要求</w:t>
      </w:r>
      <w:r>
        <w:rPr>
          <w:rFonts w:hint="eastAsia" w:ascii="Times New Roman" w:hAnsi="Times New Roman" w:eastAsia="仿宋_GB2312" w:cs="仿宋_GB2312"/>
          <w:color w:val="000000"/>
          <w:sz w:val="32"/>
          <w:szCs w:val="32"/>
          <w:lang w:eastAsia="zh-CN"/>
        </w:rPr>
        <w:t>。</w:t>
      </w:r>
    </w:p>
    <w:p w14:paraId="14DA378E">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不产生</w:t>
      </w:r>
      <w:r>
        <w:rPr>
          <w:rFonts w:hint="eastAsia" w:eastAsia="仿宋_GB2312" w:cs="仿宋_GB2312"/>
          <w:color w:val="000000"/>
          <w:sz w:val="32"/>
          <w:szCs w:val="32"/>
        </w:rPr>
        <w:t>生产废水</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生活污水</w:t>
      </w:r>
      <w:r>
        <w:rPr>
          <w:rFonts w:hint="eastAsia" w:eastAsia="仿宋_GB2312" w:cs="仿宋_GB2312"/>
          <w:color w:val="000000" w:themeColor="text1"/>
          <w:sz w:val="32"/>
          <w:szCs w:val="32"/>
          <w:lang w:val="en-US" w:eastAsia="zh-CN"/>
          <w14:textFill>
            <w14:solidFill>
              <w14:schemeClr w14:val="tx1"/>
            </w14:solidFill>
          </w14:textFill>
        </w:rPr>
        <w:t>经化粪池处理达到GB 8978-1996《污水综合排放标准》三级标准后排入沙埔镇污水处理厂进行处理。</w:t>
      </w:r>
    </w:p>
    <w:p w14:paraId="137FF4E7">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优化总平面布置，选择低噪先进的设备。对噪声源较大的冷轧成型机、空压机、切割机、电焊机、立式剪板机等高噪声设备采取消声、减振措施后，确保厂界噪声达到GB 12348-2008《工业企业厂界环境噪声排放标准》3类标准要求。</w:t>
      </w:r>
    </w:p>
    <w:p w14:paraId="4B6B516D">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kern w:val="2"/>
          <w:sz w:val="32"/>
          <w:szCs w:val="32"/>
          <w:lang w:val="en-US" w:eastAsia="zh-CN" w:bidi="ar-SA"/>
        </w:rPr>
        <w:t>项目须做好滤筒除尘器收集尘的回用和管理，禁止丢弃、倾倒等非法处置。</w:t>
      </w:r>
    </w:p>
    <w:p w14:paraId="7BB82DA3">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做好一般固体废物的综合利用和妥善处置工作。对焊渣、边角料、一般废包装材料、切割沉降粉尘集中收集后外售处置；灰渣经收集后供给周边农户用作农肥；生活垃圾由环卫部门定期清运处理。须按GB 18599-2020《一般工业固体废物贮存和填埋污染控制标准》要求，建设规范的一般固体废物贮存设施。</w:t>
      </w:r>
    </w:p>
    <w:p w14:paraId="1F16900F">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18597-2023《危险废物贮存污染控制标准》及其修改单的要求，建设规范的</w:t>
      </w:r>
      <w:r>
        <w:rPr>
          <w:rFonts w:hint="eastAsia" w:eastAsia="仿宋_GB2312" w:cs="仿宋_GB2312"/>
          <w:color w:val="000000" w:themeColor="text1"/>
          <w:sz w:val="32"/>
          <w:szCs w:val="32"/>
          <w:lang w:val="en-US" w:eastAsia="zh-CN"/>
          <w14:textFill>
            <w14:solidFill>
              <w14:schemeClr w14:val="tx1"/>
            </w14:solidFill>
          </w14:textFill>
        </w:rPr>
        <w:t>废润滑油、废润滑油桶、废含油抹布及劳保用品和废活性炭</w:t>
      </w:r>
      <w:r>
        <w:rPr>
          <w:rFonts w:hint="eastAsia" w:eastAsia="仿宋_GB2312" w:cs="仿宋_GB2312"/>
          <w:color w:val="000000"/>
          <w:sz w:val="32"/>
          <w:szCs w:val="32"/>
        </w:rPr>
        <w:t>的收集临时存放设施，并设立明显的危废标志，危险废物须定期收集并交由有危险废物处置资质的单位按规定处理、处置，不得随意堆放、擅自外排。做好危险废物处置及转移联单的台</w:t>
      </w:r>
      <w:r>
        <w:rPr>
          <w:rFonts w:hint="eastAsia" w:eastAsia="仿宋_GB2312" w:cs="仿宋_GB2312"/>
          <w:color w:val="000000"/>
          <w:sz w:val="32"/>
          <w:szCs w:val="32"/>
          <w:lang w:val="en-US" w:eastAsia="zh-CN"/>
        </w:rPr>
        <w:t>账</w:t>
      </w:r>
      <w:r>
        <w:rPr>
          <w:rFonts w:hint="eastAsia" w:eastAsia="仿宋_GB2312" w:cs="仿宋_GB2312"/>
          <w:color w:val="000000"/>
          <w:sz w:val="32"/>
          <w:szCs w:val="32"/>
        </w:rPr>
        <w:t>记录。</w:t>
      </w:r>
    </w:p>
    <w:p w14:paraId="5A28F8A3">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按分区防渗原则落实各项防渗措施。</w:t>
      </w:r>
      <w:r>
        <w:rPr>
          <w:rFonts w:hint="eastAsia" w:ascii="Times New Roman" w:hAnsi="Times New Roman" w:eastAsia="仿宋_GB2312" w:cs="仿宋_GB2312"/>
          <w:color w:val="000000"/>
          <w:sz w:val="32"/>
          <w:szCs w:val="32"/>
          <w:lang w:val="en-US" w:eastAsia="zh-CN"/>
        </w:rPr>
        <w:t>参照</w:t>
      </w:r>
      <w:r>
        <w:rPr>
          <w:rFonts w:hint="eastAsia" w:ascii="Times New Roman" w:hAnsi="Times New Roman" w:eastAsia="仿宋_GB2312" w:cs="仿宋_GB2312"/>
          <w:color w:val="000000"/>
          <w:sz w:val="32"/>
          <w:szCs w:val="32"/>
        </w:rPr>
        <w:t>HJ 610</w:t>
      </w:r>
      <w:r>
        <w:rPr>
          <w:rFonts w:hint="eastAsia"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2016</w:t>
      </w:r>
      <w:r>
        <w:rPr>
          <w:rFonts w:hint="eastAsia" w:ascii="Times New Roman" w:hAnsi="Times New Roman" w:eastAsia="仿宋_GB2312" w:cs="仿宋_GB2312"/>
          <w:color w:val="000000"/>
          <w:sz w:val="32"/>
          <w:szCs w:val="32"/>
          <w:lang w:eastAsia="zh-CN"/>
        </w:rPr>
        <w:t>《环境影响评价技术导则</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地下水环境》</w:t>
      </w:r>
      <w:r>
        <w:rPr>
          <w:rFonts w:hint="eastAsia" w:ascii="Times New Roman" w:hAnsi="Times New Roman" w:eastAsia="仿宋_GB2312" w:cs="仿宋_GB2312"/>
          <w:color w:val="000000"/>
          <w:sz w:val="32"/>
          <w:szCs w:val="32"/>
          <w:lang w:val="en-US" w:eastAsia="zh-CN"/>
        </w:rPr>
        <w:t>中建设项目污染防控对策要求和GB 18597-2023《危险废物贮存污染控制标准》中贮存设施污染控制要求，须对工艺、管道、设备、</w:t>
      </w:r>
      <w:r>
        <w:rPr>
          <w:rFonts w:hint="eastAsia" w:eastAsia="仿宋_GB2312" w:cs="仿宋_GB2312"/>
          <w:color w:val="000000"/>
          <w:sz w:val="32"/>
          <w:szCs w:val="32"/>
          <w:lang w:val="en-US" w:eastAsia="zh-CN"/>
        </w:rPr>
        <w:t>设施</w:t>
      </w:r>
      <w:r>
        <w:rPr>
          <w:rFonts w:hint="eastAsia" w:ascii="Times New Roman" w:hAnsi="Times New Roman" w:eastAsia="仿宋_GB2312" w:cs="仿宋_GB2312"/>
          <w:color w:val="000000"/>
          <w:sz w:val="32"/>
          <w:szCs w:val="32"/>
          <w:lang w:val="en-US" w:eastAsia="zh-CN"/>
        </w:rPr>
        <w:t>采取污染防控措施，将污染物跑、冒、滴、漏降到最低限度；</w:t>
      </w:r>
      <w:r>
        <w:rPr>
          <w:rFonts w:hint="eastAsia" w:ascii="Times New Roman" w:hAnsi="Times New Roman" w:eastAsia="仿宋_GB2312" w:cs="仿宋_GB2312"/>
          <w:color w:val="000000"/>
          <w:sz w:val="32"/>
          <w:szCs w:val="32"/>
        </w:rPr>
        <w:t>须对</w:t>
      </w:r>
      <w:r>
        <w:rPr>
          <w:rFonts w:hint="eastAsia" w:ascii="Times New Roman" w:hAnsi="Times New Roman" w:eastAsia="仿宋_GB2312" w:cs="仿宋_GB2312"/>
          <w:color w:val="000000"/>
          <w:sz w:val="32"/>
          <w:szCs w:val="32"/>
          <w:lang w:val="en-US" w:eastAsia="zh-CN"/>
        </w:rPr>
        <w:t>彩涂卷</w:t>
      </w:r>
      <w:r>
        <w:rPr>
          <w:rFonts w:hint="eastAsia" w:ascii="Times New Roman" w:hAnsi="Times New Roman" w:eastAsia="仿宋_GB2312" w:cs="仿宋_GB2312"/>
          <w:color w:val="000000"/>
          <w:sz w:val="32"/>
          <w:szCs w:val="32"/>
        </w:rPr>
        <w:t>原料</w:t>
      </w:r>
      <w:r>
        <w:rPr>
          <w:rFonts w:hint="eastAsia" w:ascii="Times New Roman" w:hAnsi="Times New Roman" w:eastAsia="仿宋_GB2312" w:cs="仿宋_GB2312"/>
          <w:color w:val="000000"/>
          <w:sz w:val="32"/>
          <w:szCs w:val="32"/>
          <w:lang w:val="en-US" w:eastAsia="zh-CN"/>
        </w:rPr>
        <w:t>堆放</w:t>
      </w:r>
      <w:r>
        <w:rPr>
          <w:rFonts w:hint="eastAsia" w:ascii="Times New Roman" w:hAnsi="Times New Roman" w:eastAsia="仿宋_GB2312" w:cs="仿宋_GB2312"/>
          <w:color w:val="000000"/>
          <w:sz w:val="32"/>
          <w:szCs w:val="32"/>
        </w:rPr>
        <w:t>区、危险废物暂存间</w:t>
      </w:r>
      <w:r>
        <w:rPr>
          <w:rFonts w:hint="eastAsia" w:ascii="Times New Roman" w:hAnsi="Times New Roman" w:eastAsia="仿宋_GB2312" w:cs="仿宋_GB2312"/>
          <w:color w:val="000000"/>
          <w:sz w:val="32"/>
          <w:szCs w:val="32"/>
          <w:lang w:val="en-US" w:eastAsia="zh-CN"/>
        </w:rPr>
        <w:t>等区域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做好重点防渗</w:t>
      </w:r>
      <w:r>
        <w:rPr>
          <w:rFonts w:hint="eastAsia" w:ascii="Times New Roman" w:hAnsi="Times New Roman" w:eastAsia="仿宋_GB2312" w:cs="仿宋_GB2312"/>
          <w:color w:val="000000"/>
          <w:sz w:val="32"/>
          <w:szCs w:val="32"/>
        </w:rPr>
        <w:t>处理</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须</w:t>
      </w:r>
      <w:r>
        <w:rPr>
          <w:rFonts w:hint="eastAsia" w:ascii="Times New Roman" w:hAnsi="Times New Roman" w:eastAsia="仿宋_GB2312" w:cs="仿宋_GB2312"/>
          <w:color w:val="000000"/>
          <w:sz w:val="32"/>
          <w:szCs w:val="32"/>
          <w:lang w:val="en-US" w:eastAsia="zh-CN"/>
        </w:rPr>
        <w:t>对生产车间、办公室等区域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做好简单防</w:t>
      </w:r>
      <w:r>
        <w:rPr>
          <w:rFonts w:hint="eastAsia" w:ascii="Times New Roman" w:hAnsi="Times New Roman" w:eastAsia="仿宋_GB2312" w:cs="仿宋_GB2312"/>
          <w:color w:val="000000"/>
          <w:sz w:val="32"/>
          <w:szCs w:val="32"/>
        </w:rPr>
        <w:t>渗漏处理。按照GB 15562.1-1995《环境保护图形标志—排</w:t>
      </w:r>
      <w:r>
        <w:rPr>
          <w:rFonts w:hint="eastAsia" w:eastAsia="仿宋_GB2312" w:cs="仿宋_GB2312"/>
          <w:color w:val="000000"/>
          <w:sz w:val="32"/>
          <w:szCs w:val="32"/>
          <w:lang w:val="en-US" w:eastAsia="zh-CN"/>
        </w:rPr>
        <w:t>放</w:t>
      </w:r>
      <w:r>
        <w:rPr>
          <w:rFonts w:hint="eastAsia" w:ascii="Times New Roman" w:hAnsi="Times New Roman" w:eastAsia="仿宋_GB2312" w:cs="仿宋_GB2312"/>
          <w:color w:val="000000"/>
          <w:sz w:val="32"/>
          <w:szCs w:val="32"/>
        </w:rPr>
        <w:t>口（源）》和原国家环保总局《关于开展排污口规范化整治工作的通知》（环发〔1999〕24号）附件有关规定建设规范化排污口。须按排污许可</w:t>
      </w:r>
      <w:r>
        <w:rPr>
          <w:rFonts w:hint="eastAsia" w:eastAsia="仿宋_GB2312" w:cs="仿宋_GB2312"/>
          <w:color w:val="000000"/>
          <w:sz w:val="32"/>
          <w:szCs w:val="32"/>
          <w:lang w:val="en-US" w:eastAsia="zh-CN"/>
        </w:rPr>
        <w:t>及《报告表》的</w:t>
      </w:r>
      <w:r>
        <w:rPr>
          <w:rFonts w:hint="eastAsia" w:ascii="Times New Roman" w:hAnsi="Times New Roman" w:eastAsia="仿宋_GB2312" w:cs="仿宋_GB2312"/>
          <w:color w:val="000000"/>
          <w:sz w:val="32"/>
          <w:szCs w:val="32"/>
        </w:rPr>
        <w:t>相关管理要求定期进行监测。</w:t>
      </w:r>
    </w:p>
    <w:p w14:paraId="1A9CD805">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5"/>
        <w:keepNext w:val="0"/>
        <w:keepLines w:val="0"/>
        <w:pageBreakBefore w:val="0"/>
        <w:widowControl w:val="0"/>
        <w:numPr>
          <w:ilvl w:val="2"/>
          <w:numId w:val="1"/>
        </w:numPr>
        <w:kinsoku/>
        <w:wordWrap/>
        <w:overflowPunct/>
        <w:topLinePunct w:val="0"/>
        <w:autoSpaceDE/>
        <w:autoSpaceDN/>
        <w:bidi w:val="0"/>
        <w:adjustRightInd/>
        <w:snapToGrid/>
        <w:spacing w:line="56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4F7A4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2025年</w:t>
      </w:r>
      <w:r>
        <w:rPr>
          <w:rFonts w:hint="eastAsia" w:eastAsia="仿宋_GB2312" w:cs="仿宋_GB2312"/>
          <w:color w:val="000000" w:themeColor="text1"/>
          <w:sz w:val="32"/>
          <w:szCs w:val="32"/>
          <w:lang w:val="en-US" w:eastAsia="zh-CN"/>
          <w14:textFill>
            <w14:solidFill>
              <w14:schemeClr w14:val="tx1"/>
            </w14:solidFill>
          </w14:textFill>
        </w:rPr>
        <w:t>10</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13</w:t>
      </w:r>
      <w:r>
        <w:rPr>
          <w:rFonts w:hint="eastAsia" w:eastAsia="仿宋_GB2312" w:cs="仿宋_GB2312"/>
          <w:color w:val="000000" w:themeColor="text1"/>
          <w:sz w:val="32"/>
          <w:szCs w:val="32"/>
          <w14:textFill>
            <w14:solidFill>
              <w14:schemeClr w14:val="tx1"/>
            </w14:solidFill>
          </w14:textFill>
        </w:rPr>
        <w:t>日</w:t>
      </w:r>
    </w:p>
    <w:p w14:paraId="3F17D88C">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F510DD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061C6882">
      <w:pPr>
        <w:pStyle w:val="38"/>
        <w:spacing w:beforeLines="0" w:line="240" w:lineRule="auto"/>
        <w:ind w:right="0" w:rightChars="0" w:firstLine="640"/>
        <w:jc w:val="both"/>
        <w:rPr>
          <w:rFonts w:hint="eastAsia" w:ascii="Times New Roman" w:hAnsi="Times New Roman" w:eastAsia="仿宋_GB2312" w:cs="仿宋_GB2312"/>
          <w:color w:val="000000" w:themeColor="text1"/>
          <w14:textFill>
            <w14:solidFill>
              <w14:schemeClr w14:val="tx1"/>
            </w14:solidFill>
          </w14:textFill>
        </w:rPr>
      </w:pPr>
    </w:p>
    <w:p w14:paraId="382342B9">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4057511">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3C956476">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2599763">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A7FBD02">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F517BA5">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690D08C">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85D947C">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66D4CA79">
      <w:pPr>
        <w:spacing w:line="480" w:lineRule="exact"/>
        <w:jc w:val="distribute"/>
        <w:rPr>
          <w:rFonts w:hint="default" w:eastAsia="仿宋_GB2312" w:cs="仿宋_GB2312"/>
          <w:bCs/>
          <w:color w:val="000000" w:themeColor="text1"/>
          <w:sz w:val="28"/>
          <w:szCs w:val="28"/>
          <w:u w:val="single"/>
          <w:lang w:val="en-US"/>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val="en-US" w:eastAsia="zh-CN"/>
          <w14:textFill>
            <w14:solidFill>
              <w14:schemeClr w14:val="tx1"/>
            </w14:solidFill>
          </w14:textFill>
        </w:rPr>
        <w:t xml:space="preserve">2506-450222-04-05-754927 </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2025年</w:t>
      </w:r>
      <w:r>
        <w:rPr>
          <w:rFonts w:hint="eastAsia" w:eastAsia="仿宋_GB2312" w:cs="仿宋_GB2312"/>
          <w:color w:val="000000" w:themeColor="text1"/>
          <w:u w:val="single"/>
          <w:lang w:val="en-US" w:eastAsia="zh-CN"/>
          <w14:textFill>
            <w14:solidFill>
              <w14:schemeClr w14:val="tx1"/>
            </w14:solidFill>
          </w14:textFill>
        </w:rPr>
        <w:t>10</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13</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2I1ZmU0Y2UwYmI4MzhkNGE1Nzc2MmY1NGU1YWY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0E6C42"/>
    <w:rsid w:val="0252066A"/>
    <w:rsid w:val="041F0B43"/>
    <w:rsid w:val="049F2426"/>
    <w:rsid w:val="05E05A25"/>
    <w:rsid w:val="06053772"/>
    <w:rsid w:val="086E3851"/>
    <w:rsid w:val="095A6639"/>
    <w:rsid w:val="0A410022"/>
    <w:rsid w:val="0A4D58DB"/>
    <w:rsid w:val="0AAF03C9"/>
    <w:rsid w:val="0B5A4560"/>
    <w:rsid w:val="0CCC4FEA"/>
    <w:rsid w:val="0E7A1DC9"/>
    <w:rsid w:val="0FFA73AA"/>
    <w:rsid w:val="10D00A20"/>
    <w:rsid w:val="118218DF"/>
    <w:rsid w:val="12AA36D7"/>
    <w:rsid w:val="137F1409"/>
    <w:rsid w:val="14C20BA7"/>
    <w:rsid w:val="14CC4A81"/>
    <w:rsid w:val="156839A2"/>
    <w:rsid w:val="16290DB7"/>
    <w:rsid w:val="1650447E"/>
    <w:rsid w:val="1E641526"/>
    <w:rsid w:val="20012DA5"/>
    <w:rsid w:val="21001530"/>
    <w:rsid w:val="21F661EB"/>
    <w:rsid w:val="23634FD8"/>
    <w:rsid w:val="246C599D"/>
    <w:rsid w:val="247C6E9E"/>
    <w:rsid w:val="24D44515"/>
    <w:rsid w:val="27D01156"/>
    <w:rsid w:val="27F21951"/>
    <w:rsid w:val="29EE7EF6"/>
    <w:rsid w:val="2C5C383D"/>
    <w:rsid w:val="2E82647A"/>
    <w:rsid w:val="2EA210B7"/>
    <w:rsid w:val="2ED87595"/>
    <w:rsid w:val="312B3D9E"/>
    <w:rsid w:val="321F6D79"/>
    <w:rsid w:val="322F37A1"/>
    <w:rsid w:val="32A970B0"/>
    <w:rsid w:val="340071A3"/>
    <w:rsid w:val="37FD6B8A"/>
    <w:rsid w:val="38E0334C"/>
    <w:rsid w:val="3B0D21A6"/>
    <w:rsid w:val="3B4B3979"/>
    <w:rsid w:val="3B844B5E"/>
    <w:rsid w:val="3C29347A"/>
    <w:rsid w:val="3C356139"/>
    <w:rsid w:val="40D35433"/>
    <w:rsid w:val="41E225DE"/>
    <w:rsid w:val="43000F6E"/>
    <w:rsid w:val="436C2636"/>
    <w:rsid w:val="438D657A"/>
    <w:rsid w:val="43FE2FD4"/>
    <w:rsid w:val="44056A46"/>
    <w:rsid w:val="4491418D"/>
    <w:rsid w:val="44AF6A91"/>
    <w:rsid w:val="457E617A"/>
    <w:rsid w:val="45A21C32"/>
    <w:rsid w:val="480F6AC9"/>
    <w:rsid w:val="4A863467"/>
    <w:rsid w:val="4AEC23A3"/>
    <w:rsid w:val="4D0C04AB"/>
    <w:rsid w:val="4F0022F6"/>
    <w:rsid w:val="4F2F41A5"/>
    <w:rsid w:val="4FB82BD0"/>
    <w:rsid w:val="500E27F0"/>
    <w:rsid w:val="50D61560"/>
    <w:rsid w:val="523F1387"/>
    <w:rsid w:val="530473CA"/>
    <w:rsid w:val="535B5D4C"/>
    <w:rsid w:val="551E5CEB"/>
    <w:rsid w:val="55284354"/>
    <w:rsid w:val="564C1AF9"/>
    <w:rsid w:val="56521D3A"/>
    <w:rsid w:val="57867037"/>
    <w:rsid w:val="58DA37D1"/>
    <w:rsid w:val="5C252174"/>
    <w:rsid w:val="60275934"/>
    <w:rsid w:val="628C5986"/>
    <w:rsid w:val="62A55DE6"/>
    <w:rsid w:val="643407A7"/>
    <w:rsid w:val="655A7348"/>
    <w:rsid w:val="691E364C"/>
    <w:rsid w:val="69A006B2"/>
    <w:rsid w:val="6A044068"/>
    <w:rsid w:val="6AD14E1A"/>
    <w:rsid w:val="6B453112"/>
    <w:rsid w:val="6C832144"/>
    <w:rsid w:val="6CDD66BA"/>
    <w:rsid w:val="6D3F29A4"/>
    <w:rsid w:val="6E147762"/>
    <w:rsid w:val="6E423939"/>
    <w:rsid w:val="6E6C6C08"/>
    <w:rsid w:val="6F524050"/>
    <w:rsid w:val="6F800BBD"/>
    <w:rsid w:val="6FA76BBE"/>
    <w:rsid w:val="73816CB2"/>
    <w:rsid w:val="73D0568F"/>
    <w:rsid w:val="77F1407E"/>
    <w:rsid w:val="797C1F3C"/>
    <w:rsid w:val="79B3410A"/>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after="330" w:line="578" w:lineRule="auto"/>
    </w:pPr>
    <w:rPr>
      <w:b w:val="0"/>
      <w:bCs w:val="0"/>
      <w:kern w:val="44"/>
      <w:sz w:val="44"/>
      <w:szCs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sz w:val="24"/>
    </w:rPr>
  </w:style>
  <w:style w:type="paragraph" w:styleId="5">
    <w:name w:val="Title"/>
    <w:basedOn w:val="1"/>
    <w:next w:val="1"/>
    <w:qFormat/>
    <w:uiPriority w:val="0"/>
    <w:pPr>
      <w:spacing w:before="330" w:after="340"/>
      <w:jc w:val="center"/>
      <w:outlineLvl w:val="0"/>
    </w:pPr>
    <w:rPr>
      <w:b/>
      <w:bCs/>
      <w:sz w:val="32"/>
      <w:szCs w:val="32"/>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next w:val="2"/>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7"/>
    <w:qFormat/>
    <w:uiPriority w:val="0"/>
    <w:pPr>
      <w:ind w:firstLine="420" w:firstLineChars="200"/>
    </w:pPr>
  </w:style>
  <w:style w:type="paragraph" w:customStyle="1" w:styleId="17">
    <w:name w:val="报告正文"/>
    <w:basedOn w:val="1"/>
    <w:qFormat/>
    <w:uiPriority w:val="0"/>
    <w:pPr>
      <w:tabs>
        <w:tab w:val="left" w:pos="0"/>
      </w:tabs>
      <w:spacing w:line="360" w:lineRule="auto"/>
      <w:ind w:firstLine="420" w:firstLineChars="200"/>
    </w:pPr>
    <w:rPr>
      <w:color w:val="000000"/>
    </w:r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4"/>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2754</Words>
  <Characters>2984</Characters>
  <Lines>25</Lines>
  <Paragraphs>7</Paragraphs>
  <TotalTime>9</TotalTime>
  <ScaleCrop>false</ScaleCrop>
  <LinksUpToDate>false</LinksUpToDate>
  <CharactersWithSpaces>3071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不忘初心</cp:lastModifiedBy>
  <cp:lastPrinted>2025-09-08T03:09:00Z</cp:lastPrinted>
  <dcterms:modified xsi:type="dcterms:W3CDTF">2025-10-13T03:17:51Z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229BB28358734335860F03AE8B6F53EF_13</vt:lpwstr>
  </property>
  <property fmtid="{D5CDD505-2E9C-101B-9397-08002B2CF9AE}" pid="4" name="KSOTemplateDocerSaveRecord">
    <vt:lpwstr>eyJoZGlkIjoiNjdkZjg3YzQyMDQ4ZWZkODQ0MmYzZDZjYmNhZDFiOTciLCJ1c2VySWQiOiI3NDI3NDE5MTUifQ==</vt:lpwstr>
  </property>
</Properties>
</file>