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A0EA9">
      <w:pPr>
        <w:pStyle w:val="32"/>
      </w:pPr>
    </w:p>
    <w:p w14:paraId="24EB69BE">
      <w:pPr>
        <w:pStyle w:val="32"/>
      </w:pPr>
      <w:r>
        <w:rPr>
          <w:rFonts w:hint="eastAsia"/>
        </w:rPr>
        <w:t>柳城县行政审批局文件</w:t>
      </w:r>
    </w:p>
    <w:p w14:paraId="1952C7F4">
      <w:pPr>
        <w:pStyle w:val="33"/>
        <w:spacing w:before="624"/>
        <w:rPr>
          <w:rFonts w:ascii="Times New Roman" w:hAnsi="Times New Roman" w:eastAsia="楷体_GB2312"/>
          <w:color w:val="000000"/>
          <w:sz w:val="32"/>
          <w:szCs w:val="32"/>
        </w:rPr>
      </w:pPr>
      <w:r>
        <w:rPr>
          <w:rFonts w:hint="eastAsia" w:ascii="Times New Roman" w:hAnsi="Times New Roman" w:eastAsia="仿宋_GB2312" w:cs="仿宋_GB2312"/>
        </w:rPr>
        <w:t>柳城审批项投审字</w:t>
      </w:r>
      <w:r>
        <w:rPr>
          <w:rFonts w:ascii="Times New Roman" w:hAnsi="Times New Roman" w:eastAsia="仿宋_GB2312"/>
        </w:rPr>
        <w:t>〔202</w:t>
      </w:r>
      <w:r>
        <w:rPr>
          <w:rFonts w:hint="eastAsia" w:ascii="Times New Roman" w:hAnsi="Times New Roman" w:eastAsia="仿宋_GB2312"/>
        </w:rPr>
        <w:t>5</w:t>
      </w:r>
      <w:r>
        <w:rPr>
          <w:rFonts w:ascii="Times New Roman" w:hAnsi="Times New Roman" w:eastAsia="仿宋_GB2312"/>
        </w:rPr>
        <w:t>〕</w:t>
      </w:r>
      <w:r>
        <w:rPr>
          <w:rFonts w:hint="eastAsia" w:ascii="Times New Roman" w:hAnsi="Times New Roman" w:eastAsia="仿宋_GB2312" w:cs="仿宋_GB2312"/>
          <w:lang w:val="en-US" w:eastAsia="zh-CN"/>
        </w:rPr>
        <w:t>30</w:t>
      </w:r>
      <w:r>
        <w:rPr>
          <w:rFonts w:hint="eastAsia" w:ascii="Times New Roman" w:hAnsi="Times New Roman" w:eastAsia="仿宋_GB2312" w:cs="仿宋_GB2312"/>
        </w:rPr>
        <w:t>号</w:t>
      </w:r>
    </w:p>
    <w:p w14:paraId="4BAC4154">
      <w:pPr>
        <w:spacing w:line="640" w:lineRule="exact"/>
        <w:rPr>
          <w:sz w:val="28"/>
          <w:szCs w:val="28"/>
        </w:rPr>
      </w:pPr>
      <w:r>
        <w:rPr>
          <w:rFonts w:eastAsia="黑体"/>
          <w:color w:val="FF0000"/>
          <w:sz w:val="96"/>
          <w:szCs w:val="20"/>
          <w:u w:val="single"/>
        </w:rPr>
        <w:t xml:space="preserve">      </w:t>
      </w:r>
      <w:r>
        <w:rPr>
          <w:rFonts w:hint="eastAsia" w:eastAsia="黑体"/>
          <w:color w:val="FF0000"/>
          <w:sz w:val="96"/>
          <w:szCs w:val="20"/>
          <w:u w:val="single"/>
        </w:rPr>
        <w:t xml:space="preserve">  </w:t>
      </w:r>
      <w:r>
        <w:rPr>
          <w:rFonts w:eastAsia="黑体"/>
          <w:color w:val="FF0000"/>
          <w:sz w:val="96"/>
          <w:szCs w:val="20"/>
          <w:u w:val="single"/>
        </w:rPr>
        <w:t xml:space="preserve">            </w:t>
      </w:r>
    </w:p>
    <w:p w14:paraId="12E51A55">
      <w:pPr>
        <w:pStyle w:val="34"/>
        <w:spacing w:before="100" w:line="240" w:lineRule="auto"/>
        <w:rPr>
          <w:rFonts w:hint="eastAsia" w:cs="宋体"/>
          <w:lang w:val="en-US" w:eastAsia="zh-CN"/>
        </w:rPr>
      </w:pPr>
      <w:r>
        <w:rPr>
          <w:rFonts w:hint="eastAsia" w:cs="宋体"/>
        </w:rPr>
        <w:t>关于</w:t>
      </w:r>
      <w:r>
        <w:rPr>
          <w:rFonts w:hint="eastAsia" w:cs="宋体"/>
          <w:lang w:val="en-US" w:eastAsia="zh-CN"/>
        </w:rPr>
        <w:t>柳州铭瑞新材料科技有限公司</w:t>
      </w:r>
    </w:p>
    <w:p w14:paraId="72833BF4">
      <w:pPr>
        <w:pStyle w:val="34"/>
        <w:spacing w:before="100" w:line="240" w:lineRule="auto"/>
        <w:rPr>
          <w:rFonts w:hint="eastAsia" w:cs="宋体"/>
        </w:rPr>
      </w:pPr>
      <w:r>
        <w:rPr>
          <w:rFonts w:hint="eastAsia" w:cs="宋体"/>
        </w:rPr>
        <w:t>年产1800万套汽车支座铸件项目</w:t>
      </w:r>
    </w:p>
    <w:p w14:paraId="7038CADE">
      <w:pPr>
        <w:pStyle w:val="34"/>
        <w:spacing w:before="100" w:line="240" w:lineRule="auto"/>
        <w:rPr>
          <w:rFonts w:cs="宋体"/>
        </w:rPr>
      </w:pPr>
      <w:r>
        <w:rPr>
          <w:rFonts w:hint="eastAsia" w:cs="宋体"/>
        </w:rPr>
        <w:t>环境影响报告表的批复</w:t>
      </w:r>
    </w:p>
    <w:p w14:paraId="13A60381">
      <w:pPr>
        <w:pStyle w:val="35"/>
        <w:keepNext w:val="0"/>
        <w:keepLines w:val="0"/>
        <w:pageBreakBefore w:val="0"/>
        <w:widowControl w:val="0"/>
        <w:kinsoku/>
        <w:wordWrap/>
        <w:overflowPunct/>
        <w:topLinePunct w:val="0"/>
        <w:autoSpaceDE/>
        <w:autoSpaceDN/>
        <w:bidi w:val="0"/>
        <w:adjustRightInd/>
        <w:snapToGrid/>
        <w:spacing w:before="312" w:line="520" w:lineRule="exac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柳州铭瑞新材料科技有限公司：</w:t>
      </w:r>
    </w:p>
    <w:p w14:paraId="34CB166F">
      <w:pPr>
        <w:pStyle w:val="3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仿宋_GB2312"/>
          <w:color w:val="000000"/>
          <w:kern w:val="2"/>
          <w:sz w:val="32"/>
          <w:szCs w:val="32"/>
          <w:lang w:val="en-US" w:eastAsia="zh-CN" w:bidi="ar-SA"/>
        </w:rPr>
      </w:pPr>
      <w:bookmarkStart w:id="0" w:name="_GoBack"/>
      <w:r>
        <w:rPr>
          <w:rFonts w:hint="eastAsia" w:ascii="Times New Roman" w:hAnsi="Times New Roman" w:eastAsia="仿宋_GB2312" w:cs="仿宋_GB2312"/>
          <w:color w:val="000000"/>
          <w:kern w:val="2"/>
          <w:sz w:val="32"/>
          <w:szCs w:val="32"/>
          <w:lang w:val="en-US" w:eastAsia="zh-CN" w:bidi="ar-SA"/>
        </w:rPr>
        <w:t>你公司报来《年产1800万套汽车支座铸件项目环境影响报告表》（以下简称《报告表》）收悉。经我局审核，现批复如下：</w:t>
      </w:r>
    </w:p>
    <w:p w14:paraId="55D4CEB3">
      <w:pPr>
        <w:pStyle w:val="3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本项目为</w:t>
      </w:r>
      <w:r>
        <w:rPr>
          <w:rFonts w:hint="eastAsia" w:eastAsia="仿宋_GB2312" w:cs="仿宋_GB2312"/>
          <w:color w:val="000000"/>
          <w:kern w:val="2"/>
          <w:sz w:val="32"/>
          <w:szCs w:val="32"/>
          <w:lang w:val="en-US" w:eastAsia="zh-CN" w:bidi="ar-SA"/>
        </w:rPr>
        <w:t>新建</w:t>
      </w:r>
      <w:r>
        <w:rPr>
          <w:rFonts w:hint="eastAsia" w:ascii="Times New Roman" w:hAnsi="Times New Roman" w:eastAsia="仿宋_GB2312" w:cs="仿宋_GB2312"/>
          <w:color w:val="000000"/>
          <w:kern w:val="2"/>
          <w:sz w:val="32"/>
          <w:szCs w:val="32"/>
          <w:lang w:val="en-US" w:eastAsia="zh-CN" w:bidi="ar-SA"/>
        </w:rPr>
        <w:t>工程，位于广西壮族自治区柳州市柳城县沙埔工业园兴达路8号</w:t>
      </w:r>
      <w:r>
        <w:rPr>
          <w:rFonts w:hint="eastAsia" w:eastAsia="仿宋_GB2312" w:cs="仿宋_GB2312"/>
          <w:color w:val="000000"/>
          <w:kern w:val="2"/>
          <w:sz w:val="32"/>
          <w:szCs w:val="32"/>
          <w:lang w:val="en-US" w:eastAsia="zh-CN" w:bidi="ar-SA"/>
        </w:rPr>
        <w:t>，占地面积6174平方米</w:t>
      </w:r>
      <w:r>
        <w:rPr>
          <w:rFonts w:hint="eastAsia" w:ascii="Times New Roman" w:hAnsi="Times New Roman" w:eastAsia="仿宋_GB2312" w:cs="仿宋_GB2312"/>
          <w:color w:val="000000"/>
          <w:kern w:val="2"/>
          <w:sz w:val="32"/>
          <w:szCs w:val="32"/>
          <w:lang w:val="en-US" w:eastAsia="zh-CN" w:bidi="ar-SA"/>
        </w:rPr>
        <w:t>。建设规模：</w:t>
      </w:r>
      <w:r>
        <w:rPr>
          <w:rFonts w:hint="eastAsia" w:eastAsia="仿宋_GB2312" w:cs="仿宋_GB2312"/>
          <w:color w:val="000000"/>
          <w:kern w:val="2"/>
          <w:sz w:val="32"/>
          <w:szCs w:val="32"/>
          <w:lang w:val="en-US" w:eastAsia="zh-CN" w:bidi="ar-SA"/>
        </w:rPr>
        <w:t>建设年产1800万套汽车支座铸件、1万个阀门、5万个燃气开关生产线。</w:t>
      </w:r>
    </w:p>
    <w:p w14:paraId="502DC679">
      <w:pPr>
        <w:pStyle w:val="3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项目建设内容包括主体工程（</w:t>
      </w:r>
      <w:r>
        <w:rPr>
          <w:rFonts w:hint="eastAsia" w:eastAsia="仿宋_GB2312" w:cs="仿宋_GB2312"/>
          <w:color w:val="000000"/>
          <w:kern w:val="2"/>
          <w:sz w:val="32"/>
          <w:szCs w:val="32"/>
          <w:lang w:val="en-US" w:eastAsia="zh-CN" w:bidi="ar-SA"/>
        </w:rPr>
        <w:t>生产厂房含2个容积均为2立方米的酸洗槽与1个容积为4立方米的清洗槽、天然气间、后处理车间等</w:t>
      </w:r>
      <w:r>
        <w:rPr>
          <w:rFonts w:hint="eastAsia" w:ascii="Times New Roman" w:hAnsi="Times New Roman" w:eastAsia="仿宋_GB2312" w:cs="仿宋_GB2312"/>
          <w:color w:val="000000"/>
          <w:kern w:val="2"/>
          <w:sz w:val="32"/>
          <w:szCs w:val="32"/>
          <w:lang w:val="en-US" w:eastAsia="zh-CN" w:bidi="ar-SA"/>
        </w:rPr>
        <w:t>）、储运工程（</w:t>
      </w:r>
      <w:r>
        <w:rPr>
          <w:rFonts w:hint="eastAsia" w:eastAsia="仿宋_GB2312" w:cs="仿宋_GB2312"/>
          <w:color w:val="000000"/>
          <w:kern w:val="2"/>
          <w:sz w:val="32"/>
          <w:szCs w:val="32"/>
          <w:lang w:val="en-US" w:eastAsia="zh-CN" w:bidi="ar-SA"/>
        </w:rPr>
        <w:t>原料区、临时原料区、半成品区、成品区等</w:t>
      </w:r>
      <w:r>
        <w:rPr>
          <w:rFonts w:hint="eastAsia" w:ascii="Times New Roman" w:hAnsi="Times New Roman" w:eastAsia="仿宋_GB2312" w:cs="仿宋_GB2312"/>
          <w:color w:val="000000"/>
          <w:kern w:val="2"/>
          <w:sz w:val="32"/>
          <w:szCs w:val="32"/>
          <w:lang w:val="en-US" w:eastAsia="zh-CN" w:bidi="ar-SA"/>
        </w:rPr>
        <w:t>）、</w:t>
      </w:r>
      <w:r>
        <w:rPr>
          <w:rFonts w:hint="eastAsia" w:eastAsia="仿宋_GB2312" w:cs="仿宋_GB2312"/>
          <w:color w:val="000000"/>
          <w:kern w:val="2"/>
          <w:sz w:val="32"/>
          <w:szCs w:val="32"/>
          <w:lang w:val="en-US" w:eastAsia="zh-CN" w:bidi="ar-SA"/>
        </w:rPr>
        <w:t>公用工程（给水、排水、供电、供热等）、</w:t>
      </w:r>
      <w:r>
        <w:rPr>
          <w:rFonts w:hint="eastAsia" w:ascii="Times New Roman" w:hAnsi="Times New Roman" w:eastAsia="仿宋_GB2312" w:cs="仿宋_GB2312"/>
          <w:color w:val="000000"/>
          <w:kern w:val="2"/>
          <w:sz w:val="32"/>
          <w:szCs w:val="32"/>
          <w:lang w:val="en-US" w:eastAsia="zh-CN" w:bidi="ar-SA"/>
        </w:rPr>
        <w:t>环保工程（</w:t>
      </w:r>
      <w:r>
        <w:rPr>
          <w:rFonts w:hint="eastAsia" w:eastAsia="仿宋_GB2312" w:cs="仿宋_GB2312"/>
          <w:color w:val="000000"/>
          <w:kern w:val="2"/>
          <w:sz w:val="32"/>
          <w:szCs w:val="32"/>
          <w:lang w:val="en-US" w:eastAsia="zh-CN" w:bidi="ar-SA"/>
        </w:rPr>
        <w:t>4根15米高的排气筒、3套布袋除尘器、1套碱液喷淋装置、1套活性炭吸附装置、1个10平方米的危险废物暂存间、1个50平方米的一般固废暂存区</w:t>
      </w:r>
      <w:r>
        <w:rPr>
          <w:rFonts w:hint="eastAsia" w:ascii="Times New Roman" w:hAnsi="Times New Roman" w:eastAsia="仿宋_GB2312" w:cs="仿宋_GB2312"/>
          <w:color w:val="000000"/>
          <w:kern w:val="2"/>
          <w:sz w:val="32"/>
          <w:szCs w:val="32"/>
          <w:lang w:val="en-US" w:eastAsia="zh-CN" w:bidi="ar-SA"/>
        </w:rPr>
        <w:t>等）</w:t>
      </w:r>
      <w:r>
        <w:rPr>
          <w:rFonts w:hint="eastAsia" w:eastAsia="仿宋_GB2312" w:cs="仿宋_GB2312"/>
          <w:color w:val="000000"/>
          <w:kern w:val="2"/>
          <w:sz w:val="32"/>
          <w:szCs w:val="32"/>
          <w:lang w:val="en-US" w:eastAsia="zh-CN" w:bidi="ar-SA"/>
        </w:rPr>
        <w:t>，详见《报告表》。</w:t>
      </w:r>
    </w:p>
    <w:p w14:paraId="4BC08BC1">
      <w:pPr>
        <w:pStyle w:val="3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项目不涉及自然保护区、饮用水源保护区、文物保护单位、地质公园、风景名胜区、基本农田等特殊保护对象。项目总投资</w:t>
      </w:r>
      <w:r>
        <w:rPr>
          <w:rFonts w:hint="eastAsia" w:eastAsia="仿宋_GB2312" w:cs="仿宋_GB2312"/>
          <w:color w:val="000000"/>
          <w:kern w:val="2"/>
          <w:sz w:val="32"/>
          <w:szCs w:val="32"/>
          <w:lang w:val="en-US" w:eastAsia="zh-CN" w:bidi="ar-SA"/>
        </w:rPr>
        <w:t>600</w:t>
      </w:r>
      <w:r>
        <w:rPr>
          <w:rFonts w:hint="eastAsia" w:ascii="Times New Roman" w:hAnsi="Times New Roman" w:eastAsia="仿宋_GB2312" w:cs="仿宋_GB2312"/>
          <w:color w:val="000000"/>
          <w:kern w:val="2"/>
          <w:sz w:val="32"/>
          <w:szCs w:val="32"/>
          <w:lang w:val="en-US" w:eastAsia="zh-CN" w:bidi="ar-SA"/>
        </w:rPr>
        <w:t>.00万元，其中环保投资</w:t>
      </w:r>
      <w:r>
        <w:rPr>
          <w:rFonts w:hint="eastAsia" w:eastAsia="仿宋_GB2312" w:cs="仿宋_GB2312"/>
          <w:color w:val="000000"/>
          <w:kern w:val="2"/>
          <w:sz w:val="32"/>
          <w:szCs w:val="32"/>
          <w:lang w:val="en-US" w:eastAsia="zh-CN" w:bidi="ar-SA"/>
        </w:rPr>
        <w:t>47.25</w:t>
      </w:r>
      <w:r>
        <w:rPr>
          <w:rFonts w:hint="eastAsia" w:ascii="Times New Roman" w:hAnsi="Times New Roman" w:eastAsia="仿宋_GB2312" w:cs="仿宋_GB2312"/>
          <w:color w:val="000000"/>
          <w:kern w:val="2"/>
          <w:sz w:val="32"/>
          <w:szCs w:val="32"/>
          <w:lang w:val="en-US" w:eastAsia="zh-CN" w:bidi="ar-SA"/>
        </w:rPr>
        <w:t>万元，占比</w:t>
      </w:r>
      <w:r>
        <w:rPr>
          <w:rFonts w:hint="eastAsia" w:eastAsia="仿宋_GB2312" w:cs="仿宋_GB2312"/>
          <w:color w:val="000000"/>
          <w:kern w:val="2"/>
          <w:sz w:val="32"/>
          <w:szCs w:val="32"/>
          <w:lang w:val="en-US" w:eastAsia="zh-CN" w:bidi="ar-SA"/>
        </w:rPr>
        <w:t>7.88</w:t>
      </w:r>
      <w:r>
        <w:rPr>
          <w:rFonts w:hint="eastAsia" w:ascii="Times New Roman" w:hAnsi="Times New Roman" w:eastAsia="仿宋_GB2312" w:cs="仿宋_GB2312"/>
          <w:color w:val="000000"/>
          <w:kern w:val="2"/>
          <w:sz w:val="32"/>
          <w:szCs w:val="32"/>
          <w:lang w:val="en-US" w:eastAsia="zh-CN" w:bidi="ar-SA"/>
        </w:rPr>
        <w:t>%。</w:t>
      </w:r>
    </w:p>
    <w:p w14:paraId="6F8B22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项目已获得广西壮族自治区投资项目备案证明</w:t>
      </w:r>
      <w:r>
        <w:rPr>
          <w:rFonts w:hint="eastAsia" w:eastAsia="仿宋_GB2312" w:cs="仿宋_GB2312"/>
          <w:color w:val="000000"/>
          <w:kern w:val="2"/>
          <w:sz w:val="32"/>
          <w:szCs w:val="32"/>
          <w:lang w:val="en-US" w:eastAsia="zh-CN" w:bidi="ar-SA"/>
        </w:rPr>
        <w:t>及柳城县工业区管理委员会的入园证明</w:t>
      </w:r>
      <w:r>
        <w:rPr>
          <w:rFonts w:hint="eastAsia" w:ascii="Times New Roman" w:hAnsi="Times New Roman" w:eastAsia="仿宋_GB2312" w:cs="仿宋_GB2312"/>
          <w:color w:val="000000"/>
          <w:kern w:val="2"/>
          <w:sz w:val="32"/>
          <w:szCs w:val="32"/>
          <w:lang w:val="en-US" w:eastAsia="zh-CN" w:bidi="ar-SA"/>
        </w:rPr>
        <w:t>。从环境影响角度考虑，同意你公司按照《报告表》所列的建设项目的地点、性质、规模、采取的环境保护对策措施及下述要求进行项目建设。</w:t>
      </w:r>
    </w:p>
    <w:p w14:paraId="2F7729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二、项目须落实《报告表》提出的各项环保要求，重点抓好以下环保工作：</w:t>
      </w:r>
    </w:p>
    <w:p w14:paraId="231B6AD4">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eastAsia="仿宋_GB2312" w:cs="仿宋_GB2312"/>
          <w:color w:val="000000"/>
          <w:kern w:val="2"/>
          <w:sz w:val="32"/>
          <w:szCs w:val="32"/>
          <w:lang w:val="en-US" w:eastAsia="zh-CN" w:bidi="ar-SA"/>
        </w:rPr>
        <w:t>项目制壳工序产生的废气经集气罩收集后通过布袋除尘器处理，经1根15米高的排气筒DA001排放，须确保有组织排放的颗粒物的排放浓度满足GB 39726-2020《铸造工业大气污染物排放标准》中表1大气污染物排放限值要求。</w:t>
      </w:r>
    </w:p>
    <w:p w14:paraId="1E019F64">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eastAsia="仿宋_GB2312" w:cs="仿宋_GB2312"/>
          <w:color w:val="000000"/>
          <w:kern w:val="2"/>
          <w:sz w:val="32"/>
          <w:szCs w:val="32"/>
          <w:lang w:val="en-US" w:eastAsia="zh-CN" w:bidi="ar-SA"/>
        </w:rPr>
        <w:t>项目拟建设1座额定功率为110千瓦的燃天然气焙烧炉用于壳型焙烧，1座电中频炉用于原料熔炼，1座额定蒸发量为1吨/小时的蒸汽锅炉用于熔蜡供热。项目熔化工序、脱蜡工序、焙烧工序、浇注工序、射芯造型工序、脱模工序、破碎工序、混砂工序产生的废气经集气罩收集后通过“布袋除尘器+三级活性炭”处理，经1根15米高的排气筒DA002排放，须确保有组织外排的颗粒物排放浓度满足GB 39726-2020《铸造工业大气污染物排放标准》中表1大气污染物排放限值要求；须确保有组织外排的甲醛、苯酚、非甲烷总烃、二氧化硫、氮氧化物的排放浓度和排放速率满足GB 16297-1996《大气污染物综合排放标准》中表2新污染源大气污染物排放限值二级排放标准要求。</w:t>
      </w:r>
    </w:p>
    <w:p w14:paraId="182C306F">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jc w:val="distribute"/>
        <w:textAlignment w:val="auto"/>
        <w:rPr>
          <w:rFonts w:hint="eastAsia" w:ascii="Times New Roman" w:hAnsi="Times New Roman" w:eastAsia="仿宋_GB2312" w:cs="仿宋_GB2312"/>
          <w:color w:val="000000"/>
          <w:kern w:val="2"/>
          <w:sz w:val="32"/>
          <w:szCs w:val="32"/>
          <w:lang w:val="en-US" w:eastAsia="zh-CN" w:bidi="ar-SA"/>
        </w:rPr>
      </w:pPr>
      <w:r>
        <w:rPr>
          <w:rFonts w:hint="eastAsia" w:eastAsia="仿宋_GB2312" w:cs="仿宋_GB2312"/>
          <w:color w:val="000000"/>
          <w:kern w:val="2"/>
          <w:sz w:val="32"/>
          <w:szCs w:val="32"/>
          <w:lang w:val="en-US" w:eastAsia="zh-CN" w:bidi="ar-SA"/>
        </w:rPr>
        <w:t>项目抛丸工序产生的废气与经集气罩收集的打磨工序产生的废气通过各自配套的布袋除尘器处理，经1根15米的排气筒DA003排放，须确保有组织外排的颗粒物排放浓度满</w:t>
      </w:r>
    </w:p>
    <w:p w14:paraId="187E8C40">
      <w:pPr>
        <w:pStyle w:val="54"/>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_GB2312" w:cs="仿宋_GB2312"/>
          <w:color w:val="000000"/>
          <w:kern w:val="2"/>
          <w:sz w:val="32"/>
          <w:szCs w:val="32"/>
          <w:lang w:val="en-US" w:eastAsia="zh-CN" w:bidi="ar-SA"/>
        </w:rPr>
      </w:pPr>
      <w:r>
        <w:rPr>
          <w:rFonts w:hint="eastAsia" w:eastAsia="仿宋_GB2312" w:cs="仿宋_GB2312"/>
          <w:color w:val="000000"/>
          <w:kern w:val="2"/>
          <w:sz w:val="32"/>
          <w:szCs w:val="32"/>
          <w:lang w:val="en-US" w:eastAsia="zh-CN" w:bidi="ar-SA"/>
        </w:rPr>
        <w:t>足GB 39726-2020《铸造工业大气污染物排放标准》中表1大气污染物排放限值要求。</w:t>
      </w:r>
    </w:p>
    <w:p w14:paraId="69DB61F4">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jc w:val="distribute"/>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项目</w:t>
      </w:r>
      <w:r>
        <w:rPr>
          <w:rFonts w:hint="eastAsia" w:eastAsia="仿宋_GB2312" w:cs="仿宋_GB2312"/>
          <w:color w:val="000000"/>
          <w:kern w:val="2"/>
          <w:sz w:val="32"/>
          <w:szCs w:val="32"/>
          <w:lang w:val="en-US" w:eastAsia="zh-CN" w:bidi="ar-SA"/>
        </w:rPr>
        <w:t>酸洗</w:t>
      </w:r>
      <w:r>
        <w:rPr>
          <w:rFonts w:hint="eastAsia" w:ascii="Times New Roman" w:hAnsi="Times New Roman" w:eastAsia="仿宋_GB2312" w:cs="仿宋_GB2312"/>
          <w:color w:val="000000"/>
          <w:kern w:val="2"/>
          <w:sz w:val="32"/>
          <w:szCs w:val="32"/>
          <w:lang w:val="en-US" w:eastAsia="zh-CN" w:bidi="ar-SA"/>
        </w:rPr>
        <w:t>工序产生的废气经</w:t>
      </w:r>
      <w:r>
        <w:rPr>
          <w:rFonts w:hint="eastAsia" w:eastAsia="仿宋_GB2312" w:cs="仿宋_GB2312"/>
          <w:color w:val="000000"/>
          <w:kern w:val="2"/>
          <w:sz w:val="32"/>
          <w:szCs w:val="32"/>
          <w:lang w:val="en-US" w:eastAsia="zh-CN" w:bidi="ar-SA"/>
        </w:rPr>
        <w:t>集气罩收集后通过</w:t>
      </w:r>
      <w:r>
        <w:rPr>
          <w:rFonts w:hint="eastAsia" w:ascii="Times New Roman" w:hAnsi="Times New Roman" w:eastAsia="仿宋_GB2312" w:cs="仿宋_GB2312"/>
          <w:color w:val="000000"/>
          <w:kern w:val="2"/>
          <w:sz w:val="32"/>
          <w:szCs w:val="32"/>
          <w:lang w:val="en-US" w:eastAsia="zh-CN" w:bidi="ar-SA"/>
        </w:rPr>
        <w:t>碱液喷淋塔处理</w:t>
      </w:r>
      <w:r>
        <w:rPr>
          <w:rFonts w:hint="eastAsia" w:eastAsia="仿宋_GB2312" w:cs="仿宋_GB2312"/>
          <w:color w:val="000000"/>
          <w:kern w:val="2"/>
          <w:sz w:val="32"/>
          <w:szCs w:val="32"/>
          <w:lang w:val="en-US" w:eastAsia="zh-CN" w:bidi="ar-SA"/>
        </w:rPr>
        <w:t>，经1根</w:t>
      </w:r>
      <w:r>
        <w:rPr>
          <w:rFonts w:hint="eastAsia" w:ascii="Times New Roman" w:hAnsi="Times New Roman" w:eastAsia="仿宋_GB2312" w:cs="仿宋_GB2312"/>
          <w:color w:val="000000"/>
          <w:kern w:val="2"/>
          <w:sz w:val="32"/>
          <w:szCs w:val="32"/>
          <w:lang w:val="en-US" w:eastAsia="zh-CN" w:bidi="ar-SA"/>
        </w:rPr>
        <w:t>15米的排气筒DA00</w:t>
      </w:r>
      <w:r>
        <w:rPr>
          <w:rFonts w:hint="eastAsia" w:eastAsia="仿宋_GB2312" w:cs="仿宋_GB2312"/>
          <w:color w:val="000000"/>
          <w:kern w:val="2"/>
          <w:sz w:val="32"/>
          <w:szCs w:val="32"/>
          <w:lang w:val="en-US" w:eastAsia="zh-CN" w:bidi="ar-SA"/>
        </w:rPr>
        <w:t>4</w:t>
      </w:r>
      <w:r>
        <w:rPr>
          <w:rFonts w:hint="eastAsia" w:ascii="Times New Roman" w:hAnsi="Times New Roman" w:eastAsia="仿宋_GB2312" w:cs="仿宋_GB2312"/>
          <w:color w:val="000000"/>
          <w:kern w:val="2"/>
          <w:sz w:val="32"/>
          <w:szCs w:val="32"/>
          <w:lang w:val="en-US" w:eastAsia="zh-CN" w:bidi="ar-SA"/>
        </w:rPr>
        <w:t>排放，须确保</w:t>
      </w:r>
      <w:r>
        <w:rPr>
          <w:rFonts w:hint="eastAsia" w:eastAsia="仿宋_GB2312" w:cs="仿宋_GB2312"/>
          <w:color w:val="000000"/>
          <w:kern w:val="2"/>
          <w:sz w:val="32"/>
          <w:szCs w:val="32"/>
          <w:lang w:val="en-US" w:eastAsia="zh-CN" w:bidi="ar-SA"/>
        </w:rPr>
        <w:t>有组织外排的氮氧化物、氯化氢的排放浓度和排放速率</w:t>
      </w:r>
      <w:r>
        <w:rPr>
          <w:rFonts w:hint="eastAsia" w:ascii="Times New Roman" w:hAnsi="Times New Roman" w:eastAsia="仿宋_GB2312" w:cs="仿宋_GB2312"/>
          <w:color w:val="000000"/>
          <w:kern w:val="2"/>
          <w:sz w:val="32"/>
          <w:szCs w:val="32"/>
          <w:lang w:val="en-US" w:eastAsia="zh-CN" w:bidi="ar-SA"/>
        </w:rPr>
        <w:t>满</w:t>
      </w:r>
    </w:p>
    <w:p w14:paraId="6BFDFF3E">
      <w:pPr>
        <w:pStyle w:val="54"/>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足GB 16297-1996《大气污染物综合排放标准》表2新污染源大气污染物排放限值</w:t>
      </w:r>
      <w:r>
        <w:rPr>
          <w:rFonts w:hint="eastAsia" w:eastAsia="仿宋_GB2312" w:cs="仿宋_GB2312"/>
          <w:color w:val="000000"/>
          <w:kern w:val="2"/>
          <w:sz w:val="32"/>
          <w:szCs w:val="32"/>
          <w:lang w:val="en-US" w:eastAsia="zh-CN" w:bidi="ar-SA"/>
        </w:rPr>
        <w:t>的二级排放标准要求</w:t>
      </w:r>
      <w:r>
        <w:rPr>
          <w:rFonts w:hint="eastAsia" w:ascii="Times New Roman" w:hAnsi="Times New Roman" w:eastAsia="仿宋_GB2312" w:cs="仿宋_GB2312"/>
          <w:color w:val="000000"/>
          <w:kern w:val="2"/>
          <w:sz w:val="32"/>
          <w:szCs w:val="32"/>
          <w:lang w:val="en-US" w:eastAsia="zh-CN" w:bidi="ar-SA"/>
        </w:rPr>
        <w:t>。</w:t>
      </w:r>
    </w:p>
    <w:p w14:paraId="4E6AFC49">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jc w:val="distribute"/>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项目</w:t>
      </w:r>
      <w:r>
        <w:rPr>
          <w:rFonts w:hint="eastAsia" w:eastAsia="仿宋_GB2312" w:cs="仿宋_GB2312"/>
          <w:color w:val="000000"/>
          <w:kern w:val="2"/>
          <w:sz w:val="32"/>
          <w:szCs w:val="32"/>
          <w:lang w:val="en-US" w:eastAsia="zh-CN" w:bidi="ar-SA"/>
        </w:rPr>
        <w:t>各</w:t>
      </w:r>
      <w:r>
        <w:rPr>
          <w:rFonts w:hint="eastAsia" w:ascii="Times New Roman" w:hAnsi="Times New Roman" w:eastAsia="仿宋_GB2312" w:cs="仿宋_GB2312"/>
          <w:color w:val="000000"/>
          <w:kern w:val="2"/>
          <w:sz w:val="32"/>
          <w:szCs w:val="32"/>
          <w:lang w:val="en-US" w:eastAsia="zh-CN" w:bidi="ar-SA"/>
        </w:rPr>
        <w:t>工序产生的</w:t>
      </w:r>
      <w:r>
        <w:rPr>
          <w:rFonts w:hint="eastAsia" w:eastAsia="仿宋_GB2312" w:cs="仿宋_GB2312"/>
          <w:color w:val="000000"/>
          <w:kern w:val="2"/>
          <w:sz w:val="32"/>
          <w:szCs w:val="32"/>
          <w:lang w:val="en-US" w:eastAsia="zh-CN" w:bidi="ar-SA"/>
        </w:rPr>
        <w:t>无组织</w:t>
      </w:r>
      <w:r>
        <w:rPr>
          <w:rFonts w:hint="eastAsia" w:ascii="Times New Roman" w:hAnsi="Times New Roman" w:eastAsia="仿宋_GB2312" w:cs="仿宋_GB2312"/>
          <w:color w:val="000000"/>
          <w:kern w:val="2"/>
          <w:sz w:val="32"/>
          <w:szCs w:val="32"/>
          <w:lang w:val="en-US" w:eastAsia="zh-CN" w:bidi="ar-SA"/>
        </w:rPr>
        <w:t>废气</w:t>
      </w:r>
      <w:r>
        <w:rPr>
          <w:rFonts w:hint="eastAsia" w:eastAsia="仿宋_GB2312" w:cs="仿宋_GB2312"/>
          <w:color w:val="000000"/>
          <w:kern w:val="2"/>
          <w:sz w:val="32"/>
          <w:szCs w:val="32"/>
          <w:lang w:val="en-US" w:eastAsia="zh-CN" w:bidi="ar-SA"/>
        </w:rPr>
        <w:t>需加强密闭收集等措施</w:t>
      </w:r>
      <w:r>
        <w:rPr>
          <w:rFonts w:hint="eastAsia" w:ascii="Times New Roman" w:hAnsi="Times New Roman" w:eastAsia="仿宋_GB2312" w:cs="仿宋_GB2312"/>
          <w:color w:val="000000"/>
          <w:kern w:val="2"/>
          <w:sz w:val="32"/>
          <w:szCs w:val="32"/>
          <w:lang w:val="en-US" w:eastAsia="zh-CN" w:bidi="ar-SA"/>
        </w:rPr>
        <w:t>，须确保</w:t>
      </w:r>
      <w:r>
        <w:rPr>
          <w:rFonts w:hint="eastAsia" w:eastAsia="仿宋_GB2312" w:cs="仿宋_GB2312"/>
          <w:color w:val="000000"/>
          <w:kern w:val="2"/>
          <w:sz w:val="32"/>
          <w:szCs w:val="32"/>
          <w:lang w:val="en-US" w:eastAsia="zh-CN" w:bidi="ar-SA"/>
        </w:rPr>
        <w:t>厂界无组织</w:t>
      </w:r>
      <w:r>
        <w:rPr>
          <w:rFonts w:hint="eastAsia" w:ascii="Times New Roman" w:hAnsi="Times New Roman" w:eastAsia="仿宋_GB2312" w:cs="仿宋_GB2312"/>
          <w:color w:val="000000"/>
          <w:kern w:val="2"/>
          <w:sz w:val="32"/>
          <w:szCs w:val="32"/>
          <w:lang w:val="en-US" w:eastAsia="zh-CN" w:bidi="ar-SA"/>
        </w:rPr>
        <w:t>排放</w:t>
      </w:r>
      <w:r>
        <w:rPr>
          <w:rFonts w:hint="eastAsia" w:eastAsia="仿宋_GB2312" w:cs="仿宋_GB2312"/>
          <w:color w:val="000000"/>
          <w:kern w:val="2"/>
          <w:sz w:val="32"/>
          <w:szCs w:val="32"/>
          <w:lang w:val="en-US" w:eastAsia="zh-CN" w:bidi="ar-SA"/>
        </w:rPr>
        <w:t>的</w:t>
      </w:r>
      <w:r>
        <w:rPr>
          <w:rFonts w:hint="eastAsia" w:ascii="Times New Roman" w:hAnsi="Times New Roman" w:eastAsia="仿宋_GB2312" w:cs="仿宋_GB2312"/>
          <w:color w:val="000000"/>
          <w:kern w:val="2"/>
          <w:sz w:val="32"/>
          <w:szCs w:val="32"/>
          <w:lang w:val="en-US" w:eastAsia="zh-CN" w:bidi="ar-SA"/>
        </w:rPr>
        <w:t>颗粒物</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非甲烷总烃</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苯酚</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甲醛</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氮氧化物</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氯化氢满足GB 16297-1996《大气污染物综合排放标准》表2新污染源大气污染物排放限值</w:t>
      </w:r>
      <w:r>
        <w:rPr>
          <w:rFonts w:hint="eastAsia" w:eastAsia="仿宋_GB2312" w:cs="仿宋_GB2312"/>
          <w:color w:val="000000"/>
          <w:kern w:val="2"/>
          <w:sz w:val="32"/>
          <w:szCs w:val="32"/>
          <w:lang w:val="en-US" w:eastAsia="zh-CN" w:bidi="ar-SA"/>
        </w:rPr>
        <w:t>中</w:t>
      </w:r>
      <w:r>
        <w:rPr>
          <w:rFonts w:hint="eastAsia" w:ascii="Times New Roman" w:hAnsi="Times New Roman" w:eastAsia="仿宋_GB2312" w:cs="仿宋_GB2312"/>
          <w:color w:val="000000"/>
          <w:kern w:val="2"/>
          <w:sz w:val="32"/>
          <w:szCs w:val="32"/>
          <w:lang w:val="en-US" w:eastAsia="zh-CN" w:bidi="ar-SA"/>
        </w:rPr>
        <w:t>无组织排放监控浓度限值</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须确保</w:t>
      </w:r>
      <w:r>
        <w:rPr>
          <w:rFonts w:hint="eastAsia" w:eastAsia="仿宋_GB2312" w:cs="仿宋_GB2312"/>
          <w:color w:val="000000"/>
          <w:kern w:val="2"/>
          <w:sz w:val="32"/>
          <w:szCs w:val="32"/>
          <w:lang w:val="en-US" w:eastAsia="zh-CN" w:bidi="ar-SA"/>
        </w:rPr>
        <w:t>厂区内无组织排放的颗粒物、非甲烷总烃满</w:t>
      </w:r>
    </w:p>
    <w:p w14:paraId="68495ABE">
      <w:pPr>
        <w:pStyle w:val="54"/>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_GB2312" w:cs="仿宋_GB2312"/>
          <w:color w:val="000000"/>
          <w:kern w:val="2"/>
          <w:sz w:val="32"/>
          <w:szCs w:val="32"/>
          <w:lang w:val="en-US" w:eastAsia="zh-CN" w:bidi="ar-SA"/>
        </w:rPr>
      </w:pPr>
      <w:r>
        <w:rPr>
          <w:rFonts w:hint="eastAsia" w:eastAsia="仿宋_GB2312" w:cs="仿宋_GB2312"/>
          <w:color w:val="000000"/>
          <w:kern w:val="2"/>
          <w:sz w:val="32"/>
          <w:szCs w:val="32"/>
          <w:lang w:val="en-US" w:eastAsia="zh-CN" w:bidi="ar-SA"/>
        </w:rPr>
        <w:t>足GB 39726-2020《铸造工业大气污染物排放标准》中表A.1厂区内颗粒物、VOCs无组织排放限值要求。</w:t>
      </w:r>
    </w:p>
    <w:p w14:paraId="5476FFA4">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eastAsia="仿宋_GB2312" w:cs="仿宋_GB2312"/>
          <w:color w:val="000000"/>
          <w:kern w:val="2"/>
          <w:sz w:val="32"/>
          <w:szCs w:val="32"/>
          <w:lang w:val="en-US" w:eastAsia="zh-CN" w:bidi="ar-SA"/>
        </w:rPr>
        <w:t>项目冷却塔用水、喷淋用水、清洗用水等工序产生的废水全部进入工序循环使用，蒸发损耗不外排；脱蜡蒸汽用水、硅溶胶溶液配制用水均蒸发损耗，不外排；项目生活污水经化粪池处理达到GB 8978-1996《污水综合排放标准》三级标准后通过市政污水管网后进入沙埔镇污水处理厂。</w:t>
      </w:r>
    </w:p>
    <w:p w14:paraId="33BCDD89">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优化总平面布置，选择低噪先进的设备。对</w:t>
      </w:r>
      <w:r>
        <w:rPr>
          <w:rFonts w:hint="eastAsia" w:eastAsia="仿宋_GB2312" w:cs="仿宋_GB2312"/>
          <w:color w:val="000000"/>
          <w:kern w:val="2"/>
          <w:sz w:val="32"/>
          <w:szCs w:val="32"/>
          <w:lang w:val="en-US" w:eastAsia="zh-CN" w:bidi="ar-SA"/>
        </w:rPr>
        <w:t>振壳机、焙烧炉、抛丸机、冷却塔、风机、碱液喷淋塔</w:t>
      </w:r>
      <w:r>
        <w:rPr>
          <w:rFonts w:hint="eastAsia" w:ascii="Times New Roman" w:hAnsi="Times New Roman" w:eastAsia="仿宋_GB2312" w:cs="仿宋_GB2312"/>
          <w:color w:val="000000"/>
          <w:kern w:val="2"/>
          <w:sz w:val="32"/>
          <w:szCs w:val="32"/>
          <w:lang w:val="en-US" w:eastAsia="zh-CN" w:bidi="ar-SA"/>
        </w:rPr>
        <w:t>等</w:t>
      </w:r>
      <w:r>
        <w:rPr>
          <w:rFonts w:hint="eastAsia" w:eastAsia="仿宋_GB2312" w:cs="仿宋_GB2312"/>
          <w:color w:val="000000"/>
          <w:kern w:val="2"/>
          <w:sz w:val="32"/>
          <w:szCs w:val="32"/>
          <w:lang w:val="en-US" w:eastAsia="zh-CN" w:bidi="ar-SA"/>
        </w:rPr>
        <w:t>高噪声</w:t>
      </w:r>
      <w:r>
        <w:rPr>
          <w:rFonts w:hint="eastAsia" w:ascii="Times New Roman" w:hAnsi="Times New Roman" w:eastAsia="仿宋_GB2312" w:cs="仿宋_GB2312"/>
          <w:color w:val="000000"/>
          <w:kern w:val="2"/>
          <w:sz w:val="32"/>
          <w:szCs w:val="32"/>
          <w:lang w:val="en-US" w:eastAsia="zh-CN" w:bidi="ar-SA"/>
        </w:rPr>
        <w:t>设备采取消声、减振措施后，确保厂界噪声达到GB</w:t>
      </w:r>
      <w:r>
        <w:rPr>
          <w:rFonts w:hint="eastAsia" w:eastAsia="仿宋_GB2312" w:cs="仿宋_GB2312"/>
          <w:color w:val="000000"/>
          <w:kern w:val="2"/>
          <w:sz w:val="32"/>
          <w:szCs w:val="32"/>
          <w:lang w:val="en-US" w:eastAsia="zh-CN" w:bidi="ar-SA"/>
        </w:rPr>
        <w:t xml:space="preserve"> </w:t>
      </w:r>
      <w:r>
        <w:rPr>
          <w:rFonts w:hint="eastAsia" w:ascii="Times New Roman" w:hAnsi="Times New Roman" w:eastAsia="仿宋_GB2312" w:cs="仿宋_GB2312"/>
          <w:color w:val="000000"/>
          <w:kern w:val="2"/>
          <w:sz w:val="32"/>
          <w:szCs w:val="32"/>
          <w:lang w:val="en-US" w:eastAsia="zh-CN" w:bidi="ar-SA"/>
        </w:rPr>
        <w:t>12348-2008《工业企业厂界环境噪声排放标准》</w:t>
      </w:r>
      <w:r>
        <w:rPr>
          <w:rFonts w:hint="eastAsia" w:eastAsia="仿宋_GB2312" w:cs="仿宋_GB2312"/>
          <w:color w:val="000000"/>
          <w:kern w:val="2"/>
          <w:sz w:val="32"/>
          <w:szCs w:val="32"/>
          <w:lang w:val="en-US" w:eastAsia="zh-CN" w:bidi="ar-SA"/>
        </w:rPr>
        <w:t>3</w:t>
      </w:r>
      <w:r>
        <w:rPr>
          <w:rFonts w:hint="eastAsia" w:ascii="Times New Roman" w:hAnsi="Times New Roman" w:eastAsia="仿宋_GB2312" w:cs="仿宋_GB2312"/>
          <w:color w:val="000000"/>
          <w:kern w:val="2"/>
          <w:sz w:val="32"/>
          <w:szCs w:val="32"/>
          <w:lang w:val="en-US" w:eastAsia="zh-CN" w:bidi="ar-SA"/>
        </w:rPr>
        <w:t>类</w:t>
      </w:r>
      <w:r>
        <w:rPr>
          <w:rFonts w:hint="eastAsia" w:eastAsia="仿宋_GB2312" w:cs="仿宋_GB2312"/>
          <w:color w:val="000000"/>
          <w:kern w:val="2"/>
          <w:sz w:val="32"/>
          <w:szCs w:val="32"/>
          <w:lang w:val="en-US" w:eastAsia="zh-CN" w:bidi="ar-SA"/>
        </w:rPr>
        <w:t>标准限值要求</w:t>
      </w:r>
      <w:r>
        <w:rPr>
          <w:rFonts w:hint="eastAsia" w:ascii="Times New Roman" w:hAnsi="Times New Roman" w:eastAsia="仿宋_GB2312" w:cs="仿宋_GB2312"/>
          <w:color w:val="000000"/>
          <w:kern w:val="2"/>
          <w:sz w:val="32"/>
          <w:szCs w:val="32"/>
          <w:lang w:val="en-US" w:eastAsia="zh-CN" w:bidi="ar-SA"/>
        </w:rPr>
        <w:t>。</w:t>
      </w:r>
    </w:p>
    <w:p w14:paraId="27353F06">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eastAsia="仿宋_GB2312" w:cs="仿宋_GB2312"/>
          <w:color w:val="000000"/>
          <w:kern w:val="2"/>
          <w:sz w:val="32"/>
          <w:szCs w:val="32"/>
          <w:lang w:val="en-US" w:eastAsia="zh-CN" w:bidi="ar-SA"/>
        </w:rPr>
        <w:t>项目须做好对不合格品、边角料及打磨工序、制壳工序和抛丸工序布袋除尘器收集尘的回用和管理，禁止丢弃、倾倒等非法处置。</w:t>
      </w:r>
    </w:p>
    <w:p w14:paraId="51E759E1">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做好一般固体废物的综合利用和妥善处置工作。</w:t>
      </w:r>
      <w:r>
        <w:rPr>
          <w:rFonts w:hint="eastAsia" w:eastAsia="仿宋_GB2312" w:cs="仿宋_GB2312"/>
          <w:color w:val="000000"/>
          <w:kern w:val="2"/>
          <w:sz w:val="32"/>
          <w:szCs w:val="32"/>
          <w:lang w:val="en-US" w:eastAsia="zh-CN" w:bidi="ar-SA"/>
        </w:rPr>
        <w:t>项目</w:t>
      </w:r>
      <w:r>
        <w:rPr>
          <w:rFonts w:hint="eastAsia" w:ascii="Times New Roman" w:hAnsi="Times New Roman" w:eastAsia="仿宋_GB2312" w:cs="仿宋_GB2312"/>
          <w:color w:val="000000"/>
          <w:kern w:val="2"/>
          <w:sz w:val="32"/>
          <w:szCs w:val="32"/>
          <w:lang w:val="en-US" w:eastAsia="zh-CN" w:bidi="ar-SA"/>
        </w:rPr>
        <w:t>炉渣</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废壳型</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废钢丸</w:t>
      </w:r>
      <w:r>
        <w:rPr>
          <w:rFonts w:hint="eastAsia" w:eastAsia="仿宋_GB2312" w:cs="仿宋_GB2312"/>
          <w:color w:val="000000"/>
          <w:kern w:val="2"/>
          <w:sz w:val="32"/>
          <w:szCs w:val="32"/>
          <w:lang w:val="en-US" w:eastAsia="zh-CN" w:bidi="ar-SA"/>
        </w:rPr>
        <w:t>、一般废包装材料、除打磨工序、制壳工序和抛丸工序之外的布袋除尘器收集尘及自然沉降粉尘经过分类收集后外售处置；生活垃圾经收集后交由环卫部门统一清运处理</w:t>
      </w:r>
      <w:r>
        <w:rPr>
          <w:rFonts w:hint="eastAsia" w:ascii="Times New Roman" w:hAnsi="Times New Roman" w:eastAsia="仿宋_GB2312" w:cs="仿宋_GB2312"/>
          <w:color w:val="000000"/>
          <w:kern w:val="2"/>
          <w:sz w:val="32"/>
          <w:szCs w:val="32"/>
          <w:lang w:val="en-US" w:eastAsia="zh-CN" w:bidi="ar-SA"/>
        </w:rPr>
        <w:t>。须</w:t>
      </w:r>
      <w:r>
        <w:rPr>
          <w:rFonts w:hint="eastAsia" w:eastAsia="仿宋_GB2312" w:cs="仿宋_GB2312"/>
          <w:color w:val="000000"/>
          <w:kern w:val="2"/>
          <w:sz w:val="32"/>
          <w:szCs w:val="32"/>
          <w:lang w:val="en-US" w:eastAsia="zh-CN" w:bidi="ar-SA"/>
        </w:rPr>
        <w:t>按</w:t>
      </w:r>
      <w:r>
        <w:rPr>
          <w:rFonts w:hint="eastAsia" w:ascii="Times New Roman" w:hAnsi="Times New Roman" w:eastAsia="仿宋_GB2312" w:cs="仿宋_GB2312"/>
          <w:color w:val="000000"/>
          <w:kern w:val="2"/>
          <w:sz w:val="32"/>
          <w:szCs w:val="32"/>
          <w:lang w:val="en-US" w:eastAsia="zh-CN" w:bidi="ar-SA"/>
        </w:rPr>
        <w:t>GB 18599-2020《一般工业固体废物贮存和填埋污染控制标准》要求，建设规范的一般固体废物贮存设施。</w:t>
      </w:r>
    </w:p>
    <w:p w14:paraId="104BC295">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须按GB</w:t>
      </w:r>
      <w:r>
        <w:rPr>
          <w:rFonts w:hint="eastAsia" w:eastAsia="仿宋_GB2312" w:cs="仿宋_GB2312"/>
          <w:color w:val="000000"/>
          <w:kern w:val="2"/>
          <w:sz w:val="32"/>
          <w:szCs w:val="32"/>
          <w:lang w:val="en-US" w:eastAsia="zh-CN" w:bidi="ar-SA"/>
        </w:rPr>
        <w:t xml:space="preserve"> </w:t>
      </w:r>
      <w:r>
        <w:rPr>
          <w:rFonts w:hint="eastAsia" w:ascii="Times New Roman" w:hAnsi="Times New Roman" w:eastAsia="仿宋_GB2312" w:cs="仿宋_GB2312"/>
          <w:color w:val="000000"/>
          <w:kern w:val="2"/>
          <w:sz w:val="32"/>
          <w:szCs w:val="32"/>
          <w:lang w:val="en-US" w:eastAsia="zh-CN" w:bidi="ar-SA"/>
        </w:rPr>
        <w:t>18597-2023《危险废物贮存污染控制标准》及其修改单的要求，建设规范的废酸洗液</w:t>
      </w:r>
      <w:r>
        <w:rPr>
          <w:rFonts w:hint="eastAsia" w:eastAsia="仿宋_GB2312" w:cs="仿宋_GB2312"/>
          <w:color w:val="000000"/>
          <w:kern w:val="2"/>
          <w:sz w:val="32"/>
          <w:szCs w:val="32"/>
          <w:lang w:val="en-US" w:eastAsia="zh-CN" w:bidi="ar-SA"/>
        </w:rPr>
        <w:t>、废酸洗液桶、</w:t>
      </w:r>
      <w:r>
        <w:rPr>
          <w:rFonts w:hint="eastAsia" w:ascii="Times New Roman" w:hAnsi="Times New Roman" w:eastAsia="仿宋_GB2312" w:cs="仿宋_GB2312"/>
          <w:color w:val="000000"/>
          <w:kern w:val="2"/>
          <w:sz w:val="32"/>
          <w:szCs w:val="32"/>
          <w:lang w:val="en-US" w:eastAsia="zh-CN" w:bidi="ar-SA"/>
        </w:rPr>
        <w:t>泥渣</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废润滑油</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废润滑油桶</w:t>
      </w:r>
      <w:r>
        <w:rPr>
          <w:rFonts w:hint="eastAsia" w:eastAsia="仿宋_GB2312" w:cs="仿宋_GB2312"/>
          <w:color w:val="000000"/>
          <w:kern w:val="2"/>
          <w:sz w:val="32"/>
          <w:szCs w:val="32"/>
          <w:lang w:val="en-US" w:eastAsia="zh-CN" w:bidi="ar-SA"/>
        </w:rPr>
        <w:t>、废活性炭、废包装袋、</w:t>
      </w:r>
      <w:r>
        <w:rPr>
          <w:rFonts w:hint="eastAsia" w:ascii="Times New Roman" w:hAnsi="Times New Roman" w:eastAsia="仿宋_GB2312" w:cs="仿宋_GB2312"/>
          <w:color w:val="000000"/>
          <w:kern w:val="2"/>
          <w:sz w:val="32"/>
          <w:szCs w:val="32"/>
          <w:lang w:val="en-US" w:eastAsia="zh-CN" w:bidi="ar-SA"/>
        </w:rPr>
        <w:t>废含油抹布</w:t>
      </w:r>
      <w:r>
        <w:rPr>
          <w:rFonts w:hint="eastAsia" w:eastAsia="仿宋_GB2312" w:cs="仿宋_GB2312"/>
          <w:color w:val="000000"/>
          <w:kern w:val="2"/>
          <w:sz w:val="32"/>
          <w:szCs w:val="32"/>
          <w:lang w:val="en-US" w:eastAsia="zh-CN" w:bidi="ar-SA"/>
        </w:rPr>
        <w:t>和</w:t>
      </w:r>
      <w:r>
        <w:rPr>
          <w:rFonts w:hint="eastAsia" w:ascii="Times New Roman" w:hAnsi="Times New Roman" w:eastAsia="仿宋_GB2312" w:cs="仿宋_GB2312"/>
          <w:color w:val="000000"/>
          <w:kern w:val="2"/>
          <w:sz w:val="32"/>
          <w:szCs w:val="32"/>
          <w:lang w:val="en-US" w:eastAsia="zh-CN" w:bidi="ar-SA"/>
        </w:rPr>
        <w:t>劳保用品等</w:t>
      </w:r>
      <w:r>
        <w:rPr>
          <w:rFonts w:hint="eastAsia" w:eastAsia="仿宋_GB2312" w:cs="仿宋_GB2312"/>
          <w:color w:val="000000"/>
          <w:kern w:val="2"/>
          <w:sz w:val="32"/>
          <w:szCs w:val="32"/>
          <w:lang w:val="en-US" w:eastAsia="zh-CN" w:bidi="ar-SA"/>
        </w:rPr>
        <w:t>的</w:t>
      </w:r>
      <w:r>
        <w:rPr>
          <w:rFonts w:hint="eastAsia" w:ascii="Times New Roman" w:hAnsi="Times New Roman" w:eastAsia="仿宋_GB2312" w:cs="仿宋_GB2312"/>
          <w:color w:val="000000"/>
          <w:kern w:val="2"/>
          <w:sz w:val="32"/>
          <w:szCs w:val="32"/>
          <w:lang w:val="en-US" w:eastAsia="zh-CN" w:bidi="ar-SA"/>
        </w:rPr>
        <w:t>收集</w:t>
      </w:r>
      <w:r>
        <w:rPr>
          <w:rFonts w:hint="eastAsia" w:eastAsia="仿宋_GB2312" w:cs="仿宋_GB2312"/>
          <w:color w:val="000000"/>
          <w:kern w:val="2"/>
          <w:sz w:val="32"/>
          <w:szCs w:val="32"/>
          <w:lang w:val="en-US" w:eastAsia="zh-CN" w:bidi="ar-SA"/>
        </w:rPr>
        <w:t>和</w:t>
      </w:r>
      <w:r>
        <w:rPr>
          <w:rFonts w:hint="eastAsia" w:ascii="Times New Roman" w:hAnsi="Times New Roman" w:eastAsia="仿宋_GB2312" w:cs="仿宋_GB2312"/>
          <w:color w:val="000000"/>
          <w:kern w:val="2"/>
          <w:sz w:val="32"/>
          <w:szCs w:val="32"/>
          <w:lang w:val="en-US" w:eastAsia="zh-CN" w:bidi="ar-SA"/>
        </w:rPr>
        <w:t>临时存放设施，并设立明显的危废标志，危险废物须定期收集并交由有危险废物处置资质的单位按规定处理、处置，不得随意堆放、擅自外排。做好危险废物处置及转移联单的台</w:t>
      </w:r>
      <w:r>
        <w:rPr>
          <w:rFonts w:hint="eastAsia" w:eastAsia="仿宋_GB2312" w:cs="仿宋_GB2312"/>
          <w:color w:val="000000"/>
          <w:kern w:val="2"/>
          <w:sz w:val="32"/>
          <w:szCs w:val="32"/>
          <w:lang w:val="en-US" w:eastAsia="zh-CN" w:bidi="ar-SA"/>
        </w:rPr>
        <w:t>账</w:t>
      </w:r>
      <w:r>
        <w:rPr>
          <w:rFonts w:hint="eastAsia" w:ascii="Times New Roman" w:hAnsi="Times New Roman" w:eastAsia="仿宋_GB2312" w:cs="仿宋_GB2312"/>
          <w:color w:val="000000"/>
          <w:kern w:val="2"/>
          <w:sz w:val="32"/>
          <w:szCs w:val="32"/>
          <w:lang w:val="en-US" w:eastAsia="zh-CN" w:bidi="ar-SA"/>
        </w:rPr>
        <w:t>记录。</w:t>
      </w:r>
    </w:p>
    <w:p w14:paraId="53633AD6">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按分区防渗原则落实各项防渗措施。须对原料区</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酸洗区</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危废暂存间等区域按要求做好重点防渗处理；</w:t>
      </w:r>
      <w:r>
        <w:rPr>
          <w:rFonts w:hint="eastAsia" w:eastAsia="仿宋_GB2312" w:cs="仿宋_GB2312"/>
          <w:color w:val="000000"/>
          <w:kern w:val="2"/>
          <w:sz w:val="32"/>
          <w:szCs w:val="32"/>
          <w:lang w:val="en-US" w:eastAsia="zh-CN" w:bidi="ar-SA"/>
        </w:rPr>
        <w:t>对</w:t>
      </w:r>
      <w:r>
        <w:rPr>
          <w:rFonts w:hint="eastAsia" w:ascii="Times New Roman" w:hAnsi="Times New Roman" w:eastAsia="仿宋_GB2312" w:cs="仿宋_GB2312"/>
          <w:color w:val="000000"/>
          <w:kern w:val="2"/>
          <w:sz w:val="32"/>
          <w:szCs w:val="32"/>
          <w:lang w:val="en-US" w:eastAsia="zh-CN" w:bidi="ar-SA"/>
        </w:rPr>
        <w:t>化粪池等区域按要求做好一般防渗</w:t>
      </w:r>
      <w:r>
        <w:rPr>
          <w:rFonts w:hint="eastAsia" w:eastAsia="仿宋_GB2312" w:cs="仿宋_GB2312"/>
          <w:color w:val="000000"/>
          <w:kern w:val="2"/>
          <w:sz w:val="32"/>
          <w:szCs w:val="32"/>
          <w:lang w:val="en-US" w:eastAsia="zh-CN" w:bidi="ar-SA"/>
        </w:rPr>
        <w:t>处理，对除重点、一般防渗区以外的区域按要求做好简单</w:t>
      </w:r>
      <w:r>
        <w:rPr>
          <w:rFonts w:hint="eastAsia" w:ascii="Times New Roman" w:hAnsi="Times New Roman" w:eastAsia="仿宋_GB2312" w:cs="仿宋_GB2312"/>
          <w:color w:val="000000"/>
          <w:kern w:val="2"/>
          <w:sz w:val="32"/>
          <w:szCs w:val="32"/>
          <w:lang w:val="en-US" w:eastAsia="zh-CN" w:bidi="ar-SA"/>
        </w:rPr>
        <w:t>防渗处理。按照《环境保护图形标志</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排污口（源）》和原国家环保总局《关于开展排污口规范化整治工作的通知》（环发〔1999〕24号）附件有关规定建设规范化排污口。须按排污许可相关管理要求</w:t>
      </w:r>
      <w:r>
        <w:rPr>
          <w:rFonts w:hint="eastAsia" w:eastAsia="仿宋_GB2312" w:cs="仿宋_GB2312"/>
          <w:color w:val="000000"/>
          <w:kern w:val="2"/>
          <w:sz w:val="32"/>
          <w:szCs w:val="32"/>
          <w:lang w:val="en-US" w:eastAsia="zh-CN" w:bidi="ar-SA"/>
        </w:rPr>
        <w:t>及《报告表》内要求</w:t>
      </w:r>
      <w:r>
        <w:rPr>
          <w:rFonts w:hint="eastAsia" w:ascii="Times New Roman" w:hAnsi="Times New Roman" w:eastAsia="仿宋_GB2312" w:cs="仿宋_GB2312"/>
          <w:color w:val="000000"/>
          <w:kern w:val="2"/>
          <w:sz w:val="32"/>
          <w:szCs w:val="32"/>
          <w:lang w:val="en-US" w:eastAsia="zh-CN" w:bidi="ar-SA"/>
        </w:rPr>
        <w:t>定期进行监测。</w:t>
      </w:r>
    </w:p>
    <w:p w14:paraId="5A485C26">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加强环境管理，落实环境保护规章制度。确保环保措施的正常运转以及各项污染物稳定达标排放。</w:t>
      </w:r>
    </w:p>
    <w:p w14:paraId="582C0FFA">
      <w:pPr>
        <w:pStyle w:val="54"/>
        <w:keepNext w:val="0"/>
        <w:keepLines w:val="0"/>
        <w:pageBreakBefore w:val="0"/>
        <w:widowControl w:val="0"/>
        <w:numPr>
          <w:ilvl w:val="2"/>
          <w:numId w:val="2"/>
        </w:numPr>
        <w:kinsoku/>
        <w:wordWrap/>
        <w:overflowPunct/>
        <w:topLinePunct w:val="0"/>
        <w:autoSpaceDE/>
        <w:autoSpaceDN/>
        <w:bidi w:val="0"/>
        <w:adjustRightInd/>
        <w:snapToGrid/>
        <w:spacing w:line="520" w:lineRule="exact"/>
        <w:ind w:left="0" w:firstLine="420" w:firstLineChars="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按照《关于印发</w:t>
      </w:r>
      <w:r>
        <w:rPr>
          <w:rFonts w:hint="default" w:eastAsia="仿宋_GB2312" w:cs="仿宋_GB2312"/>
          <w:color w:val="000000"/>
          <w:kern w:val="2"/>
          <w:sz w:val="32"/>
          <w:szCs w:val="32"/>
          <w:lang w:val="en-US" w:eastAsia="zh-CN" w:bidi="ar-SA"/>
        </w:rPr>
        <w:t>&lt;</w:t>
      </w:r>
      <w:r>
        <w:rPr>
          <w:rFonts w:hint="eastAsia" w:ascii="Times New Roman" w:hAnsi="Times New Roman" w:eastAsia="仿宋_GB2312" w:cs="仿宋_GB2312"/>
          <w:color w:val="000000"/>
          <w:kern w:val="2"/>
          <w:sz w:val="32"/>
          <w:szCs w:val="32"/>
          <w:lang w:val="en-US" w:eastAsia="zh-CN" w:bidi="ar-SA"/>
        </w:rPr>
        <w:t>企业事业单位突发环境事件应急预案备案管理办法</w:t>
      </w:r>
      <w:r>
        <w:rPr>
          <w:rFonts w:hint="default" w:eastAsia="仿宋_GB2312" w:cs="仿宋_GB2312"/>
          <w:color w:val="000000"/>
          <w:kern w:val="2"/>
          <w:sz w:val="32"/>
          <w:szCs w:val="32"/>
          <w:lang w:val="en-US" w:eastAsia="zh-CN" w:bidi="ar-SA"/>
        </w:rPr>
        <w:t>&gt;</w:t>
      </w:r>
      <w:r>
        <w:rPr>
          <w:rFonts w:hint="eastAsia" w:ascii="Times New Roman" w:hAnsi="Times New Roman" w:eastAsia="仿宋_GB2312" w:cs="仿宋_GB2312"/>
          <w:color w:val="000000"/>
          <w:kern w:val="2"/>
          <w:sz w:val="32"/>
          <w:szCs w:val="32"/>
          <w:lang w:val="en-US" w:eastAsia="zh-CN" w:bidi="ar-SA"/>
        </w:rPr>
        <w:t>（试行）》（环发〔2015〕4号）等相关要求，开展企业突发环境事件风险评估，确定风险等级，制订突发环境事件应急预案并报当地生态主管部门备案，定期组织应急演练；按照《突发环境事件应急管理办法（试行）》（环境保护部令第34号）、《企业突发环境事件隐患排查和治理工作指南（试行）》（环境保护部公告2016年第74号）相关要求，制定环境安全隐患排查治理制度，建立隐患排查治理档案，落实相关环境风险防控措施。</w:t>
      </w:r>
    </w:p>
    <w:p w14:paraId="2C3A81B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三、该项目建设必须严格执行环境保护设施与主体工程同时设计、同时施工、同时投产使用的环境保护“三同时”制度，并依法申请排污许可证。在落实本批复和《报告表》提出的各项环境保护措施和要求后，建设单位可自行决定投入调试的具体时间并以书面形式向当地生态环境主管部门备案。调试生产前，建设单位应按国家和自治区有关规定进行申报排污许可证。工程建成后，须按《建设项目竣工环境保护验收暂行办法》（国环规环评〔2017〕4号）要求实施竣工环境保护验收。未落实本批复和《报告表》提出的各项环境保护措施、未取得排污许可证擅自投入调试生产、未经竣工环境验收擅自投入生产的、未向社会公开有关信息的，应承担相应的法律责任。</w:t>
      </w:r>
    </w:p>
    <w:p w14:paraId="6B4F30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12AA8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eastAsia="仿宋_GB2312" w:cs="仿宋_GB2312"/>
          <w:color w:val="000000"/>
          <w:sz w:val="32"/>
          <w:szCs w:val="32"/>
        </w:rPr>
      </w:pPr>
      <w:r>
        <w:rPr>
          <w:rFonts w:hint="eastAsia" w:ascii="Times New Roman" w:hAnsi="Times New Roman" w:eastAsia="仿宋_GB2312" w:cs="仿宋_GB2312"/>
          <w:color w:val="000000"/>
          <w:kern w:val="2"/>
          <w:sz w:val="32"/>
          <w:szCs w:val="32"/>
          <w:lang w:val="en-US" w:eastAsia="zh-CN" w:bidi="ar-SA"/>
        </w:rPr>
        <w:t>五、建设单位自收到本批复之日起5个工作日内，将批复文件及批准后的《报告表》（报批稿）送达柳州市柳城生态环境局，并按规定接受辖区生态环境部门的监管检查。</w:t>
      </w:r>
    </w:p>
    <w:bookmarkEnd w:id="0"/>
    <w:p w14:paraId="3B2D133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eastAsia="仿宋_GB2312" w:cs="仿宋_GB2312"/>
          <w:color w:val="000000"/>
          <w:sz w:val="32"/>
          <w:szCs w:val="32"/>
        </w:rPr>
      </w:pPr>
    </w:p>
    <w:p w14:paraId="1ED71940">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eastAsia="仿宋_GB2312" w:cs="仿宋_GB2312"/>
          <w:color w:val="000000"/>
          <w:sz w:val="32"/>
          <w:szCs w:val="32"/>
        </w:rPr>
      </w:pPr>
      <w:r>
        <w:rPr>
          <w:rFonts w:hint="eastAsia" w:eastAsia="仿宋_GB2312" w:cs="仿宋_GB2312"/>
          <w:color w:val="000000"/>
          <w:sz w:val="32"/>
          <w:szCs w:val="32"/>
        </w:rPr>
        <w:t>2025年</w:t>
      </w:r>
      <w:r>
        <w:rPr>
          <w:rFonts w:hint="eastAsia" w:eastAsia="仿宋_GB2312" w:cs="仿宋_GB2312"/>
          <w:color w:val="000000"/>
          <w:sz w:val="32"/>
          <w:szCs w:val="32"/>
          <w:lang w:val="en-US" w:eastAsia="zh-CN"/>
        </w:rPr>
        <w:t>9</w:t>
      </w:r>
      <w:r>
        <w:rPr>
          <w:rFonts w:hint="eastAsia" w:eastAsia="仿宋_GB2312" w:cs="仿宋_GB2312"/>
          <w:color w:val="000000"/>
          <w:sz w:val="32"/>
          <w:szCs w:val="32"/>
        </w:rPr>
        <w:t>月</w:t>
      </w:r>
      <w:r>
        <w:rPr>
          <w:rFonts w:hint="eastAsia" w:eastAsia="仿宋_GB2312" w:cs="仿宋_GB2312"/>
          <w:color w:val="000000"/>
          <w:sz w:val="32"/>
          <w:szCs w:val="32"/>
          <w:lang w:val="en-US" w:eastAsia="zh-CN"/>
        </w:rPr>
        <w:t>3</w:t>
      </w:r>
      <w:r>
        <w:rPr>
          <w:rFonts w:hint="eastAsia" w:eastAsia="仿宋_GB2312" w:cs="仿宋_GB2312"/>
          <w:color w:val="000000"/>
          <w:sz w:val="32"/>
          <w:szCs w:val="32"/>
        </w:rPr>
        <w:t>日</w:t>
      </w:r>
    </w:p>
    <w:p w14:paraId="320CCEC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eastAsia="仿宋_GB2312" w:cs="仿宋_GB2312"/>
          <w:color w:val="000000"/>
          <w:sz w:val="32"/>
          <w:szCs w:val="32"/>
        </w:rPr>
      </w:pPr>
    </w:p>
    <w:p w14:paraId="07FB9056">
      <w:pPr>
        <w:pStyle w:val="37"/>
        <w:keepNext w:val="0"/>
        <w:keepLines w:val="0"/>
        <w:pageBreakBefore w:val="0"/>
        <w:widowControl w:val="0"/>
        <w:kinsoku/>
        <w:wordWrap/>
        <w:overflowPunct/>
        <w:topLinePunct w:val="0"/>
        <w:autoSpaceDE/>
        <w:autoSpaceDN/>
        <w:bidi w:val="0"/>
        <w:adjustRightInd/>
        <w:snapToGrid/>
        <w:spacing w:beforeLines="0" w:line="520" w:lineRule="exact"/>
        <w:ind w:left="0" w:leftChars="0" w:right="0" w:rightChars="0" w:firstLine="640" w:firstLineChars="200"/>
        <w:jc w:val="both"/>
        <w:textAlignment w:val="auto"/>
        <w:rPr>
          <w:rFonts w:hint="eastAsia" w:ascii="Times New Roman" w:hAnsi="Times New Roman" w:eastAsia="仿宋_GB2312" w:cs="仿宋_GB2312"/>
          <w:color w:val="000000"/>
        </w:rPr>
      </w:pPr>
      <w:r>
        <w:rPr>
          <w:rFonts w:hint="eastAsia" w:ascii="Times New Roman" w:hAnsi="Times New Roman" w:eastAsia="仿宋_GB2312" w:cs="仿宋_GB2312"/>
          <w:color w:val="000000"/>
        </w:rPr>
        <w:t>（此件公开发布）</w:t>
      </w:r>
    </w:p>
    <w:p w14:paraId="300FA5F0">
      <w:pPr>
        <w:pStyle w:val="37"/>
        <w:spacing w:beforeLines="0" w:line="240" w:lineRule="auto"/>
        <w:ind w:left="0" w:leftChars="0" w:right="0" w:rightChars="0" w:firstLine="0" w:firstLineChars="0"/>
        <w:jc w:val="both"/>
        <w:rPr>
          <w:rFonts w:hint="eastAsia" w:ascii="Times New Roman" w:hAnsi="Times New Roman" w:eastAsia="仿宋_GB2312" w:cs="仿宋_GB2312"/>
          <w:color w:val="000000"/>
        </w:rPr>
      </w:pPr>
    </w:p>
    <w:p w14:paraId="6A2218FA">
      <w:pPr>
        <w:pStyle w:val="37"/>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640" w:firstLineChars="200"/>
        <w:jc w:val="both"/>
        <w:textAlignment w:val="auto"/>
        <w:rPr>
          <w:rFonts w:hint="eastAsia" w:ascii="Times New Roman" w:hAnsi="Times New Roman" w:eastAsia="仿宋_GB2312" w:cs="仿宋_GB2312"/>
          <w:color w:val="000000"/>
          <w:lang w:eastAsia="zh-CN"/>
        </w:rPr>
      </w:pPr>
    </w:p>
    <w:p w14:paraId="73E51483">
      <w:pPr>
        <w:pStyle w:val="37"/>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640" w:firstLineChars="200"/>
        <w:jc w:val="both"/>
        <w:textAlignment w:val="auto"/>
        <w:rPr>
          <w:rFonts w:hint="eastAsia" w:ascii="Times New Roman" w:hAnsi="Times New Roman" w:eastAsia="仿宋_GB2312" w:cs="仿宋_GB2312"/>
          <w:color w:val="000000"/>
          <w:lang w:eastAsia="zh-CN"/>
        </w:rPr>
      </w:pPr>
    </w:p>
    <w:p w14:paraId="1984DB22">
      <w:pPr>
        <w:pStyle w:val="37"/>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640" w:firstLineChars="200"/>
        <w:jc w:val="both"/>
        <w:textAlignment w:val="auto"/>
        <w:rPr>
          <w:rFonts w:hint="eastAsia" w:ascii="Times New Roman" w:hAnsi="Times New Roman" w:eastAsia="仿宋_GB2312" w:cs="仿宋_GB2312"/>
          <w:color w:val="000000"/>
          <w:lang w:eastAsia="zh-CN"/>
        </w:rPr>
      </w:pPr>
    </w:p>
    <w:p w14:paraId="6C1534BD">
      <w:pPr>
        <w:pStyle w:val="37"/>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640" w:firstLineChars="200"/>
        <w:jc w:val="both"/>
        <w:textAlignment w:val="auto"/>
        <w:rPr>
          <w:rFonts w:hint="eastAsia" w:ascii="Times New Roman" w:hAnsi="Times New Roman" w:eastAsia="仿宋_GB2312" w:cs="仿宋_GB2312"/>
          <w:color w:val="000000"/>
          <w:lang w:eastAsia="zh-CN"/>
        </w:rPr>
      </w:pPr>
    </w:p>
    <w:p w14:paraId="495C0DCD">
      <w:pPr>
        <w:pStyle w:val="37"/>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640" w:firstLineChars="200"/>
        <w:jc w:val="both"/>
        <w:textAlignment w:val="auto"/>
        <w:rPr>
          <w:rFonts w:hint="eastAsia" w:ascii="Times New Roman" w:hAnsi="Times New Roman" w:eastAsia="仿宋_GB2312" w:cs="仿宋_GB2312"/>
          <w:color w:val="000000"/>
          <w:lang w:eastAsia="zh-CN"/>
        </w:rPr>
      </w:pPr>
    </w:p>
    <w:p w14:paraId="23649BEE">
      <w:pPr>
        <w:spacing w:line="480" w:lineRule="exact"/>
        <w:jc w:val="distribute"/>
        <w:rPr>
          <w:rFonts w:eastAsia="仿宋_GB2312" w:cs="仿宋_GB2312"/>
          <w:bCs/>
          <w:color w:val="000000"/>
          <w:sz w:val="28"/>
          <w:szCs w:val="28"/>
          <w:u w:val="single"/>
        </w:rPr>
      </w:pPr>
      <w:r>
        <w:rPr>
          <w:rFonts w:hint="eastAsia" w:eastAsia="仿宋_GB2312" w:cs="仿宋_GB2312"/>
          <w:bCs/>
          <w:color w:val="000000"/>
          <w:sz w:val="28"/>
          <w:szCs w:val="28"/>
          <w:u w:val="single"/>
        </w:rPr>
        <w:t>投资项目在线审批监管平台项目代码：2406-450222-04-01-721118</w:t>
      </w:r>
    </w:p>
    <w:p w14:paraId="10E68079">
      <w:pPr>
        <w:spacing w:line="480" w:lineRule="exact"/>
        <w:rPr>
          <w:rFonts w:eastAsia="仿宋_GB2312" w:cs="仿宋_GB2312"/>
          <w:color w:val="000000"/>
          <w:sz w:val="30"/>
          <w:u w:val="single"/>
        </w:rPr>
      </w:pPr>
      <w:r>
        <w:rPr>
          <w:rFonts w:hint="eastAsia" w:eastAsia="仿宋_GB2312" w:cs="仿宋_GB2312"/>
          <w:color w:val="000000"/>
          <w:sz w:val="32"/>
          <w:szCs w:val="32"/>
          <w:u w:val="single"/>
        </w:rPr>
        <w:t xml:space="preserve">抄送:柳州市柳城生态环境局                               </w:t>
      </w:r>
    </w:p>
    <w:p w14:paraId="0E421231">
      <w:pPr>
        <w:pStyle w:val="36"/>
        <w:ind w:firstLine="0" w:firstLineChars="0"/>
        <w:jc w:val="both"/>
        <w:rPr>
          <w:rFonts w:ascii="仿宋_GB2312" w:hAnsi="仿宋_GB2312" w:eastAsia="仿宋_GB2312" w:cs="仿宋_GB2312"/>
          <w:color w:val="000000"/>
          <w:u w:val="single"/>
        </w:rPr>
      </w:pPr>
      <w:r>
        <w:rPr>
          <w:rFonts w:hint="eastAsia" w:eastAsia="仿宋_GB2312" w:cs="仿宋_GB2312"/>
          <w:color w:val="000000"/>
          <w:u w:val="single"/>
        </w:rPr>
        <w:t xml:space="preserve">柳城县行政审批局                   </w:t>
      </w:r>
      <w:r>
        <w:rPr>
          <w:rFonts w:hint="eastAsia" w:eastAsia="仿宋_GB2312" w:cs="仿宋_GB2312"/>
          <w:color w:val="000000"/>
          <w:u w:val="single"/>
          <w:lang w:val="en-US" w:eastAsia="zh-CN"/>
        </w:rPr>
        <w:t xml:space="preserve">  </w:t>
      </w:r>
      <w:r>
        <w:rPr>
          <w:rFonts w:hint="eastAsia" w:eastAsia="仿宋_GB2312" w:cs="仿宋_GB2312"/>
          <w:color w:val="000000"/>
          <w:u w:val="single"/>
        </w:rPr>
        <w:t>2025年</w:t>
      </w:r>
      <w:r>
        <w:rPr>
          <w:rFonts w:hint="eastAsia" w:eastAsia="仿宋_GB2312" w:cs="仿宋_GB2312"/>
          <w:color w:val="auto"/>
          <w:u w:val="single"/>
          <w:lang w:val="en-US" w:eastAsia="zh-CN"/>
        </w:rPr>
        <w:t>9</w:t>
      </w:r>
      <w:r>
        <w:rPr>
          <w:rFonts w:hint="eastAsia" w:eastAsia="仿宋_GB2312" w:cs="仿宋_GB2312"/>
          <w:color w:val="auto"/>
          <w:u w:val="single"/>
        </w:rPr>
        <w:t>月</w:t>
      </w:r>
      <w:r>
        <w:rPr>
          <w:rFonts w:hint="eastAsia" w:eastAsia="仿宋_GB2312" w:cs="仿宋_GB2312"/>
          <w:color w:val="auto"/>
          <w:u w:val="single"/>
          <w:lang w:val="en-US" w:eastAsia="zh-CN"/>
        </w:rPr>
        <w:t>3</w:t>
      </w:r>
      <w:r>
        <w:rPr>
          <w:rFonts w:hint="eastAsia" w:eastAsia="仿宋_GB2312" w:cs="仿宋_GB2312"/>
          <w:color w:val="auto"/>
          <w:u w:val="single"/>
        </w:rPr>
        <w:t>日</w:t>
      </w:r>
      <w:r>
        <w:rPr>
          <w:rFonts w:hint="eastAsia" w:eastAsia="仿宋_GB2312" w:cs="仿宋_GB2312"/>
          <w:color w:val="000000"/>
          <w:u w:val="single"/>
        </w:rPr>
        <w:t>印发</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2C07">
    <w:pPr>
      <w:pStyle w:val="11"/>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14:paraId="3167E6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47AA">
    <w:pPr>
      <w:pStyle w:val="11"/>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6</w:t>
    </w:r>
    <w:r>
      <w:rPr>
        <w:sz w:val="32"/>
        <w:szCs w:val="32"/>
        <w:lang w:val="zh-CN"/>
      </w:rPr>
      <w:fldChar w:fldCharType="end"/>
    </w:r>
  </w:p>
  <w:p w14:paraId="1D42424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0E4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66A4"/>
    <w:multiLevelType w:val="singleLevel"/>
    <w:tmpl w:val="958A66A4"/>
    <w:lvl w:ilvl="0" w:tentative="0">
      <w:start w:val="1"/>
      <w:numFmt w:val="chineseCounting"/>
      <w:suff w:val="nothing"/>
      <w:lvlText w:val="%1、"/>
      <w:lvlJc w:val="left"/>
      <w:rPr>
        <w:rFonts w:hint="eastAsia"/>
      </w:rPr>
    </w:lvl>
  </w:abstractNum>
  <w:abstractNum w:abstractNumId="1">
    <w:nsid w:val="67155292"/>
    <w:multiLevelType w:val="multilevel"/>
    <w:tmpl w:val="6715529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chineseCountingThousand"/>
      <w:suff w:val="nothing"/>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NGMyNGQ3MDRkYTVjYzYxZTY3NGExNDVjNWNkMzMifQ=="/>
  </w:docVars>
  <w:rsids>
    <w:rsidRoot w:val="00172A27"/>
    <w:rsid w:val="00172A27"/>
    <w:rsid w:val="001922CC"/>
    <w:rsid w:val="00206813"/>
    <w:rsid w:val="002417E1"/>
    <w:rsid w:val="00255C08"/>
    <w:rsid w:val="00395B51"/>
    <w:rsid w:val="003A481E"/>
    <w:rsid w:val="0051438B"/>
    <w:rsid w:val="005C1AC5"/>
    <w:rsid w:val="005D2033"/>
    <w:rsid w:val="005F72A2"/>
    <w:rsid w:val="00646AD1"/>
    <w:rsid w:val="00663F54"/>
    <w:rsid w:val="007315F5"/>
    <w:rsid w:val="00770B2A"/>
    <w:rsid w:val="009269D4"/>
    <w:rsid w:val="00944E16"/>
    <w:rsid w:val="009F57AD"/>
    <w:rsid w:val="00AC411B"/>
    <w:rsid w:val="00B051A8"/>
    <w:rsid w:val="00B202D5"/>
    <w:rsid w:val="00D1559E"/>
    <w:rsid w:val="00D760D3"/>
    <w:rsid w:val="00FC2277"/>
    <w:rsid w:val="012515C4"/>
    <w:rsid w:val="01EE7C08"/>
    <w:rsid w:val="0252066A"/>
    <w:rsid w:val="02E371E7"/>
    <w:rsid w:val="03B70064"/>
    <w:rsid w:val="04311444"/>
    <w:rsid w:val="049F2426"/>
    <w:rsid w:val="05E05A25"/>
    <w:rsid w:val="06053772"/>
    <w:rsid w:val="077A3D48"/>
    <w:rsid w:val="086E3851"/>
    <w:rsid w:val="095A6639"/>
    <w:rsid w:val="0A410022"/>
    <w:rsid w:val="0A4D58DB"/>
    <w:rsid w:val="0A562A0F"/>
    <w:rsid w:val="0B5A4560"/>
    <w:rsid w:val="0CA74451"/>
    <w:rsid w:val="0CCC4FEA"/>
    <w:rsid w:val="0E7A1DC9"/>
    <w:rsid w:val="0EE77EB9"/>
    <w:rsid w:val="0F3C2D50"/>
    <w:rsid w:val="0FFA73AA"/>
    <w:rsid w:val="10D00A20"/>
    <w:rsid w:val="118218DF"/>
    <w:rsid w:val="12AA36D7"/>
    <w:rsid w:val="13BD0334"/>
    <w:rsid w:val="14C20BA7"/>
    <w:rsid w:val="14CC4A81"/>
    <w:rsid w:val="1546136E"/>
    <w:rsid w:val="155D4BD3"/>
    <w:rsid w:val="156839A2"/>
    <w:rsid w:val="16290DB7"/>
    <w:rsid w:val="18B0569B"/>
    <w:rsid w:val="192B21BE"/>
    <w:rsid w:val="1E056F6B"/>
    <w:rsid w:val="1E4E7B4F"/>
    <w:rsid w:val="1E641526"/>
    <w:rsid w:val="20012DA5"/>
    <w:rsid w:val="21F661EB"/>
    <w:rsid w:val="22F555B9"/>
    <w:rsid w:val="246C599D"/>
    <w:rsid w:val="247C6E9E"/>
    <w:rsid w:val="24C0692C"/>
    <w:rsid w:val="24D44515"/>
    <w:rsid w:val="27F21951"/>
    <w:rsid w:val="28DC5364"/>
    <w:rsid w:val="29EE7EF6"/>
    <w:rsid w:val="2BA92EAA"/>
    <w:rsid w:val="2BEC3A4A"/>
    <w:rsid w:val="2C5C383D"/>
    <w:rsid w:val="2C641C43"/>
    <w:rsid w:val="2E82647A"/>
    <w:rsid w:val="2E851F89"/>
    <w:rsid w:val="2EA210B7"/>
    <w:rsid w:val="2ED87595"/>
    <w:rsid w:val="321F6D79"/>
    <w:rsid w:val="322F37A1"/>
    <w:rsid w:val="340071A3"/>
    <w:rsid w:val="347033B1"/>
    <w:rsid w:val="362514DE"/>
    <w:rsid w:val="37FD6B8A"/>
    <w:rsid w:val="38E0334C"/>
    <w:rsid w:val="39B95C9C"/>
    <w:rsid w:val="3B0D21A6"/>
    <w:rsid w:val="3B4B3979"/>
    <w:rsid w:val="3B844B5E"/>
    <w:rsid w:val="3C29347A"/>
    <w:rsid w:val="3C356139"/>
    <w:rsid w:val="3E793E15"/>
    <w:rsid w:val="40D35433"/>
    <w:rsid w:val="42CD0DF5"/>
    <w:rsid w:val="43000F6E"/>
    <w:rsid w:val="43301127"/>
    <w:rsid w:val="43810201"/>
    <w:rsid w:val="438D657A"/>
    <w:rsid w:val="43FE2FD4"/>
    <w:rsid w:val="44056A46"/>
    <w:rsid w:val="4491418D"/>
    <w:rsid w:val="44AF6A91"/>
    <w:rsid w:val="45486F69"/>
    <w:rsid w:val="457E617A"/>
    <w:rsid w:val="45A21C32"/>
    <w:rsid w:val="46DC7073"/>
    <w:rsid w:val="4715312D"/>
    <w:rsid w:val="477E5958"/>
    <w:rsid w:val="480F6AC9"/>
    <w:rsid w:val="4B6866B6"/>
    <w:rsid w:val="4C9469A0"/>
    <w:rsid w:val="4F0022F6"/>
    <w:rsid w:val="4FEA6A3C"/>
    <w:rsid w:val="500E27F0"/>
    <w:rsid w:val="50D61560"/>
    <w:rsid w:val="51131FD5"/>
    <w:rsid w:val="52803030"/>
    <w:rsid w:val="530473CA"/>
    <w:rsid w:val="535B5D4C"/>
    <w:rsid w:val="551E5CEB"/>
    <w:rsid w:val="55284354"/>
    <w:rsid w:val="556E15B6"/>
    <w:rsid w:val="564C1AF9"/>
    <w:rsid w:val="56521D3A"/>
    <w:rsid w:val="57867037"/>
    <w:rsid w:val="57F9079B"/>
    <w:rsid w:val="5A1F7AD4"/>
    <w:rsid w:val="5C252174"/>
    <w:rsid w:val="5DDA50E2"/>
    <w:rsid w:val="5E1C32D0"/>
    <w:rsid w:val="5F187966"/>
    <w:rsid w:val="60275934"/>
    <w:rsid w:val="6145156F"/>
    <w:rsid w:val="619D39D4"/>
    <w:rsid w:val="643407A7"/>
    <w:rsid w:val="655A7348"/>
    <w:rsid w:val="66243797"/>
    <w:rsid w:val="691E364C"/>
    <w:rsid w:val="69A006B2"/>
    <w:rsid w:val="6A044068"/>
    <w:rsid w:val="6AD14E1A"/>
    <w:rsid w:val="6B453112"/>
    <w:rsid w:val="6C832144"/>
    <w:rsid w:val="6CDD66BA"/>
    <w:rsid w:val="6D3F29A4"/>
    <w:rsid w:val="6D4019ED"/>
    <w:rsid w:val="6E6C6C08"/>
    <w:rsid w:val="6F524050"/>
    <w:rsid w:val="6F800BBD"/>
    <w:rsid w:val="721937C4"/>
    <w:rsid w:val="72BD5C84"/>
    <w:rsid w:val="73816CB2"/>
    <w:rsid w:val="740B2A1F"/>
    <w:rsid w:val="7577622B"/>
    <w:rsid w:val="76084922"/>
    <w:rsid w:val="778F2824"/>
    <w:rsid w:val="797C1F3C"/>
    <w:rsid w:val="79B3410A"/>
    <w:rsid w:val="7B62386D"/>
    <w:rsid w:val="7B7B048A"/>
    <w:rsid w:val="7BC542E8"/>
    <w:rsid w:val="7C6F0119"/>
    <w:rsid w:val="7CB7465C"/>
    <w:rsid w:val="7CF95B0B"/>
    <w:rsid w:val="7E1D651F"/>
    <w:rsid w:val="7E6148BD"/>
    <w:rsid w:val="7F65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8" w:lineRule="auto"/>
    </w:pPr>
    <w:rPr>
      <w:b w:val="0"/>
      <w:bCs w:val="0"/>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330" w:after="340"/>
      <w:jc w:val="center"/>
      <w:outlineLvl w:val="0"/>
    </w:pPr>
    <w:rPr>
      <w:b/>
      <w:bCs/>
      <w:sz w:val="32"/>
      <w:szCs w:val="32"/>
    </w:rPr>
  </w:style>
  <w:style w:type="paragraph" w:styleId="5">
    <w:name w:val="Normal Indent"/>
    <w:basedOn w:val="1"/>
    <w:next w:val="4"/>
    <w:qFormat/>
    <w:uiPriority w:val="0"/>
    <w:pPr>
      <w:spacing w:line="360" w:lineRule="auto"/>
      <w:ind w:firstLine="420" w:firstLineChars="200"/>
    </w:pPr>
    <w:rPr>
      <w:sz w:val="24"/>
    </w:rPr>
  </w:style>
  <w:style w:type="paragraph" w:styleId="6">
    <w:name w:val="annotation text"/>
    <w:basedOn w:val="1"/>
    <w:link w:val="51"/>
    <w:qFormat/>
    <w:uiPriority w:val="0"/>
    <w:pPr>
      <w:jc w:val="left"/>
    </w:pPr>
  </w:style>
  <w:style w:type="paragraph" w:styleId="7">
    <w:name w:val="Body Text"/>
    <w:basedOn w:val="1"/>
    <w:link w:val="42"/>
    <w:qFormat/>
    <w:uiPriority w:val="0"/>
    <w:rPr>
      <w:b/>
      <w:sz w:val="32"/>
      <w:szCs w:val="20"/>
    </w:rPr>
  </w:style>
  <w:style w:type="paragraph" w:styleId="8">
    <w:name w:val="Body Text Indent"/>
    <w:basedOn w:val="1"/>
    <w:qFormat/>
    <w:uiPriority w:val="0"/>
    <w:pPr>
      <w:spacing w:after="120"/>
      <w:ind w:left="420" w:leftChars="200"/>
    </w:pPr>
  </w:style>
  <w:style w:type="paragraph" w:styleId="9">
    <w:name w:val="Date"/>
    <w:basedOn w:val="1"/>
    <w:next w:val="1"/>
    <w:link w:val="41"/>
    <w:qFormat/>
    <w:uiPriority w:val="0"/>
    <w:pPr>
      <w:ind w:left="100" w:leftChars="2500"/>
    </w:pPr>
  </w:style>
  <w:style w:type="paragraph" w:styleId="10">
    <w:name w:val="Balloon Text"/>
    <w:basedOn w:val="1"/>
    <w:link w:val="53"/>
    <w:qFormat/>
    <w:uiPriority w:val="0"/>
    <w:rPr>
      <w:sz w:val="18"/>
      <w:szCs w:val="18"/>
    </w:rPr>
  </w:style>
  <w:style w:type="paragraph" w:styleId="11">
    <w:name w:val="footer"/>
    <w:basedOn w:val="1"/>
    <w:link w:val="39"/>
    <w:qFormat/>
    <w:uiPriority w:val="99"/>
    <w:pPr>
      <w:tabs>
        <w:tab w:val="center" w:pos="4153"/>
        <w:tab w:val="right" w:pos="8306"/>
      </w:tabs>
      <w:snapToGrid w:val="0"/>
      <w:jc w:val="left"/>
    </w:pPr>
    <w:rPr>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45"/>
    <w:qFormat/>
    <w:uiPriority w:val="0"/>
    <w:pPr>
      <w:spacing w:line="600" w:lineRule="exact"/>
      <w:jc w:val="center"/>
    </w:pPr>
    <w:rPr>
      <w:rFonts w:ascii="方正小标宋简体" w:eastAsia="方正小标宋简体"/>
      <w:bCs/>
      <w:sz w:val="44"/>
      <w:szCs w:val="44"/>
    </w:rPr>
  </w:style>
  <w:style w:type="paragraph" w:styleId="14">
    <w:name w:val="annotation subject"/>
    <w:basedOn w:val="6"/>
    <w:next w:val="6"/>
    <w:link w:val="52"/>
    <w:qFormat/>
    <w:uiPriority w:val="0"/>
    <w:rPr>
      <w:b/>
      <w:bCs/>
    </w:rPr>
  </w:style>
  <w:style w:type="paragraph" w:styleId="15">
    <w:name w:val="Body Text First Indent 2"/>
    <w:basedOn w:val="8"/>
    <w:next w:val="1"/>
    <w:qFormat/>
    <w:uiPriority w:val="0"/>
    <w:pPr>
      <w:ind w:firstLine="420" w:firstLineChars="20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2"/>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40"/>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paragraph" w:customStyle="1" w:styleId="32">
    <w:name w:val="标题1"/>
    <w:basedOn w:val="7"/>
    <w:link w:val="43"/>
    <w:qFormat/>
    <w:uiPriority w:val="0"/>
    <w:pPr>
      <w:jc w:val="distribute"/>
    </w:pPr>
    <w:rPr>
      <w:rFonts w:ascii="方正小标宋简体" w:eastAsia="方正小标宋简体"/>
      <w:color w:val="FF0000"/>
      <w:spacing w:val="-8"/>
      <w:sz w:val="52"/>
      <w:szCs w:val="52"/>
    </w:rPr>
  </w:style>
  <w:style w:type="paragraph" w:customStyle="1" w:styleId="33">
    <w:name w:val="文号1"/>
    <w:basedOn w:val="1"/>
    <w:link w:val="44"/>
    <w:qFormat/>
    <w:uiPriority w:val="0"/>
    <w:pPr>
      <w:adjustRightInd w:val="0"/>
      <w:snapToGrid w:val="0"/>
      <w:spacing w:beforeLines="200" w:line="400" w:lineRule="exact"/>
      <w:jc w:val="center"/>
    </w:pPr>
    <w:rPr>
      <w:rFonts w:ascii="仿宋" w:hAnsi="仿宋" w:eastAsia="仿宋"/>
      <w:sz w:val="30"/>
      <w:szCs w:val="30"/>
    </w:rPr>
  </w:style>
  <w:style w:type="paragraph" w:customStyle="1" w:styleId="34">
    <w:name w:val="标题2"/>
    <w:basedOn w:val="13"/>
    <w:link w:val="46"/>
    <w:qFormat/>
    <w:uiPriority w:val="0"/>
    <w:rPr>
      <w:rFonts w:ascii="宋体" w:hAnsi="宋体" w:eastAsia="宋体"/>
      <w:b/>
    </w:rPr>
  </w:style>
  <w:style w:type="paragraph" w:customStyle="1" w:styleId="35">
    <w:name w:val="对象"/>
    <w:basedOn w:val="1"/>
    <w:link w:val="47"/>
    <w:qFormat/>
    <w:uiPriority w:val="0"/>
    <w:pPr>
      <w:spacing w:beforeLines="100" w:line="540" w:lineRule="exact"/>
    </w:pPr>
    <w:rPr>
      <w:rFonts w:ascii="仿宋" w:hAnsi="仿宋" w:eastAsia="仿宋"/>
      <w:sz w:val="32"/>
      <w:szCs w:val="32"/>
    </w:rPr>
  </w:style>
  <w:style w:type="paragraph" w:customStyle="1" w:styleId="36">
    <w:name w:val="正本"/>
    <w:basedOn w:val="1"/>
    <w:link w:val="48"/>
    <w:qFormat/>
    <w:uiPriority w:val="0"/>
    <w:pPr>
      <w:spacing w:line="540" w:lineRule="exact"/>
      <w:ind w:firstLine="200" w:firstLineChars="200"/>
    </w:pPr>
    <w:rPr>
      <w:rFonts w:eastAsia="仿宋"/>
      <w:sz w:val="32"/>
      <w:szCs w:val="32"/>
    </w:rPr>
  </w:style>
  <w:style w:type="paragraph" w:customStyle="1" w:styleId="37">
    <w:name w:val="落款日期"/>
    <w:basedOn w:val="1"/>
    <w:link w:val="49"/>
    <w:qFormat/>
    <w:uiPriority w:val="0"/>
    <w:pPr>
      <w:spacing w:beforeLines="400" w:line="540" w:lineRule="exact"/>
      <w:ind w:right="200" w:rightChars="200" w:firstLine="200" w:firstLineChars="200"/>
      <w:jc w:val="right"/>
    </w:pPr>
    <w:rPr>
      <w:rFonts w:ascii="仿宋" w:hAnsi="仿宋" w:eastAsia="仿宋"/>
      <w:sz w:val="32"/>
      <w:szCs w:val="32"/>
    </w:rPr>
  </w:style>
  <w:style w:type="paragraph" w:customStyle="1" w:styleId="38">
    <w:name w:val="落款单位"/>
    <w:basedOn w:val="37"/>
    <w:link w:val="50"/>
    <w:qFormat/>
    <w:uiPriority w:val="0"/>
    <w:pPr>
      <w:ind w:right="300" w:rightChars="300" w:firstLine="0" w:firstLineChars="0"/>
    </w:pPr>
    <w:rPr>
      <w:rFonts w:eastAsia="仿宋_GB2312"/>
    </w:rPr>
  </w:style>
  <w:style w:type="character" w:customStyle="1" w:styleId="39">
    <w:name w:val="页脚 字符"/>
    <w:link w:val="11"/>
    <w:qFormat/>
    <w:uiPriority w:val="99"/>
    <w:rPr>
      <w:kern w:val="2"/>
      <w:sz w:val="18"/>
      <w:szCs w:val="18"/>
    </w:rPr>
  </w:style>
  <w:style w:type="character" w:customStyle="1" w:styleId="40">
    <w:name w:val="表文字 Char1"/>
    <w:link w:val="29"/>
    <w:semiHidden/>
    <w:qFormat/>
    <w:uiPriority w:val="0"/>
    <w:rPr>
      <w:sz w:val="21"/>
      <w:szCs w:val="21"/>
      <w:lang w:val="en-US" w:eastAsia="zh-CN" w:bidi="ar-SA"/>
    </w:rPr>
  </w:style>
  <w:style w:type="character" w:customStyle="1" w:styleId="41">
    <w:name w:val="日期 字符"/>
    <w:link w:val="9"/>
    <w:qFormat/>
    <w:uiPriority w:val="0"/>
    <w:rPr>
      <w:kern w:val="2"/>
      <w:sz w:val="21"/>
      <w:szCs w:val="24"/>
    </w:rPr>
  </w:style>
  <w:style w:type="character" w:customStyle="1" w:styleId="42">
    <w:name w:val="正文文本 字符"/>
    <w:link w:val="7"/>
    <w:qFormat/>
    <w:uiPriority w:val="0"/>
    <w:rPr>
      <w:b/>
      <w:kern w:val="2"/>
      <w:sz w:val="32"/>
    </w:rPr>
  </w:style>
  <w:style w:type="character" w:customStyle="1" w:styleId="43">
    <w:name w:val="标题1 字符"/>
    <w:link w:val="32"/>
    <w:qFormat/>
    <w:uiPriority w:val="0"/>
    <w:rPr>
      <w:rFonts w:ascii="方正小标宋简体" w:eastAsia="方正小标宋简体"/>
      <w:b/>
      <w:color w:val="FF0000"/>
      <w:spacing w:val="-8"/>
      <w:kern w:val="2"/>
      <w:sz w:val="52"/>
      <w:szCs w:val="52"/>
    </w:rPr>
  </w:style>
  <w:style w:type="character" w:customStyle="1" w:styleId="44">
    <w:name w:val="文号1 字符"/>
    <w:link w:val="33"/>
    <w:qFormat/>
    <w:uiPriority w:val="0"/>
    <w:rPr>
      <w:rFonts w:ascii="仿宋" w:hAnsi="仿宋" w:eastAsia="仿宋"/>
      <w:kern w:val="2"/>
      <w:sz w:val="30"/>
      <w:szCs w:val="30"/>
    </w:rPr>
  </w:style>
  <w:style w:type="character" w:customStyle="1" w:styleId="45">
    <w:name w:val="正文文本 2 字符"/>
    <w:link w:val="13"/>
    <w:qFormat/>
    <w:uiPriority w:val="0"/>
    <w:rPr>
      <w:rFonts w:ascii="方正小标宋简体" w:eastAsia="方正小标宋简体"/>
      <w:bCs/>
      <w:kern w:val="2"/>
      <w:sz w:val="44"/>
      <w:szCs w:val="44"/>
    </w:rPr>
  </w:style>
  <w:style w:type="character" w:customStyle="1" w:styleId="46">
    <w:name w:val="标题2 字符"/>
    <w:link w:val="34"/>
    <w:qFormat/>
    <w:uiPriority w:val="0"/>
    <w:rPr>
      <w:rFonts w:ascii="宋体" w:hAnsi="宋体"/>
      <w:b/>
      <w:bCs/>
      <w:kern w:val="2"/>
      <w:sz w:val="44"/>
      <w:szCs w:val="44"/>
    </w:rPr>
  </w:style>
  <w:style w:type="character" w:customStyle="1" w:styleId="47">
    <w:name w:val="对象 字符"/>
    <w:link w:val="35"/>
    <w:qFormat/>
    <w:uiPriority w:val="0"/>
    <w:rPr>
      <w:rFonts w:ascii="仿宋" w:hAnsi="仿宋" w:eastAsia="仿宋"/>
      <w:kern w:val="2"/>
      <w:sz w:val="32"/>
      <w:szCs w:val="32"/>
    </w:rPr>
  </w:style>
  <w:style w:type="character" w:customStyle="1" w:styleId="48">
    <w:name w:val="正本 字符"/>
    <w:link w:val="36"/>
    <w:qFormat/>
    <w:uiPriority w:val="0"/>
    <w:rPr>
      <w:rFonts w:eastAsia="仿宋"/>
      <w:kern w:val="2"/>
      <w:sz w:val="32"/>
      <w:szCs w:val="32"/>
    </w:rPr>
  </w:style>
  <w:style w:type="character" w:customStyle="1" w:styleId="49">
    <w:name w:val="落款日期 字符"/>
    <w:link w:val="37"/>
    <w:qFormat/>
    <w:uiPriority w:val="0"/>
    <w:rPr>
      <w:rFonts w:ascii="仿宋" w:hAnsi="仿宋" w:eastAsia="仿宋"/>
      <w:kern w:val="2"/>
      <w:sz w:val="32"/>
      <w:szCs w:val="32"/>
    </w:rPr>
  </w:style>
  <w:style w:type="character" w:customStyle="1" w:styleId="50">
    <w:name w:val="落款单位 字符"/>
    <w:link w:val="38"/>
    <w:qFormat/>
    <w:uiPriority w:val="0"/>
    <w:rPr>
      <w:rFonts w:ascii="仿宋" w:hAnsi="仿宋" w:eastAsia="仿宋_GB2312"/>
      <w:kern w:val="2"/>
      <w:sz w:val="32"/>
      <w:szCs w:val="32"/>
    </w:rPr>
  </w:style>
  <w:style w:type="character" w:customStyle="1" w:styleId="51">
    <w:name w:val="批注文字 字符"/>
    <w:link w:val="6"/>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0"/>
    <w:qFormat/>
    <w:uiPriority w:val="0"/>
    <w:rPr>
      <w:kern w:val="2"/>
      <w:sz w:val="18"/>
      <w:szCs w:val="18"/>
    </w:rPr>
  </w:style>
  <w:style w:type="paragraph" w:styleId="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6</Pages>
  <Words>2967</Words>
  <Characters>3179</Characters>
  <Lines>19</Lines>
  <Paragraphs>5</Paragraphs>
  <TotalTime>35</TotalTime>
  <ScaleCrop>false</ScaleCrop>
  <LinksUpToDate>false</LinksUpToDate>
  <CharactersWithSpaces>3262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2025-01-23T02:55:00Z</dcterms:created>
  <dc:creator>雨林木风</dc:creator>
  <cp:lastModifiedBy>Roo</cp:lastModifiedBy>
  <cp:lastPrinted>2025-09-02T03:55:00Z</cp:lastPrinted>
  <dcterms:modified xsi:type="dcterms:W3CDTF">2025-09-03T01:40:22Z</dcterms:modified>
  <dc:title>柳环审字〔2012〕号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A06C397CF4C34F8DA985A2FC78E4DF30_13</vt:lpwstr>
  </property>
  <property fmtid="{D5CDD505-2E9C-101B-9397-08002B2CF9AE}" pid="4" name="KSOTemplateDocerSaveRecord">
    <vt:lpwstr>eyJoZGlkIjoiNjdkZjg3YzQyMDQ4ZWZkODQ0MmYzZDZjYmNhZDFiOTciLCJ1c2VySWQiOiI3NDI3NDE5MTUifQ==</vt:lpwstr>
  </property>
</Properties>
</file>