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ind w:firstLine="0" w:firstLineChars="0"/>
        <w:jc w:val="left"/>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rPr>
        <w:t>附件</w:t>
      </w:r>
      <w:r>
        <w:rPr>
          <w:rFonts w:hint="eastAsia" w:ascii="Times New Roman" w:hAnsi="Times New Roman" w:eastAsia="仿宋_GB2312" w:cs="仿宋_GB2312"/>
          <w:sz w:val="32"/>
          <w:szCs w:val="32"/>
          <w:lang w:val="en-US" w:eastAsia="zh-CN"/>
        </w:rPr>
        <w:t>4</w:t>
      </w:r>
    </w:p>
    <w:p>
      <w:pPr>
        <w:adjustRightInd w:val="0"/>
        <w:snapToGrid w:val="0"/>
        <w:spacing w:line="570" w:lineRule="exact"/>
        <w:jc w:val="center"/>
        <w:rPr>
          <w:rFonts w:ascii="方正小标宋_GBK" w:eastAsia="方正小标宋_GBK"/>
          <w:sz w:val="44"/>
          <w:szCs w:val="44"/>
        </w:rPr>
      </w:pPr>
      <w:r>
        <w:rPr>
          <w:rFonts w:hint="eastAsia" w:ascii="方正小标宋_GBK" w:eastAsia="方正小标宋_GBK"/>
          <w:sz w:val="44"/>
          <w:szCs w:val="44"/>
          <w:lang w:eastAsia="zh-CN"/>
        </w:rPr>
        <w:t>柳城</w:t>
      </w:r>
      <w:r>
        <w:rPr>
          <w:rFonts w:hint="eastAsia" w:ascii="方正小标宋_GBK" w:eastAsia="方正小标宋_GBK"/>
          <w:sz w:val="44"/>
          <w:szCs w:val="44"/>
        </w:rPr>
        <w:t>县</w:t>
      </w:r>
      <w:r>
        <w:rPr>
          <w:rFonts w:hint="eastAsia" w:ascii="方正小标宋_GBK" w:eastAsia="方正小标宋_GBK"/>
          <w:sz w:val="44"/>
          <w:szCs w:val="44"/>
          <w:lang w:eastAsia="zh-CN"/>
        </w:rPr>
        <w:t>档案局县乡两级</w:t>
      </w:r>
      <w:r>
        <w:rPr>
          <w:rFonts w:hint="eastAsia" w:ascii="方正小标宋_GBK" w:eastAsia="方正小标宋_GBK"/>
          <w:sz w:val="44"/>
          <w:szCs w:val="44"/>
        </w:rPr>
        <w:t>权责清单</w:t>
      </w:r>
    </w:p>
    <w:p>
      <w:pPr>
        <w:adjustRightInd w:val="0"/>
        <w:snapToGrid w:val="0"/>
        <w:spacing w:line="570" w:lineRule="exact"/>
        <w:jc w:val="center"/>
        <w:rPr>
          <w:rFonts w:ascii="仿宋_GB2312" w:eastAsia="仿宋_GB2312"/>
          <w:sz w:val="44"/>
          <w:szCs w:val="44"/>
        </w:rPr>
      </w:pPr>
    </w:p>
    <w:tbl>
      <w:tblPr>
        <w:tblStyle w:val="4"/>
        <w:tblW w:w="21844" w:type="dxa"/>
        <w:jc w:val="center"/>
        <w:tblLayout w:type="fixed"/>
        <w:tblCellMar>
          <w:top w:w="28" w:type="dxa"/>
          <w:left w:w="28" w:type="dxa"/>
          <w:bottom w:w="28" w:type="dxa"/>
          <w:right w:w="28" w:type="dxa"/>
        </w:tblCellMar>
      </w:tblPr>
      <w:tblGrid>
        <w:gridCol w:w="416"/>
        <w:gridCol w:w="325"/>
        <w:gridCol w:w="534"/>
        <w:gridCol w:w="491"/>
        <w:gridCol w:w="657"/>
        <w:gridCol w:w="1050"/>
        <w:gridCol w:w="3220"/>
        <w:gridCol w:w="2099"/>
        <w:gridCol w:w="5972"/>
        <w:gridCol w:w="1740"/>
        <w:gridCol w:w="4470"/>
        <w:gridCol w:w="540"/>
        <w:gridCol w:w="330"/>
      </w:tblGrid>
      <w:tr>
        <w:tblPrEx>
          <w:tblCellMar>
            <w:top w:w="28" w:type="dxa"/>
            <w:left w:w="28" w:type="dxa"/>
            <w:bottom w:w="28" w:type="dxa"/>
            <w:right w:w="28" w:type="dxa"/>
          </w:tblCellMar>
        </w:tblPrEx>
        <w:trPr>
          <w:trHeight w:val="28" w:hRule="atLeast"/>
          <w:tblHeader/>
          <w:jc w:val="center"/>
        </w:trPr>
        <w:tc>
          <w:tcPr>
            <w:tcW w:w="41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方正黑体_GBK" w:hAnsi="黑体" w:eastAsia="方正黑体_GBK" w:cs="宋体"/>
                <w:color w:val="000000"/>
                <w:kern w:val="0"/>
                <w:sz w:val="20"/>
                <w:szCs w:val="20"/>
              </w:rPr>
            </w:pPr>
            <w:r>
              <w:rPr>
                <w:rFonts w:hint="eastAsia" w:ascii="方正黑体_GBK" w:hAnsi="黑体" w:eastAsia="方正黑体_GBK" w:cs="宋体"/>
                <w:color w:val="000000"/>
                <w:kern w:val="0"/>
                <w:sz w:val="20"/>
                <w:szCs w:val="20"/>
              </w:rPr>
              <w:t>序号</w:t>
            </w:r>
          </w:p>
        </w:tc>
        <w:tc>
          <w:tcPr>
            <w:tcW w:w="325" w:type="dxa"/>
            <w:vMerge w:val="restart"/>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方正黑体_GBK" w:hAnsi="黑体" w:eastAsia="方正黑体_GBK" w:cs="宋体"/>
                <w:color w:val="000000"/>
                <w:kern w:val="0"/>
                <w:sz w:val="20"/>
                <w:szCs w:val="20"/>
              </w:rPr>
            </w:pPr>
            <w:r>
              <w:rPr>
                <w:rFonts w:hint="eastAsia" w:ascii="方正黑体_GBK" w:hAnsi="黑体" w:eastAsia="方正黑体_GBK" w:cs="宋体"/>
                <w:color w:val="000000"/>
                <w:kern w:val="0"/>
                <w:sz w:val="20"/>
                <w:szCs w:val="20"/>
              </w:rPr>
              <w:t>权力分类</w:t>
            </w:r>
          </w:p>
        </w:tc>
        <w:tc>
          <w:tcPr>
            <w:tcW w:w="5952" w:type="dxa"/>
            <w:gridSpan w:val="5"/>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方正黑体_GBK" w:hAnsi="黑体" w:eastAsia="方正黑体_GBK" w:cs="宋体"/>
                <w:color w:val="000000"/>
                <w:kern w:val="0"/>
                <w:sz w:val="20"/>
                <w:szCs w:val="20"/>
              </w:rPr>
            </w:pPr>
            <w:r>
              <w:rPr>
                <w:rFonts w:hint="eastAsia" w:ascii="方正黑体_GBK" w:hAnsi="黑体" w:eastAsia="方正黑体_GBK" w:cs="宋体"/>
                <w:color w:val="000000"/>
                <w:kern w:val="0"/>
                <w:sz w:val="20"/>
                <w:szCs w:val="20"/>
              </w:rPr>
              <w:t>权力清单</w:t>
            </w:r>
          </w:p>
        </w:tc>
        <w:tc>
          <w:tcPr>
            <w:tcW w:w="14821" w:type="dxa"/>
            <w:gridSpan w:val="5"/>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方正黑体_GBK" w:hAnsi="黑体" w:eastAsia="方正黑体_GBK" w:cs="宋体"/>
                <w:color w:val="000000"/>
                <w:kern w:val="0"/>
                <w:sz w:val="20"/>
                <w:szCs w:val="20"/>
              </w:rPr>
            </w:pPr>
            <w:r>
              <w:rPr>
                <w:rFonts w:hint="eastAsia" w:ascii="方正黑体_GBK" w:hAnsi="黑体" w:eastAsia="方正黑体_GBK" w:cs="宋体"/>
                <w:color w:val="000000"/>
                <w:kern w:val="0"/>
                <w:sz w:val="20"/>
                <w:szCs w:val="20"/>
              </w:rPr>
              <w:t>责任清单</w:t>
            </w:r>
          </w:p>
        </w:tc>
        <w:tc>
          <w:tcPr>
            <w:tcW w:w="33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jc w:val="center"/>
              <w:rPr>
                <w:rFonts w:ascii="方正黑体_GBK" w:hAnsi="黑体" w:eastAsia="方正黑体_GBK" w:cs="宋体"/>
                <w:color w:val="000000"/>
                <w:kern w:val="0"/>
                <w:sz w:val="20"/>
                <w:szCs w:val="20"/>
              </w:rPr>
            </w:pPr>
          </w:p>
        </w:tc>
      </w:tr>
      <w:tr>
        <w:tblPrEx>
          <w:tblCellMar>
            <w:top w:w="28" w:type="dxa"/>
            <w:left w:w="28" w:type="dxa"/>
            <w:bottom w:w="28" w:type="dxa"/>
            <w:right w:w="28" w:type="dxa"/>
          </w:tblCellMar>
        </w:tblPrEx>
        <w:trPr>
          <w:trHeight w:val="28" w:hRule="atLeast"/>
          <w:tblHeader/>
          <w:jc w:val="center"/>
        </w:trPr>
        <w:tc>
          <w:tcPr>
            <w:tcW w:w="41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方正黑体_GBK" w:hAnsi="黑体" w:eastAsia="方正黑体_GBK" w:cs="宋体"/>
                <w:color w:val="000000"/>
                <w:kern w:val="0"/>
                <w:sz w:val="20"/>
                <w:szCs w:val="20"/>
              </w:rPr>
            </w:pPr>
          </w:p>
        </w:tc>
        <w:tc>
          <w:tcPr>
            <w:tcW w:w="325" w:type="dxa"/>
            <w:vMerge w:val="continue"/>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方正黑体_GBK" w:hAnsi="黑体" w:eastAsia="方正黑体_GBK" w:cs="宋体"/>
                <w:color w:val="000000"/>
                <w:kern w:val="0"/>
                <w:sz w:val="20"/>
                <w:szCs w:val="20"/>
              </w:rPr>
            </w:pPr>
          </w:p>
        </w:tc>
        <w:tc>
          <w:tcPr>
            <w:tcW w:w="534"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方正黑体_GBK" w:hAnsi="黑体" w:eastAsia="方正黑体_GBK" w:cs="宋体"/>
                <w:color w:val="000000"/>
                <w:kern w:val="0"/>
                <w:sz w:val="20"/>
                <w:szCs w:val="20"/>
              </w:rPr>
            </w:pPr>
            <w:r>
              <w:rPr>
                <w:rFonts w:hint="eastAsia" w:ascii="方正黑体_GBK" w:hAnsi="黑体" w:eastAsia="方正黑体_GBK" w:cs="宋体"/>
                <w:color w:val="000000"/>
                <w:kern w:val="0"/>
                <w:sz w:val="20"/>
                <w:szCs w:val="20"/>
              </w:rPr>
              <w:t>项目名称</w:t>
            </w:r>
          </w:p>
        </w:tc>
        <w:tc>
          <w:tcPr>
            <w:tcW w:w="491"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方正黑体_GBK" w:hAnsi="黑体" w:eastAsia="方正黑体_GBK" w:cs="宋体"/>
                <w:color w:val="000000"/>
                <w:kern w:val="0"/>
                <w:sz w:val="20"/>
                <w:szCs w:val="20"/>
              </w:rPr>
            </w:pPr>
            <w:r>
              <w:rPr>
                <w:rFonts w:hint="eastAsia" w:ascii="方正黑体_GBK" w:hAnsi="黑体" w:eastAsia="方正黑体_GBK" w:cs="宋体"/>
                <w:color w:val="000000"/>
                <w:kern w:val="0"/>
                <w:sz w:val="20"/>
                <w:szCs w:val="20"/>
              </w:rPr>
              <w:t>子项名称</w:t>
            </w:r>
          </w:p>
        </w:tc>
        <w:tc>
          <w:tcPr>
            <w:tcW w:w="65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方正黑体_GBK" w:hAnsi="黑体" w:eastAsia="方正黑体_GBK" w:cs="宋体"/>
                <w:color w:val="000000"/>
                <w:kern w:val="0"/>
                <w:sz w:val="20"/>
                <w:szCs w:val="20"/>
              </w:rPr>
            </w:pPr>
            <w:r>
              <w:rPr>
                <w:rFonts w:hint="eastAsia" w:ascii="方正黑体_GBK" w:hAnsi="黑体" w:eastAsia="方正黑体_GBK" w:cs="宋体"/>
                <w:color w:val="000000"/>
                <w:kern w:val="0"/>
                <w:sz w:val="20"/>
                <w:szCs w:val="20"/>
              </w:rPr>
              <w:t>实施</w:t>
            </w:r>
          </w:p>
          <w:p>
            <w:pPr>
              <w:adjustRightInd w:val="0"/>
              <w:snapToGrid w:val="0"/>
              <w:spacing w:line="300" w:lineRule="exact"/>
              <w:jc w:val="center"/>
              <w:rPr>
                <w:rFonts w:ascii="方正黑体_GBK" w:hAnsi="黑体" w:eastAsia="方正黑体_GBK" w:cs="宋体"/>
                <w:color w:val="000000"/>
                <w:kern w:val="0"/>
                <w:sz w:val="20"/>
                <w:szCs w:val="20"/>
              </w:rPr>
            </w:pPr>
            <w:r>
              <w:rPr>
                <w:rFonts w:hint="eastAsia" w:ascii="方正黑体_GBK" w:hAnsi="黑体" w:eastAsia="方正黑体_GBK" w:cs="宋体"/>
                <w:color w:val="000000"/>
                <w:kern w:val="0"/>
                <w:sz w:val="20"/>
                <w:szCs w:val="20"/>
              </w:rPr>
              <w:t>主体</w:t>
            </w:r>
          </w:p>
        </w:tc>
        <w:tc>
          <w:tcPr>
            <w:tcW w:w="1050"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方正黑体_GBK" w:hAnsi="黑体" w:eastAsia="方正黑体_GBK" w:cs="宋体"/>
                <w:color w:val="000000"/>
                <w:kern w:val="0"/>
                <w:sz w:val="20"/>
                <w:szCs w:val="20"/>
              </w:rPr>
            </w:pPr>
            <w:r>
              <w:rPr>
                <w:rFonts w:hint="eastAsia" w:ascii="方正黑体_GBK" w:hAnsi="黑体" w:eastAsia="方正黑体_GBK" w:cs="宋体"/>
                <w:color w:val="000000"/>
                <w:kern w:val="0"/>
                <w:sz w:val="20"/>
                <w:szCs w:val="20"/>
              </w:rPr>
              <w:t>承办的</w:t>
            </w:r>
          </w:p>
          <w:p>
            <w:pPr>
              <w:adjustRightInd w:val="0"/>
              <w:snapToGrid w:val="0"/>
              <w:spacing w:line="300" w:lineRule="exact"/>
              <w:jc w:val="center"/>
              <w:rPr>
                <w:rFonts w:ascii="方正黑体_GBK" w:hAnsi="黑体" w:eastAsia="方正黑体_GBK" w:cs="宋体"/>
                <w:color w:val="000000"/>
                <w:kern w:val="0"/>
                <w:sz w:val="20"/>
                <w:szCs w:val="20"/>
              </w:rPr>
            </w:pPr>
            <w:r>
              <w:rPr>
                <w:rFonts w:hint="eastAsia" w:ascii="方正黑体_GBK" w:hAnsi="黑体" w:eastAsia="方正黑体_GBK" w:cs="宋体"/>
                <w:color w:val="000000"/>
                <w:kern w:val="0"/>
                <w:sz w:val="20"/>
                <w:szCs w:val="20"/>
              </w:rPr>
              <w:t>内设机构</w:t>
            </w:r>
          </w:p>
        </w:tc>
        <w:tc>
          <w:tcPr>
            <w:tcW w:w="3220"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方正黑体_GBK" w:hAnsi="黑体" w:eastAsia="方正黑体_GBK" w:cs="宋体"/>
                <w:color w:val="000000"/>
                <w:kern w:val="0"/>
                <w:sz w:val="20"/>
                <w:szCs w:val="20"/>
              </w:rPr>
            </w:pPr>
            <w:r>
              <w:rPr>
                <w:rFonts w:hint="eastAsia" w:ascii="方正黑体_GBK" w:hAnsi="黑体" w:eastAsia="方正黑体_GBK" w:cs="宋体"/>
                <w:color w:val="000000"/>
                <w:kern w:val="0"/>
                <w:sz w:val="20"/>
                <w:szCs w:val="20"/>
              </w:rPr>
              <w:t>实施依据</w:t>
            </w:r>
          </w:p>
        </w:tc>
        <w:tc>
          <w:tcPr>
            <w:tcW w:w="20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方正黑体_GBK" w:hAnsi="黑体" w:eastAsia="方正黑体_GBK" w:cs="宋体"/>
                <w:color w:val="000000"/>
                <w:kern w:val="0"/>
                <w:sz w:val="20"/>
                <w:szCs w:val="20"/>
              </w:rPr>
            </w:pPr>
            <w:r>
              <w:rPr>
                <w:rFonts w:hint="eastAsia" w:ascii="方正黑体_GBK" w:hAnsi="黑体" w:eastAsia="方正黑体_GBK" w:cs="宋体"/>
                <w:color w:val="000000"/>
                <w:kern w:val="0"/>
                <w:sz w:val="20"/>
                <w:szCs w:val="20"/>
              </w:rPr>
              <w:t>责任事项</w:t>
            </w:r>
          </w:p>
        </w:tc>
        <w:tc>
          <w:tcPr>
            <w:tcW w:w="5972"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方正黑体_GBK" w:hAnsi="黑体" w:eastAsia="方正黑体_GBK" w:cs="宋体"/>
                <w:color w:val="000000"/>
                <w:kern w:val="0"/>
                <w:sz w:val="20"/>
                <w:szCs w:val="20"/>
              </w:rPr>
            </w:pPr>
            <w:r>
              <w:rPr>
                <w:rFonts w:hint="eastAsia" w:ascii="方正黑体_GBK" w:hAnsi="黑体" w:eastAsia="方正黑体_GBK" w:cs="宋体"/>
                <w:color w:val="000000"/>
                <w:kern w:val="0"/>
                <w:sz w:val="20"/>
                <w:szCs w:val="20"/>
              </w:rPr>
              <w:t>责任事项依据</w:t>
            </w:r>
          </w:p>
        </w:tc>
        <w:tc>
          <w:tcPr>
            <w:tcW w:w="1740"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方正黑体_GBK" w:hAnsi="黑体" w:eastAsia="方正黑体_GBK" w:cs="宋体"/>
                <w:color w:val="000000"/>
                <w:kern w:val="0"/>
                <w:sz w:val="20"/>
                <w:szCs w:val="20"/>
              </w:rPr>
            </w:pPr>
            <w:r>
              <w:rPr>
                <w:rFonts w:hint="eastAsia" w:ascii="方正黑体_GBK" w:hAnsi="黑体" w:eastAsia="方正黑体_GBK" w:cs="宋体"/>
                <w:color w:val="000000"/>
                <w:kern w:val="0"/>
                <w:sz w:val="20"/>
                <w:szCs w:val="20"/>
              </w:rPr>
              <w:t>追责情形</w:t>
            </w:r>
          </w:p>
        </w:tc>
        <w:tc>
          <w:tcPr>
            <w:tcW w:w="4470"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方正黑体_GBK" w:hAnsi="黑体" w:eastAsia="方正黑体_GBK" w:cs="宋体"/>
                <w:color w:val="000000"/>
                <w:kern w:val="0"/>
                <w:sz w:val="20"/>
                <w:szCs w:val="20"/>
              </w:rPr>
            </w:pPr>
            <w:r>
              <w:rPr>
                <w:rFonts w:hint="eastAsia" w:ascii="方正黑体_GBK" w:hAnsi="黑体" w:eastAsia="方正黑体_GBK" w:cs="宋体"/>
                <w:color w:val="000000"/>
                <w:kern w:val="0"/>
                <w:sz w:val="20"/>
                <w:szCs w:val="20"/>
              </w:rPr>
              <w:t>追责依据</w:t>
            </w:r>
          </w:p>
        </w:tc>
        <w:tc>
          <w:tcPr>
            <w:tcW w:w="540"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方正黑体_GBK" w:hAnsi="黑体" w:eastAsia="方正黑体_GBK" w:cs="宋体"/>
                <w:color w:val="000000"/>
                <w:kern w:val="0"/>
                <w:sz w:val="20"/>
                <w:szCs w:val="20"/>
              </w:rPr>
            </w:pPr>
            <w:r>
              <w:rPr>
                <w:rFonts w:hint="eastAsia" w:ascii="方正黑体_GBK" w:hAnsi="黑体" w:eastAsia="方正黑体_GBK" w:cs="宋体"/>
                <w:color w:val="000000"/>
                <w:kern w:val="0"/>
                <w:sz w:val="20"/>
                <w:szCs w:val="20"/>
              </w:rPr>
              <w:t>免责事项</w:t>
            </w:r>
          </w:p>
        </w:tc>
        <w:tc>
          <w:tcPr>
            <w:tcW w:w="33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jc w:val="center"/>
              <w:rPr>
                <w:rFonts w:ascii="方正黑体_GBK" w:hAnsi="黑体" w:eastAsia="方正黑体_GBK" w:cs="宋体"/>
                <w:color w:val="000000"/>
                <w:kern w:val="0"/>
                <w:sz w:val="20"/>
                <w:szCs w:val="20"/>
              </w:rPr>
            </w:pPr>
            <w:r>
              <w:rPr>
                <w:rFonts w:hint="eastAsia" w:ascii="方正黑体_GBK" w:hAnsi="黑体" w:eastAsia="方正黑体_GBK" w:cs="宋体"/>
                <w:color w:val="000000"/>
                <w:kern w:val="0"/>
                <w:sz w:val="20"/>
                <w:szCs w:val="20"/>
              </w:rPr>
              <w:t>备注</w:t>
            </w:r>
          </w:p>
        </w:tc>
      </w:tr>
      <w:tr>
        <w:tblPrEx>
          <w:tblCellMar>
            <w:top w:w="28" w:type="dxa"/>
            <w:left w:w="28" w:type="dxa"/>
            <w:bottom w:w="28" w:type="dxa"/>
            <w:right w:w="28" w:type="dxa"/>
          </w:tblCellMar>
        </w:tblPrEx>
        <w:trPr>
          <w:trHeight w:val="11737" w:hRule="atLeast"/>
          <w:jc w:val="center"/>
        </w:trPr>
        <w:tc>
          <w:tcPr>
            <w:tcW w:w="416" w:type="dxa"/>
            <w:tcBorders>
              <w:top w:val="nil"/>
              <w:left w:val="single" w:color="auto" w:sz="4" w:space="0"/>
              <w:bottom w:val="single" w:color="auto" w:sz="4" w:space="0"/>
              <w:right w:val="single" w:color="auto" w:sz="4" w:space="0"/>
            </w:tcBorders>
            <w:vAlign w:val="center"/>
          </w:tcPr>
          <w:p>
            <w:pPr>
              <w:adjustRightInd w:val="0"/>
              <w:snapToGrid w:val="0"/>
              <w:spacing w:line="260" w:lineRule="exact"/>
              <w:jc w:val="center"/>
              <w:rPr>
                <w:rFonts w:hint="eastAsia" w:ascii="方正书宋_GBK" w:hAnsi="宋体" w:eastAsia="方正书宋_GBK" w:cs="宋体"/>
                <w:color w:val="auto"/>
                <w:kern w:val="0"/>
                <w:sz w:val="20"/>
                <w:szCs w:val="20"/>
                <w:lang w:val="en-US" w:eastAsia="zh-CN" w:bidi="ar-SA"/>
              </w:rPr>
            </w:pPr>
            <w:r>
              <w:rPr>
                <w:rFonts w:hint="eastAsia" w:ascii="方正书宋_GBK" w:hAnsi="宋体" w:eastAsia="方正书宋_GBK" w:cs="宋体"/>
                <w:color w:val="auto"/>
                <w:kern w:val="0"/>
                <w:sz w:val="20"/>
                <w:szCs w:val="20"/>
                <w:lang w:val="en-US" w:eastAsia="zh-CN"/>
              </w:rPr>
              <w:t>1</w:t>
            </w:r>
          </w:p>
        </w:tc>
        <w:tc>
          <w:tcPr>
            <w:tcW w:w="325" w:type="dxa"/>
            <w:tcBorders>
              <w:top w:val="nil"/>
              <w:left w:val="nil"/>
              <w:bottom w:val="single" w:color="auto" w:sz="4" w:space="0"/>
              <w:right w:val="single" w:color="auto" w:sz="4" w:space="0"/>
            </w:tcBorders>
            <w:vAlign w:val="center"/>
          </w:tcPr>
          <w:p>
            <w:pPr>
              <w:widowControl/>
              <w:adjustRightInd w:val="0"/>
              <w:snapToGrid w:val="0"/>
              <w:spacing w:line="300" w:lineRule="exact"/>
              <w:jc w:val="center"/>
              <w:rPr>
                <w:rFonts w:hint="eastAsia" w:eastAsia="仿宋_GB2312" w:cs="仿宋_GB2312" w:asciiTheme="minorHAnsi" w:hAnsiTheme="minorHAnsi"/>
                <w:snapToGrid w:val="0"/>
                <w:color w:val="auto"/>
                <w:kern w:val="2"/>
                <w:sz w:val="20"/>
                <w:szCs w:val="20"/>
                <w:lang w:val="en-US" w:eastAsia="zh-CN" w:bidi="ar-SA"/>
              </w:rPr>
            </w:pPr>
            <w:r>
              <w:rPr>
                <w:rFonts w:hint="eastAsia" w:eastAsia="仿宋_GB2312" w:cs="仿宋_GB2312"/>
                <w:snapToGrid w:val="0"/>
                <w:color w:val="auto"/>
                <w:sz w:val="20"/>
                <w:szCs w:val="20"/>
              </w:rPr>
              <w:t>行政许可</w:t>
            </w:r>
          </w:p>
        </w:tc>
        <w:tc>
          <w:tcPr>
            <w:tcW w:w="534" w:type="dxa"/>
            <w:tcBorders>
              <w:top w:val="nil"/>
              <w:left w:val="nil"/>
              <w:bottom w:val="single" w:color="auto" w:sz="4" w:space="0"/>
              <w:right w:val="single" w:color="auto" w:sz="4" w:space="0"/>
            </w:tcBorders>
            <w:vAlign w:val="center"/>
          </w:tcPr>
          <w:p>
            <w:pPr>
              <w:widowControl/>
              <w:adjustRightInd w:val="0"/>
              <w:snapToGrid w:val="0"/>
              <w:spacing w:line="300" w:lineRule="exact"/>
              <w:rPr>
                <w:rFonts w:hint="eastAsia" w:eastAsia="仿宋_GB2312" w:cs="仿宋_GB2312" w:asciiTheme="minorHAnsi" w:hAnsiTheme="minorHAnsi"/>
                <w:snapToGrid w:val="0"/>
                <w:color w:val="auto"/>
                <w:kern w:val="2"/>
                <w:sz w:val="20"/>
                <w:szCs w:val="20"/>
                <w:lang w:val="en-US" w:eastAsia="zh-CN" w:bidi="ar-SA"/>
              </w:rPr>
            </w:pPr>
            <w:r>
              <w:rPr>
                <w:rFonts w:hint="eastAsia" w:eastAsia="仿宋_GB2312" w:cs="仿宋_GB2312"/>
                <w:snapToGrid w:val="0"/>
                <w:color w:val="auto"/>
                <w:sz w:val="20"/>
                <w:szCs w:val="20"/>
              </w:rPr>
              <w:t>延期移交档案审批</w:t>
            </w:r>
          </w:p>
        </w:tc>
        <w:tc>
          <w:tcPr>
            <w:tcW w:w="491" w:type="dxa"/>
            <w:tcBorders>
              <w:top w:val="nil"/>
              <w:left w:val="nil"/>
              <w:bottom w:val="single" w:color="auto" w:sz="4" w:space="0"/>
              <w:right w:val="single" w:color="auto" w:sz="4" w:space="0"/>
            </w:tcBorders>
            <w:vAlign w:val="center"/>
          </w:tcPr>
          <w:p>
            <w:pPr>
              <w:widowControl/>
              <w:adjustRightInd w:val="0"/>
              <w:snapToGrid w:val="0"/>
              <w:spacing w:line="300" w:lineRule="exact"/>
              <w:rPr>
                <w:rFonts w:hint="eastAsia" w:eastAsia="仿宋_GB2312" w:cs="仿宋_GB2312" w:asciiTheme="minorHAnsi" w:hAnsiTheme="minorHAnsi"/>
                <w:snapToGrid w:val="0"/>
                <w:color w:val="auto"/>
                <w:kern w:val="2"/>
                <w:sz w:val="20"/>
                <w:szCs w:val="20"/>
                <w:lang w:val="en-US" w:eastAsia="zh-CN" w:bidi="ar-SA"/>
              </w:rPr>
            </w:pPr>
            <w:r>
              <w:rPr>
                <w:rFonts w:hint="eastAsia" w:eastAsia="仿宋_GB2312" w:cs="仿宋_GB2312"/>
                <w:snapToGrid w:val="0"/>
                <w:color w:val="auto"/>
                <w:sz w:val="20"/>
                <w:szCs w:val="20"/>
              </w:rPr>
              <w:t>　</w:t>
            </w:r>
          </w:p>
        </w:tc>
        <w:tc>
          <w:tcPr>
            <w:tcW w:w="657" w:type="dxa"/>
            <w:tcBorders>
              <w:top w:val="nil"/>
              <w:left w:val="nil"/>
              <w:bottom w:val="single" w:color="auto" w:sz="4" w:space="0"/>
              <w:right w:val="single" w:color="auto" w:sz="4" w:space="0"/>
            </w:tcBorders>
            <w:vAlign w:val="center"/>
          </w:tcPr>
          <w:p>
            <w:pPr>
              <w:adjustRightInd w:val="0"/>
              <w:snapToGrid w:val="0"/>
              <w:spacing w:line="260" w:lineRule="exact"/>
              <w:jc w:val="center"/>
              <w:rPr>
                <w:rFonts w:hint="eastAsia" w:ascii="方正书宋_GBK" w:hAnsi="宋体" w:eastAsia="方正书宋_GBK" w:cs="宋体"/>
                <w:color w:val="auto"/>
                <w:kern w:val="0"/>
                <w:sz w:val="20"/>
                <w:szCs w:val="20"/>
                <w:lang w:val="en-US" w:eastAsia="zh-CN" w:bidi="ar-SA"/>
              </w:rPr>
            </w:pPr>
            <w:r>
              <w:rPr>
                <w:rFonts w:hint="eastAsia" w:ascii="方正书宋_GBK" w:hAnsi="宋体" w:eastAsia="方正书宋_GBK" w:cs="宋体"/>
                <w:color w:val="auto"/>
                <w:kern w:val="0"/>
                <w:sz w:val="20"/>
                <w:szCs w:val="20"/>
                <w:lang w:eastAsia="zh-CN"/>
              </w:rPr>
              <w:t>县级</w:t>
            </w:r>
          </w:p>
        </w:tc>
        <w:tc>
          <w:tcPr>
            <w:tcW w:w="1050" w:type="dxa"/>
            <w:tcBorders>
              <w:top w:val="nil"/>
              <w:left w:val="nil"/>
              <w:bottom w:val="single" w:color="auto" w:sz="4" w:space="0"/>
              <w:right w:val="single" w:color="auto" w:sz="4" w:space="0"/>
            </w:tcBorders>
            <w:vAlign w:val="center"/>
          </w:tcPr>
          <w:p>
            <w:pPr>
              <w:adjustRightInd w:val="0"/>
              <w:snapToGrid w:val="0"/>
              <w:spacing w:line="260" w:lineRule="exact"/>
              <w:jc w:val="center"/>
              <w:rPr>
                <w:rFonts w:hint="eastAsia" w:ascii="方正书宋_GBK" w:hAnsi="宋体" w:eastAsia="方正书宋_GBK" w:cs="宋体"/>
                <w:color w:val="auto"/>
                <w:kern w:val="0"/>
                <w:sz w:val="20"/>
                <w:szCs w:val="20"/>
                <w:lang w:val="en-US" w:eastAsia="zh-CN" w:bidi="ar-SA"/>
              </w:rPr>
            </w:pPr>
            <w:r>
              <w:rPr>
                <w:rFonts w:hint="eastAsia" w:ascii="方正书宋_GBK" w:hAnsi="宋体" w:eastAsia="方正书宋_GBK" w:cs="宋体"/>
                <w:color w:val="auto"/>
                <w:kern w:val="0"/>
                <w:sz w:val="20"/>
                <w:szCs w:val="20"/>
                <w:lang w:eastAsia="zh-CN"/>
              </w:rPr>
              <w:t>办公室</w:t>
            </w:r>
          </w:p>
        </w:tc>
        <w:tc>
          <w:tcPr>
            <w:tcW w:w="3220"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ind w:firstLine="400" w:firstLineChars="200"/>
              <w:rPr>
                <w:rFonts w:hint="eastAsia" w:eastAsia="仿宋_GB2312" w:cs="仿宋_GB2312" w:asciiTheme="minorHAnsi" w:hAnsiTheme="minorHAnsi"/>
                <w:snapToGrid w:val="0"/>
                <w:color w:val="auto"/>
                <w:kern w:val="2"/>
                <w:sz w:val="20"/>
                <w:szCs w:val="20"/>
                <w:lang w:val="en-US" w:eastAsia="zh-CN" w:bidi="ar-SA"/>
              </w:rPr>
            </w:pPr>
            <w:r>
              <w:rPr>
                <w:rFonts w:hint="eastAsia" w:eastAsia="仿宋_GB2312" w:cs="仿宋_GB2312"/>
                <w:snapToGrid w:val="0"/>
                <w:color w:val="auto"/>
                <w:sz w:val="20"/>
                <w:szCs w:val="20"/>
              </w:rPr>
              <w:t>【行政法规】《中华人民共和国档案法实施办法》（1999年国务院批准，1999年国家档案局第5号令发布，2017年国务院令第676号修订）第十三条：经同级档案行政管理部门检查和同意，专业性较强或者需要保密的档案，可以延长向有关档案馆移交的期限。</w:t>
            </w:r>
          </w:p>
        </w:tc>
        <w:tc>
          <w:tcPr>
            <w:tcW w:w="2099" w:type="dxa"/>
            <w:tcBorders>
              <w:top w:val="nil"/>
              <w:left w:val="single" w:color="auto" w:sz="4" w:space="0"/>
              <w:bottom w:val="single" w:color="auto" w:sz="4" w:space="0"/>
              <w:right w:val="single" w:color="auto" w:sz="4" w:space="0"/>
            </w:tcBorders>
            <w:vAlign w:val="center"/>
          </w:tcPr>
          <w:p>
            <w:pPr>
              <w:widowControl/>
              <w:adjustRightInd w:val="0"/>
              <w:snapToGrid w:val="0"/>
              <w:spacing w:line="300" w:lineRule="exact"/>
              <w:ind w:firstLine="400" w:firstLineChars="200"/>
              <w:rPr>
                <w:rFonts w:hint="eastAsia" w:eastAsia="仿宋_GB2312" w:cs="仿宋_GB2312"/>
                <w:snapToGrid w:val="0"/>
                <w:color w:val="auto"/>
                <w:sz w:val="20"/>
                <w:szCs w:val="20"/>
              </w:rPr>
            </w:pPr>
            <w:r>
              <w:rPr>
                <w:rFonts w:hint="eastAsia" w:eastAsia="仿宋_GB2312" w:cs="仿宋_GB2312"/>
                <w:snapToGrid w:val="0"/>
                <w:color w:val="auto"/>
                <w:sz w:val="20"/>
                <w:szCs w:val="20"/>
              </w:rPr>
              <w:t>1.受理责任：公示应当提交的材料，一次性告知补正材料，依法受理或不予受理（不予受理应当告知理由）。</w:t>
            </w:r>
          </w:p>
          <w:p>
            <w:pPr>
              <w:widowControl/>
              <w:adjustRightInd w:val="0"/>
              <w:snapToGrid w:val="0"/>
              <w:spacing w:line="300" w:lineRule="exact"/>
              <w:ind w:firstLine="400" w:firstLineChars="200"/>
              <w:rPr>
                <w:rFonts w:hint="eastAsia" w:eastAsia="仿宋_GB2312" w:cs="仿宋_GB2312"/>
                <w:snapToGrid w:val="0"/>
                <w:color w:val="auto"/>
                <w:sz w:val="20"/>
                <w:szCs w:val="20"/>
              </w:rPr>
            </w:pPr>
            <w:r>
              <w:rPr>
                <w:rFonts w:hint="eastAsia" w:eastAsia="仿宋_GB2312" w:cs="仿宋_GB2312"/>
                <w:snapToGrid w:val="0"/>
                <w:color w:val="auto"/>
                <w:sz w:val="20"/>
                <w:szCs w:val="20"/>
              </w:rPr>
              <w:t>2.审查责任：审查申请材料，组织现场检查。</w:t>
            </w:r>
          </w:p>
          <w:p>
            <w:pPr>
              <w:widowControl/>
              <w:adjustRightInd w:val="0"/>
              <w:snapToGrid w:val="0"/>
              <w:spacing w:line="300" w:lineRule="exact"/>
              <w:ind w:firstLine="400" w:firstLineChars="200"/>
              <w:rPr>
                <w:rFonts w:hint="eastAsia" w:eastAsia="仿宋_GB2312" w:cs="仿宋_GB2312"/>
                <w:snapToGrid w:val="0"/>
                <w:color w:val="auto"/>
                <w:sz w:val="20"/>
                <w:szCs w:val="20"/>
              </w:rPr>
            </w:pPr>
            <w:r>
              <w:rPr>
                <w:rFonts w:hint="eastAsia" w:eastAsia="仿宋_GB2312" w:cs="仿宋_GB2312"/>
                <w:snapToGrid w:val="0"/>
                <w:color w:val="auto"/>
                <w:sz w:val="20"/>
                <w:szCs w:val="20"/>
              </w:rPr>
              <w:t>3.决定责任：作出行政许可或者不予行政许可决定，法定告知（不予许可的应当书面告知理由）。</w:t>
            </w:r>
          </w:p>
          <w:p>
            <w:pPr>
              <w:widowControl/>
              <w:adjustRightInd w:val="0"/>
              <w:snapToGrid w:val="0"/>
              <w:spacing w:line="300" w:lineRule="exact"/>
              <w:ind w:firstLine="400" w:firstLineChars="200"/>
              <w:rPr>
                <w:rFonts w:hint="eastAsia" w:eastAsia="仿宋_GB2312" w:cs="仿宋_GB2312"/>
                <w:snapToGrid w:val="0"/>
                <w:color w:val="auto"/>
                <w:sz w:val="20"/>
                <w:szCs w:val="20"/>
              </w:rPr>
            </w:pPr>
            <w:r>
              <w:rPr>
                <w:rFonts w:hint="eastAsia" w:eastAsia="仿宋_GB2312" w:cs="仿宋_GB2312"/>
                <w:snapToGrid w:val="0"/>
                <w:color w:val="auto"/>
                <w:sz w:val="20"/>
                <w:szCs w:val="20"/>
              </w:rPr>
              <w:t>4.送达责任：准予许可的，制发同意批件，送达并信息公开。</w:t>
            </w:r>
          </w:p>
          <w:p>
            <w:pPr>
              <w:widowControl/>
              <w:adjustRightInd w:val="0"/>
              <w:snapToGrid w:val="0"/>
              <w:spacing w:line="300" w:lineRule="exact"/>
              <w:ind w:firstLine="400" w:firstLineChars="200"/>
              <w:rPr>
                <w:rFonts w:hint="eastAsia" w:eastAsia="仿宋_GB2312" w:cs="仿宋_GB2312"/>
                <w:snapToGrid w:val="0"/>
                <w:color w:val="auto"/>
                <w:sz w:val="20"/>
                <w:szCs w:val="20"/>
              </w:rPr>
            </w:pPr>
            <w:r>
              <w:rPr>
                <w:rFonts w:hint="eastAsia" w:eastAsia="仿宋_GB2312" w:cs="仿宋_GB2312"/>
                <w:snapToGrid w:val="0"/>
                <w:color w:val="auto"/>
                <w:sz w:val="20"/>
                <w:szCs w:val="20"/>
              </w:rPr>
              <w:t>5.监管责任：建立实施监督检查的运行机制和管理制度，开展定期和不定期检查，依法采取相关处置措施。</w:t>
            </w:r>
          </w:p>
          <w:p>
            <w:pPr>
              <w:widowControl/>
              <w:adjustRightInd w:val="0"/>
              <w:snapToGrid w:val="0"/>
              <w:spacing w:line="300" w:lineRule="exact"/>
              <w:ind w:firstLine="400" w:firstLineChars="200"/>
              <w:rPr>
                <w:rFonts w:hint="eastAsia" w:eastAsia="仿宋_GB2312" w:cs="仿宋_GB2312" w:asciiTheme="minorHAnsi" w:hAnsiTheme="minorHAnsi"/>
                <w:snapToGrid w:val="0"/>
                <w:color w:val="auto"/>
                <w:kern w:val="2"/>
                <w:sz w:val="20"/>
                <w:szCs w:val="20"/>
                <w:lang w:val="en-US" w:eastAsia="zh-CN" w:bidi="ar-SA"/>
              </w:rPr>
            </w:pPr>
            <w:r>
              <w:rPr>
                <w:rFonts w:hint="eastAsia" w:eastAsia="仿宋_GB2312" w:cs="仿宋_GB2312"/>
                <w:snapToGrid w:val="0"/>
                <w:color w:val="auto"/>
                <w:sz w:val="20"/>
                <w:szCs w:val="20"/>
              </w:rPr>
              <w:t>6.其他法律法规规章文件规定应履行的责任。</w:t>
            </w:r>
          </w:p>
        </w:tc>
        <w:tc>
          <w:tcPr>
            <w:tcW w:w="5972" w:type="dxa"/>
            <w:tcBorders>
              <w:top w:val="nil"/>
              <w:left w:val="nil"/>
              <w:bottom w:val="single" w:color="auto" w:sz="4" w:space="0"/>
              <w:right w:val="single" w:color="auto" w:sz="4" w:space="0"/>
            </w:tcBorders>
            <w:vAlign w:val="center"/>
          </w:tcPr>
          <w:p>
            <w:pPr>
              <w:widowControl/>
              <w:adjustRightInd w:val="0"/>
              <w:snapToGrid w:val="0"/>
              <w:spacing w:line="300" w:lineRule="exact"/>
              <w:ind w:firstLine="400" w:firstLineChars="200"/>
              <w:rPr>
                <w:rFonts w:hint="eastAsia" w:eastAsia="仿宋_GB2312" w:cs="仿宋_GB2312"/>
                <w:snapToGrid w:val="0"/>
                <w:color w:val="auto"/>
                <w:sz w:val="20"/>
                <w:szCs w:val="20"/>
              </w:rPr>
            </w:pPr>
            <w:r>
              <w:rPr>
                <w:rFonts w:hint="eastAsia" w:eastAsia="仿宋_GB2312" w:cs="仿宋_GB2312"/>
                <w:snapToGrid w:val="0"/>
                <w:color w:val="auto"/>
                <w:sz w:val="20"/>
                <w:szCs w:val="20"/>
              </w:rPr>
              <w:t>1.【法律】《中华人民共和国行政许可法》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widowControl/>
              <w:adjustRightInd w:val="0"/>
              <w:snapToGrid w:val="0"/>
              <w:spacing w:line="300" w:lineRule="exact"/>
              <w:ind w:firstLine="400" w:firstLineChars="200"/>
              <w:rPr>
                <w:rFonts w:hint="eastAsia" w:eastAsia="仿宋_GB2312" w:cs="仿宋_GB2312"/>
                <w:snapToGrid w:val="0"/>
                <w:color w:val="auto"/>
                <w:sz w:val="20"/>
                <w:szCs w:val="20"/>
              </w:rPr>
            </w:pPr>
            <w:r>
              <w:rPr>
                <w:rFonts w:hint="eastAsia" w:eastAsia="仿宋_GB2312" w:cs="仿宋_GB2312"/>
                <w:snapToGrid w:val="0"/>
                <w:color w:val="auto"/>
                <w:sz w:val="20"/>
                <w:szCs w:val="20"/>
              </w:rPr>
              <w:t>2.【法律】《中华人民共和国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widowControl/>
              <w:adjustRightInd w:val="0"/>
              <w:snapToGrid w:val="0"/>
              <w:spacing w:line="300" w:lineRule="exact"/>
              <w:ind w:firstLine="400" w:firstLineChars="200"/>
              <w:rPr>
                <w:rFonts w:hint="eastAsia" w:eastAsia="仿宋_GB2312" w:cs="仿宋_GB2312"/>
                <w:snapToGrid w:val="0"/>
                <w:color w:val="auto"/>
                <w:sz w:val="20"/>
                <w:szCs w:val="20"/>
              </w:rPr>
            </w:pPr>
            <w:r>
              <w:rPr>
                <w:rFonts w:hint="eastAsia" w:eastAsia="仿宋_GB2312" w:cs="仿宋_GB2312"/>
                <w:snapToGrid w:val="0"/>
                <w:color w:val="auto"/>
                <w:sz w:val="20"/>
                <w:szCs w:val="20"/>
              </w:rPr>
              <w:t>3.【法律】《中华人民共和国行政许可法》第三十七条：行政机关对行政许可申请进行审查后，除当场作出行政许可决定的外，应当在法定期限内按照规定程序作出行政许可决定。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widowControl/>
              <w:adjustRightInd w:val="0"/>
              <w:snapToGrid w:val="0"/>
              <w:spacing w:line="300" w:lineRule="exact"/>
              <w:ind w:firstLine="400" w:firstLineChars="200"/>
              <w:rPr>
                <w:rFonts w:hint="eastAsia" w:eastAsia="仿宋_GB2312" w:cs="仿宋_GB2312"/>
                <w:snapToGrid w:val="0"/>
                <w:color w:val="auto"/>
                <w:sz w:val="20"/>
                <w:szCs w:val="20"/>
              </w:rPr>
            </w:pPr>
            <w:r>
              <w:rPr>
                <w:rFonts w:hint="eastAsia" w:eastAsia="仿宋_GB2312" w:cs="仿宋_GB2312"/>
                <w:snapToGrid w:val="0"/>
                <w:color w:val="auto"/>
                <w:sz w:val="20"/>
                <w:szCs w:val="20"/>
              </w:rPr>
              <w:t>4.【法律】《中华人民共和国行政许可法》第四十四条：行政机关作出准予行政许可的决定，应当自作出决定之日起十日内向申请人颁发、送达行政许可证件，或者加贴标签、加盖检验、检测、检疫印章。</w:t>
            </w:r>
          </w:p>
          <w:p>
            <w:pPr>
              <w:widowControl/>
              <w:adjustRightInd w:val="0"/>
              <w:snapToGrid w:val="0"/>
              <w:spacing w:line="300" w:lineRule="exact"/>
              <w:ind w:firstLine="400" w:firstLineChars="200"/>
              <w:rPr>
                <w:rFonts w:hint="eastAsia" w:eastAsia="仿宋_GB2312" w:cs="仿宋_GB2312" w:asciiTheme="minorHAnsi" w:hAnsiTheme="minorHAnsi"/>
                <w:snapToGrid w:val="0"/>
                <w:color w:val="auto"/>
                <w:kern w:val="2"/>
                <w:sz w:val="20"/>
                <w:szCs w:val="20"/>
                <w:lang w:val="en-US" w:eastAsia="zh-CN" w:bidi="ar-SA"/>
              </w:rPr>
            </w:pPr>
            <w:r>
              <w:rPr>
                <w:rFonts w:hint="eastAsia" w:eastAsia="仿宋_GB2312" w:cs="仿宋_GB2312"/>
                <w:snapToGrid w:val="0"/>
                <w:color w:val="auto"/>
                <w:sz w:val="20"/>
                <w:szCs w:val="20"/>
              </w:rPr>
              <w:t>5.【法律】《中华人民共和国行政许可法》第六十一条：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w:t>
            </w:r>
          </w:p>
        </w:tc>
        <w:tc>
          <w:tcPr>
            <w:tcW w:w="1740" w:type="dxa"/>
            <w:tcBorders>
              <w:top w:val="nil"/>
              <w:left w:val="nil"/>
              <w:bottom w:val="single" w:color="auto" w:sz="4" w:space="0"/>
              <w:right w:val="single" w:color="auto" w:sz="4" w:space="0"/>
            </w:tcBorders>
            <w:vAlign w:val="center"/>
          </w:tcPr>
          <w:p>
            <w:pPr>
              <w:adjustRightInd w:val="0"/>
              <w:snapToGrid w:val="0"/>
              <w:spacing w:line="240" w:lineRule="exact"/>
              <w:ind w:firstLine="400" w:firstLineChars="200"/>
              <w:rPr>
                <w:rFonts w:eastAsia="仿宋_GB2312"/>
                <w:color w:val="000000"/>
                <w:kern w:val="0"/>
                <w:sz w:val="20"/>
                <w:szCs w:val="20"/>
              </w:rPr>
            </w:pPr>
            <w:r>
              <w:rPr>
                <w:rFonts w:eastAsia="仿宋_GB2312"/>
                <w:color w:val="000000"/>
                <w:kern w:val="0"/>
                <w:sz w:val="20"/>
                <w:szCs w:val="20"/>
              </w:rPr>
              <w:t>因不履行或不正确履行行政职责，有下列情形的，行政机关及相关工作人员应承担相应责任：</w:t>
            </w:r>
          </w:p>
          <w:p>
            <w:pPr>
              <w:adjustRightInd w:val="0"/>
              <w:snapToGrid w:val="0"/>
              <w:spacing w:line="240" w:lineRule="exact"/>
              <w:ind w:firstLine="400" w:firstLineChars="200"/>
              <w:rPr>
                <w:rFonts w:eastAsia="仿宋_GB2312"/>
                <w:color w:val="000000"/>
                <w:kern w:val="0"/>
                <w:sz w:val="20"/>
                <w:szCs w:val="20"/>
              </w:rPr>
            </w:pPr>
            <w:r>
              <w:rPr>
                <w:rFonts w:eastAsia="仿宋_GB2312"/>
                <w:color w:val="000000"/>
                <w:kern w:val="0"/>
                <w:sz w:val="20"/>
                <w:szCs w:val="20"/>
              </w:rPr>
              <w:t>1.符合法定条件的未受理、未办理的，不符合法定条件受理办理的。</w:t>
            </w:r>
          </w:p>
          <w:p>
            <w:pPr>
              <w:adjustRightInd w:val="0"/>
              <w:snapToGrid w:val="0"/>
              <w:spacing w:line="240" w:lineRule="exact"/>
              <w:ind w:firstLine="400" w:firstLineChars="200"/>
              <w:rPr>
                <w:rFonts w:eastAsia="仿宋_GB2312"/>
                <w:color w:val="000000"/>
                <w:kern w:val="0"/>
                <w:sz w:val="20"/>
                <w:szCs w:val="20"/>
              </w:rPr>
            </w:pPr>
            <w:r>
              <w:rPr>
                <w:rFonts w:eastAsia="仿宋_GB2312"/>
                <w:color w:val="000000"/>
                <w:kern w:val="0"/>
                <w:sz w:val="20"/>
                <w:szCs w:val="20"/>
              </w:rPr>
              <w:t>2.不履行或不正确履行权力，造成不良后果的。</w:t>
            </w:r>
          </w:p>
          <w:p>
            <w:pPr>
              <w:adjustRightInd w:val="0"/>
              <w:snapToGrid w:val="0"/>
              <w:spacing w:line="240" w:lineRule="exact"/>
              <w:ind w:firstLine="400" w:firstLineChars="200"/>
              <w:rPr>
                <w:rFonts w:eastAsia="仿宋_GB2312"/>
                <w:color w:val="000000"/>
                <w:kern w:val="0"/>
                <w:sz w:val="20"/>
                <w:szCs w:val="20"/>
              </w:rPr>
            </w:pPr>
            <w:r>
              <w:rPr>
                <w:rFonts w:eastAsia="仿宋_GB2312"/>
                <w:color w:val="000000"/>
                <w:kern w:val="0"/>
                <w:sz w:val="20"/>
                <w:szCs w:val="20"/>
              </w:rPr>
              <w:t>3.在审查中失职、渎职的。</w:t>
            </w:r>
          </w:p>
          <w:p>
            <w:pPr>
              <w:adjustRightInd w:val="0"/>
              <w:snapToGrid w:val="0"/>
              <w:spacing w:line="240" w:lineRule="exact"/>
              <w:ind w:firstLine="400" w:firstLineChars="200"/>
              <w:rPr>
                <w:rFonts w:eastAsia="仿宋_GB2312"/>
                <w:color w:val="000000"/>
                <w:kern w:val="0"/>
                <w:sz w:val="20"/>
                <w:szCs w:val="20"/>
              </w:rPr>
            </w:pPr>
            <w:r>
              <w:rPr>
                <w:rFonts w:eastAsia="仿宋_GB2312"/>
                <w:color w:val="000000"/>
                <w:kern w:val="0"/>
                <w:sz w:val="20"/>
                <w:szCs w:val="20"/>
              </w:rPr>
              <w:t>4.有接受宴请、钱物等腐败行为的。</w:t>
            </w:r>
          </w:p>
          <w:p>
            <w:pPr>
              <w:adjustRightInd w:val="0"/>
              <w:snapToGrid w:val="0"/>
              <w:spacing w:line="240" w:lineRule="exact"/>
              <w:ind w:firstLine="400" w:firstLineChars="200"/>
              <w:rPr>
                <w:rFonts w:hint="eastAsia" w:eastAsia="仿宋_GB2312" w:asciiTheme="minorHAnsi" w:hAnsiTheme="minorHAnsi" w:cstheme="minorBidi"/>
                <w:spacing w:val="-6"/>
                <w:kern w:val="0"/>
                <w:sz w:val="20"/>
                <w:szCs w:val="20"/>
                <w:lang w:val="en-US" w:eastAsia="zh-CN" w:bidi="ar-SA"/>
              </w:rPr>
            </w:pPr>
            <w:r>
              <w:rPr>
                <w:rFonts w:eastAsia="仿宋_GB2312"/>
                <w:color w:val="000000"/>
                <w:kern w:val="0"/>
                <w:sz w:val="20"/>
                <w:szCs w:val="20"/>
              </w:rPr>
              <w:t>5.其他法律法规规章文件规定应履行的责任。</w:t>
            </w:r>
          </w:p>
        </w:tc>
        <w:tc>
          <w:tcPr>
            <w:tcW w:w="4470" w:type="dxa"/>
            <w:tcBorders>
              <w:top w:val="nil"/>
              <w:left w:val="nil"/>
              <w:bottom w:val="single" w:color="auto" w:sz="4" w:space="0"/>
              <w:right w:val="single" w:color="auto" w:sz="4" w:space="0"/>
            </w:tcBorders>
            <w:vAlign w:val="center"/>
          </w:tcPr>
          <w:p>
            <w:pPr>
              <w:adjustRightInd w:val="0"/>
              <w:snapToGrid w:val="0"/>
              <w:spacing w:line="240" w:lineRule="exact"/>
              <w:ind w:firstLine="400" w:firstLineChars="200"/>
              <w:rPr>
                <w:rFonts w:eastAsia="仿宋_GB2312"/>
                <w:color w:val="auto"/>
                <w:kern w:val="0"/>
                <w:sz w:val="20"/>
                <w:szCs w:val="20"/>
              </w:rPr>
            </w:pPr>
            <w:r>
              <w:rPr>
                <w:rFonts w:eastAsia="仿宋_GB2312"/>
                <w:color w:val="auto"/>
                <w:kern w:val="0"/>
                <w:sz w:val="20"/>
                <w:szCs w:val="20"/>
              </w:rPr>
              <w:t>1.【行政法规】《行政机关公务员处分条例》（2007年国务院令第495号）第二十二条：弄虚作假，误导、欺骗领导和公众，造成不良后果的，给予警告、记过或者记大过处分；情节较重的，给予降级或者撤职处分；情节严重的，给予开除处分。</w:t>
            </w:r>
          </w:p>
          <w:p>
            <w:pPr>
              <w:adjustRightInd w:val="0"/>
              <w:snapToGrid w:val="0"/>
              <w:spacing w:line="240" w:lineRule="exact"/>
              <w:ind w:firstLine="400" w:firstLineChars="200"/>
              <w:rPr>
                <w:rFonts w:eastAsia="仿宋_GB2312"/>
                <w:color w:val="auto"/>
                <w:kern w:val="0"/>
                <w:sz w:val="20"/>
                <w:szCs w:val="20"/>
              </w:rPr>
            </w:pPr>
            <w:r>
              <w:rPr>
                <w:rFonts w:eastAsia="仿宋_GB2312"/>
                <w:color w:val="auto"/>
                <w:kern w:val="0"/>
                <w:sz w:val="20"/>
                <w:szCs w:val="20"/>
              </w:rPr>
              <w:t>2.【行政法规】《行政机关公务员处分条例》（2007年国务院令第495号）第二十条：有下列行为之一的，给予记过、记大过处分；情节较重的，给予降级或者撤职处分；情节严重的，给予开除处分：（一）不依法履行职责，致使可以避免的爆炸、火灾、传染病传播流行、严重环境污染、严重人员伤亡等重大事故或者群体性事件发生的。</w:t>
            </w:r>
          </w:p>
          <w:p>
            <w:pPr>
              <w:adjustRightInd w:val="0"/>
              <w:snapToGrid w:val="0"/>
              <w:spacing w:line="240" w:lineRule="exact"/>
              <w:ind w:firstLine="400" w:firstLineChars="200"/>
              <w:rPr>
                <w:rFonts w:eastAsia="仿宋_GB2312"/>
                <w:color w:val="auto"/>
                <w:kern w:val="0"/>
                <w:sz w:val="20"/>
                <w:szCs w:val="20"/>
              </w:rPr>
            </w:pPr>
            <w:r>
              <w:rPr>
                <w:rFonts w:eastAsia="仿宋_GB2312"/>
                <w:color w:val="auto"/>
                <w:kern w:val="0"/>
                <w:sz w:val="20"/>
                <w:szCs w:val="20"/>
              </w:rPr>
              <w:t>3.【行政法规】《行政机关公务员处分条例》（2007年国务院令第495号）第二十条：有下列行为之一的，给予记过、记大过处分；情节较重的，给予降级或者撤职处分；情节严重的，给予开除处分：（四）其他玩忽职守、贻误工作的行为。</w:t>
            </w:r>
          </w:p>
          <w:p>
            <w:pPr>
              <w:adjustRightInd w:val="0"/>
              <w:snapToGrid w:val="0"/>
              <w:spacing w:line="240" w:lineRule="exact"/>
              <w:ind w:firstLine="400" w:firstLineChars="200"/>
              <w:rPr>
                <w:rFonts w:hint="eastAsia" w:eastAsia="仿宋_GB2312" w:asciiTheme="minorHAnsi" w:hAnsiTheme="minorHAnsi" w:cstheme="minorBidi"/>
                <w:color w:val="auto"/>
                <w:kern w:val="0"/>
                <w:sz w:val="20"/>
                <w:szCs w:val="20"/>
                <w:lang w:val="en-US" w:eastAsia="zh-CN" w:bidi="ar-SA"/>
              </w:rPr>
            </w:pPr>
            <w:r>
              <w:rPr>
                <w:rFonts w:eastAsia="仿宋_GB2312"/>
                <w:color w:val="auto"/>
                <w:kern w:val="0"/>
                <w:sz w:val="20"/>
                <w:szCs w:val="20"/>
              </w:rPr>
              <w:t>4.【行政法规】《行政机关公务员处分条例》（2007年国务院令第495号）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c>
          <w:tcPr>
            <w:tcW w:w="540" w:type="dxa"/>
            <w:tcBorders>
              <w:top w:val="nil"/>
              <w:left w:val="nil"/>
              <w:bottom w:val="single" w:color="auto" w:sz="4" w:space="0"/>
              <w:right w:val="single" w:color="auto" w:sz="4" w:space="0"/>
            </w:tcBorders>
            <w:vAlign w:val="center"/>
          </w:tcPr>
          <w:p>
            <w:pPr>
              <w:widowControl/>
              <w:adjustRightInd w:val="0"/>
              <w:snapToGrid w:val="0"/>
              <w:spacing w:line="300" w:lineRule="exact"/>
              <w:rPr>
                <w:rFonts w:hint="eastAsia" w:eastAsia="仿宋_GB2312" w:cs="仿宋_GB2312" w:asciiTheme="minorHAnsi" w:hAnsiTheme="minorHAnsi"/>
                <w:snapToGrid w:val="0"/>
                <w:color w:val="auto"/>
                <w:kern w:val="2"/>
                <w:sz w:val="20"/>
                <w:szCs w:val="20"/>
                <w:lang w:val="en-US" w:eastAsia="zh-CN" w:bidi="ar-SA"/>
              </w:rPr>
            </w:pPr>
            <w:r>
              <w:rPr>
                <w:rFonts w:hint="eastAsia" w:eastAsia="仿宋_GB2312" w:cs="仿宋_GB2312"/>
                <w:snapToGrid w:val="0"/>
                <w:color w:val="auto"/>
                <w:sz w:val="20"/>
                <w:szCs w:val="20"/>
              </w:rPr>
              <w:t>法律法规规定的免责情形及市委、市人民政府有关文件中明确的免责情形。</w:t>
            </w:r>
          </w:p>
        </w:tc>
        <w:tc>
          <w:tcPr>
            <w:tcW w:w="330" w:type="dxa"/>
            <w:tcBorders>
              <w:top w:val="single" w:color="auto" w:sz="4" w:space="0"/>
              <w:left w:val="nil"/>
              <w:bottom w:val="single" w:color="auto" w:sz="4" w:space="0"/>
              <w:right w:val="single" w:color="auto" w:sz="4" w:space="0"/>
            </w:tcBorders>
            <w:vAlign w:val="top"/>
          </w:tcPr>
          <w:p>
            <w:pPr>
              <w:widowControl/>
              <w:adjustRightInd w:val="0"/>
              <w:snapToGrid w:val="0"/>
              <w:spacing w:line="300" w:lineRule="exact"/>
              <w:ind w:firstLine="400" w:firstLineChars="200"/>
              <w:rPr>
                <w:rFonts w:hint="eastAsia" w:eastAsia="仿宋_GB2312" w:cs="仿宋_GB2312" w:asciiTheme="minorHAnsi" w:hAnsiTheme="minorHAnsi"/>
                <w:snapToGrid w:val="0"/>
                <w:color w:val="C00000"/>
                <w:kern w:val="2"/>
                <w:sz w:val="20"/>
                <w:szCs w:val="20"/>
                <w:lang w:val="en-US" w:eastAsia="zh-CN" w:bidi="ar-SA"/>
              </w:rPr>
            </w:pPr>
          </w:p>
        </w:tc>
      </w:tr>
      <w:tr>
        <w:tblPrEx>
          <w:tblCellMar>
            <w:top w:w="28" w:type="dxa"/>
            <w:left w:w="28" w:type="dxa"/>
            <w:bottom w:w="28" w:type="dxa"/>
            <w:right w:w="28" w:type="dxa"/>
          </w:tblCellMar>
        </w:tblPrEx>
        <w:trPr>
          <w:trHeight w:val="12573" w:hRule="atLeast"/>
          <w:jc w:val="center"/>
        </w:trPr>
        <w:tc>
          <w:tcPr>
            <w:tcW w:w="416" w:type="dxa"/>
            <w:tcBorders>
              <w:top w:val="nil"/>
              <w:left w:val="single" w:color="auto" w:sz="4" w:space="0"/>
              <w:bottom w:val="single" w:color="auto" w:sz="4" w:space="0"/>
              <w:right w:val="single" w:color="auto" w:sz="4" w:space="0"/>
            </w:tcBorders>
            <w:vAlign w:val="center"/>
          </w:tcPr>
          <w:p>
            <w:pPr>
              <w:adjustRightInd w:val="0"/>
              <w:snapToGrid w:val="0"/>
              <w:spacing w:line="260" w:lineRule="exact"/>
              <w:jc w:val="center"/>
              <w:rPr>
                <w:rFonts w:hint="eastAsia" w:ascii="方正书宋_GBK" w:hAnsi="宋体" w:eastAsia="方正书宋_GBK" w:cs="宋体"/>
                <w:color w:val="000000"/>
                <w:kern w:val="0"/>
                <w:sz w:val="20"/>
                <w:szCs w:val="20"/>
                <w:lang w:val="en-US" w:eastAsia="zh-CN" w:bidi="ar-SA"/>
              </w:rPr>
            </w:pPr>
            <w:r>
              <w:rPr>
                <w:rFonts w:hint="eastAsia" w:ascii="方正书宋_GBK" w:hAnsi="宋体" w:eastAsia="方正书宋_GBK" w:cs="宋体"/>
                <w:color w:val="000000"/>
                <w:kern w:val="0"/>
                <w:sz w:val="20"/>
                <w:szCs w:val="20"/>
                <w:lang w:val="en-US" w:eastAsia="zh-CN"/>
              </w:rPr>
              <w:t>2</w:t>
            </w:r>
          </w:p>
        </w:tc>
        <w:tc>
          <w:tcPr>
            <w:tcW w:w="325" w:type="dxa"/>
            <w:tcBorders>
              <w:top w:val="nil"/>
              <w:left w:val="nil"/>
              <w:bottom w:val="single" w:color="auto" w:sz="4" w:space="0"/>
              <w:right w:val="single" w:color="auto" w:sz="4" w:space="0"/>
            </w:tcBorders>
            <w:vAlign w:val="center"/>
          </w:tcPr>
          <w:p>
            <w:pPr>
              <w:widowControl/>
              <w:adjustRightInd w:val="0"/>
              <w:snapToGrid w:val="0"/>
              <w:spacing w:line="300" w:lineRule="exact"/>
              <w:jc w:val="center"/>
              <w:rPr>
                <w:rFonts w:hint="eastAsia" w:eastAsia="仿宋_GB2312" w:cs="仿宋_GB2312" w:asciiTheme="minorHAnsi" w:hAnsiTheme="minorHAnsi"/>
                <w:snapToGrid w:val="0"/>
                <w:color w:val="000000"/>
                <w:kern w:val="2"/>
                <w:sz w:val="20"/>
                <w:szCs w:val="20"/>
                <w:lang w:val="en-US" w:eastAsia="zh-CN" w:bidi="ar-SA"/>
              </w:rPr>
            </w:pPr>
            <w:r>
              <w:rPr>
                <w:rFonts w:hint="eastAsia" w:eastAsia="仿宋_GB2312" w:cs="仿宋_GB2312"/>
                <w:snapToGrid w:val="0"/>
                <w:color w:val="000000"/>
                <w:sz w:val="20"/>
                <w:szCs w:val="20"/>
              </w:rPr>
              <w:t>行政处罚</w:t>
            </w:r>
          </w:p>
        </w:tc>
        <w:tc>
          <w:tcPr>
            <w:tcW w:w="534" w:type="dxa"/>
            <w:tcBorders>
              <w:top w:val="nil"/>
              <w:left w:val="nil"/>
              <w:bottom w:val="single" w:color="auto" w:sz="4" w:space="0"/>
              <w:right w:val="single" w:color="auto" w:sz="4" w:space="0"/>
            </w:tcBorders>
            <w:vAlign w:val="center"/>
          </w:tcPr>
          <w:p>
            <w:pPr>
              <w:widowControl/>
              <w:adjustRightInd w:val="0"/>
              <w:snapToGrid w:val="0"/>
              <w:spacing w:line="300" w:lineRule="exact"/>
              <w:rPr>
                <w:rFonts w:hint="eastAsia" w:eastAsia="仿宋_GB2312" w:cs="仿宋_GB2312" w:asciiTheme="minorHAnsi" w:hAnsiTheme="minorHAnsi"/>
                <w:snapToGrid w:val="0"/>
                <w:color w:val="000000"/>
                <w:kern w:val="2"/>
                <w:sz w:val="20"/>
                <w:szCs w:val="20"/>
                <w:lang w:val="en-US" w:eastAsia="zh-CN" w:bidi="ar-SA"/>
              </w:rPr>
            </w:pPr>
            <w:r>
              <w:rPr>
                <w:rFonts w:hint="eastAsia" w:eastAsia="仿宋_GB2312" w:cs="仿宋_GB2312"/>
                <w:snapToGrid w:val="0"/>
                <w:color w:val="000000"/>
                <w:sz w:val="20"/>
                <w:szCs w:val="20"/>
              </w:rPr>
              <w:t>对非法出卖、转让、赠送档案的处罚</w:t>
            </w:r>
          </w:p>
        </w:tc>
        <w:tc>
          <w:tcPr>
            <w:tcW w:w="491" w:type="dxa"/>
            <w:tcBorders>
              <w:top w:val="nil"/>
              <w:left w:val="nil"/>
              <w:bottom w:val="single" w:color="auto" w:sz="4" w:space="0"/>
              <w:right w:val="single" w:color="auto" w:sz="4" w:space="0"/>
            </w:tcBorders>
            <w:vAlign w:val="center"/>
          </w:tcPr>
          <w:p>
            <w:pPr>
              <w:adjustRightInd w:val="0"/>
              <w:snapToGrid w:val="0"/>
              <w:spacing w:line="260" w:lineRule="exact"/>
              <w:jc w:val="center"/>
              <w:rPr>
                <w:rFonts w:ascii="方正书宋_GBK" w:hAnsi="宋体" w:eastAsia="方正书宋_GBK" w:cs="宋体"/>
                <w:color w:val="000000"/>
                <w:kern w:val="0"/>
                <w:sz w:val="20"/>
                <w:szCs w:val="20"/>
                <w:lang w:val="en-US" w:eastAsia="zh-CN" w:bidi="ar-SA"/>
              </w:rPr>
            </w:pPr>
          </w:p>
        </w:tc>
        <w:tc>
          <w:tcPr>
            <w:tcW w:w="657" w:type="dxa"/>
            <w:tcBorders>
              <w:top w:val="nil"/>
              <w:left w:val="nil"/>
              <w:bottom w:val="single" w:color="auto" w:sz="4" w:space="0"/>
              <w:right w:val="single" w:color="auto" w:sz="4" w:space="0"/>
            </w:tcBorders>
            <w:vAlign w:val="center"/>
          </w:tcPr>
          <w:p>
            <w:pPr>
              <w:adjustRightInd w:val="0"/>
              <w:snapToGrid w:val="0"/>
              <w:spacing w:line="260" w:lineRule="exact"/>
              <w:jc w:val="center"/>
              <w:rPr>
                <w:rFonts w:hint="eastAsia" w:ascii="方正书宋_GBK" w:hAnsi="宋体" w:eastAsia="方正书宋_GBK" w:cs="宋体"/>
                <w:color w:val="000000"/>
                <w:kern w:val="0"/>
                <w:sz w:val="20"/>
                <w:szCs w:val="20"/>
                <w:lang w:val="en-US" w:eastAsia="zh-CN" w:bidi="ar-SA"/>
              </w:rPr>
            </w:pPr>
            <w:r>
              <w:rPr>
                <w:rFonts w:hint="eastAsia" w:ascii="方正书宋_GBK" w:hAnsi="宋体" w:eastAsia="方正书宋_GBK" w:cs="宋体"/>
                <w:color w:val="000000"/>
                <w:kern w:val="0"/>
                <w:sz w:val="20"/>
                <w:szCs w:val="20"/>
                <w:lang w:eastAsia="zh-CN"/>
              </w:rPr>
              <w:t>县级</w:t>
            </w:r>
          </w:p>
        </w:tc>
        <w:tc>
          <w:tcPr>
            <w:tcW w:w="1050" w:type="dxa"/>
            <w:tcBorders>
              <w:top w:val="nil"/>
              <w:left w:val="nil"/>
              <w:bottom w:val="single" w:color="auto" w:sz="4" w:space="0"/>
              <w:right w:val="single" w:color="auto" w:sz="4" w:space="0"/>
            </w:tcBorders>
            <w:vAlign w:val="center"/>
          </w:tcPr>
          <w:p>
            <w:pPr>
              <w:adjustRightInd w:val="0"/>
              <w:snapToGrid w:val="0"/>
              <w:spacing w:line="260" w:lineRule="exact"/>
              <w:jc w:val="center"/>
              <w:rPr>
                <w:rFonts w:hint="eastAsia" w:ascii="方正书宋_GBK" w:hAnsi="宋体" w:eastAsia="方正书宋_GBK" w:cs="宋体"/>
                <w:color w:val="000000"/>
                <w:kern w:val="0"/>
                <w:sz w:val="20"/>
                <w:szCs w:val="20"/>
                <w:lang w:val="en-US" w:eastAsia="zh-CN" w:bidi="ar-SA"/>
              </w:rPr>
            </w:pPr>
            <w:r>
              <w:rPr>
                <w:rFonts w:hint="eastAsia" w:ascii="方正书宋_GBK" w:hAnsi="宋体" w:eastAsia="方正书宋_GBK" w:cs="宋体"/>
                <w:color w:val="000000"/>
                <w:kern w:val="0"/>
                <w:sz w:val="20"/>
                <w:szCs w:val="20"/>
                <w:lang w:eastAsia="zh-CN"/>
              </w:rPr>
              <w:t>办公室</w:t>
            </w:r>
          </w:p>
        </w:tc>
        <w:tc>
          <w:tcPr>
            <w:tcW w:w="3220"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【法律】《中华人民共和国档案法》第四十八条：单位或者个人有下列行为之一，由县级以上档案主管部门、有关机关对直接负责的主管人员和其他直接责任人员依法给予处分：</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（一）丢失属于国家所有的档案的；</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（二）擅自提供、抄录、复制、公布属于国家所有的档案的；</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（三）买卖或者非法转让属于国家所有的档案的；</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（四）篡改、损毁、伪造档案或者擅自销毁档案的；</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（五）将档案出卖、赠送给外国人或者外国组织的；</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（六）不按规定归档或者不按期移交档案，被责令改正而拒不改正的；</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（七）不按规定向社会开放、提供利用档案的；</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（八）明知存在档案安全隐患而不采取补救措施，造成档案损毁、灭失，或者存在档案安全隐患被责令限期整改而逾期未整改的；</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（九）发生档案安全事故后，不采取抢救措施或者隐瞒不报、拒绝调查的；</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（十）档案工作人员玩忽职守，造成档案损毁、灭失的。</w:t>
            </w:r>
          </w:p>
          <w:p>
            <w:pPr>
              <w:widowControl/>
              <w:adjustRightInd w:val="0"/>
              <w:snapToGrid w:val="0"/>
              <w:spacing w:line="300" w:lineRule="exact"/>
              <w:ind w:firstLine="400" w:firstLineChars="200"/>
              <w:rPr>
                <w:rFonts w:hint="eastAsia" w:eastAsia="仿宋_GB2312" w:cs="仿宋_GB2312" w:asciiTheme="minorHAnsi" w:hAnsiTheme="minorHAnsi"/>
                <w:snapToGrid w:val="0"/>
                <w:color w:val="000000"/>
                <w:kern w:val="2"/>
                <w:sz w:val="20"/>
                <w:szCs w:val="20"/>
                <w:lang w:val="en-US" w:eastAsia="zh-CN" w:bidi="ar-SA"/>
              </w:rPr>
            </w:pPr>
            <w:r>
              <w:rPr>
                <w:rFonts w:hint="eastAsia" w:eastAsia="仿宋_GB2312" w:cs="仿宋_GB2312"/>
                <w:snapToGrid w:val="0"/>
                <w:color w:val="000000"/>
                <w:sz w:val="20"/>
                <w:szCs w:val="20"/>
              </w:rPr>
              <w:t>第四十九条第三款：单位或者个人有本法第四十八条第三项、第五项违法行为之一的，由县级以上档案主管部门给予警告，没收违法所得，并对单位处一万元以上十万元以下的罚款，对个人处五百元以上五千元以下的罚款；并可以依照本法第二十二条的规定征购所出卖或者赠送的档案。</w:t>
            </w:r>
          </w:p>
        </w:tc>
        <w:tc>
          <w:tcPr>
            <w:tcW w:w="2099" w:type="dxa"/>
            <w:tcBorders>
              <w:top w:val="nil"/>
              <w:left w:val="single" w:color="auto" w:sz="4" w:space="0"/>
              <w:bottom w:val="single" w:color="auto" w:sz="4" w:space="0"/>
              <w:right w:val="single" w:color="auto" w:sz="4" w:space="0"/>
            </w:tcBorders>
            <w:vAlign w:val="center"/>
          </w:tcPr>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1.调查取证责任：执法人不得少于两人，调查时应出示执法证件，调查时允许当事人辩解陈述，认定并告知违法事实，说明处罚依据，执法人员应保守相关秘密。</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2.审查责任：审理案件调查报告，对案件违法事实、证据、调查取证程序、法律适用、处罚种类和幅度、当事人陈述和申辩理由等方面进行审查，提出处理意见。</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3.告知责任：告知当事人作出行政处罚决定的事实、理由及依据，并告知当事人依法享有的权利。</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4.决定责任：作出处罚决定，制作行政处罚决定书，载明行政处罚告知、当事人陈述申辩或者听证情况等内容。</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5.送达责任：行政处罚决定书在宣告后当场交付当事人；当事人不在场的，行政机关应当在七日内按照相关规定送达当事人。</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6.执行责任：依照生效的行政处罚决定，自觉履行或者强制执行。</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7.监管责任：行政机关应当建立健全对行政处罚的监督制度。县级以上人民政府应当加强对行政处罚的监督检查。</w:t>
            </w:r>
          </w:p>
          <w:p>
            <w:pPr>
              <w:widowControl/>
              <w:adjustRightInd w:val="0"/>
              <w:snapToGrid w:val="0"/>
              <w:spacing w:line="300" w:lineRule="exact"/>
              <w:ind w:firstLine="400" w:firstLineChars="200"/>
              <w:rPr>
                <w:rFonts w:hint="eastAsia" w:eastAsia="仿宋_GB2312" w:cs="仿宋_GB2312" w:asciiTheme="minorHAnsi" w:hAnsiTheme="minorHAnsi"/>
                <w:snapToGrid w:val="0"/>
                <w:color w:val="000000"/>
                <w:kern w:val="2"/>
                <w:sz w:val="20"/>
                <w:szCs w:val="20"/>
                <w:lang w:val="en-US" w:eastAsia="zh-CN" w:bidi="ar-SA"/>
              </w:rPr>
            </w:pPr>
            <w:r>
              <w:rPr>
                <w:rFonts w:hint="eastAsia" w:eastAsia="仿宋_GB2312" w:cs="仿宋_GB2312"/>
                <w:snapToGrid w:val="0"/>
                <w:color w:val="000000"/>
                <w:sz w:val="20"/>
                <w:szCs w:val="20"/>
              </w:rPr>
              <w:t>8.法律法规规章文件规定应履行的其他责任。</w:t>
            </w:r>
          </w:p>
        </w:tc>
        <w:tc>
          <w:tcPr>
            <w:tcW w:w="5972" w:type="dxa"/>
            <w:tcBorders>
              <w:top w:val="nil"/>
              <w:left w:val="nil"/>
              <w:bottom w:val="single" w:color="auto" w:sz="4" w:space="0"/>
              <w:right w:val="single" w:color="auto" w:sz="4" w:space="0"/>
            </w:tcBorders>
            <w:vAlign w:val="center"/>
          </w:tcPr>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1.【法律】《中华人民共和国行政处罚法》第五十五条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2.【法律】《中华人民共和国行政处罚法》第五十七条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3.【法律】《中华人民共和国行政处罚法》第四十四条　行政机关在作出行政处罚决定之前，应当告知当事人拟作出的行政处罚内容及事实、理由、依据，并告知当事人依法享有的陈述、申辩、要求听证等权利。</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4.【法律】《中华人民共和国行政处罚法》第五十九条　行政机关依照本法第五十七条的规定给予行政处罚，应当制作行政处罚决定书。行政处罚决定书应当载明下列事项：（一）当事人的姓名或者名称、地址；（二）违反法律、法规、规章的事实和证据；　　（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5.【法律】《中华人民共和国行政处罚法》第六十一条　行政处罚决定书应当在宣告后当场交付当事人；当事人不在场的，行政机关应当在七日内依照《中华人民共和国民事诉讼法》的有关规定，将行政处罚决定书送达当事人。当事人同意并签订确认书的，行政机关可以采用传真、电子邮件等方式，将行政处罚决定书等送达当事人。</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6.【法律】《中华人民共和国行政处罚法》第六十六条行政处罚决定依法作出后，当事人应当在行政处罚决定书载明的期限内，予以履行。当事人确有经济困难，需要延期或者分期缴纳罚款的，经当事人申请和行政机关批准，可以暂缓或者分期缴纳。</w:t>
            </w:r>
          </w:p>
          <w:p>
            <w:pPr>
              <w:widowControl/>
              <w:adjustRightInd w:val="0"/>
              <w:snapToGrid w:val="0"/>
              <w:spacing w:line="300" w:lineRule="exact"/>
              <w:ind w:firstLine="400" w:firstLineChars="200"/>
              <w:rPr>
                <w:rFonts w:hint="eastAsia" w:eastAsia="仿宋_GB2312" w:cs="仿宋_GB2312" w:asciiTheme="minorHAnsi" w:hAnsiTheme="minorHAnsi"/>
                <w:snapToGrid w:val="0"/>
                <w:color w:val="000000"/>
                <w:kern w:val="2"/>
                <w:sz w:val="20"/>
                <w:szCs w:val="20"/>
                <w:lang w:val="en-US" w:eastAsia="zh-CN" w:bidi="ar-SA"/>
              </w:rPr>
            </w:pPr>
            <w:r>
              <w:rPr>
                <w:rFonts w:hint="eastAsia" w:eastAsia="仿宋_GB2312" w:cs="仿宋_GB2312"/>
                <w:snapToGrid w:val="0"/>
                <w:color w:val="000000"/>
                <w:sz w:val="20"/>
                <w:szCs w:val="20"/>
              </w:rPr>
              <w:t>7.【法律】《中华人民共和国行政处罚法》第七十五条　行政机关应当建立健全对行政处罚的监督制度。县级以上人民政府应当定期组织开展行政执法评议、考核，加强对行政处罚的监督检查，规范和保障行政处罚的实施。行政机关实施行政处罚应当接受社会监督。公民、法人或者其他组织对行政机关实施行政处罚的行为，有权申诉或者检举；行政机关应当认真审查，发现有错误的，应当主动改正。</w:t>
            </w:r>
          </w:p>
        </w:tc>
        <w:tc>
          <w:tcPr>
            <w:tcW w:w="1740" w:type="dxa"/>
            <w:tcBorders>
              <w:top w:val="nil"/>
              <w:left w:val="nil"/>
              <w:bottom w:val="single" w:color="auto" w:sz="4" w:space="0"/>
              <w:right w:val="single" w:color="auto" w:sz="4" w:space="0"/>
            </w:tcBorders>
            <w:vAlign w:val="center"/>
          </w:tcPr>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因不履行或不正确履行行政职责，有下列情形的，行政机关及相关工作人员应承担相应责任：</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1、不具备档案行政执法资格实施调查处罚的；</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2、无法定依据或者超越法定权限实施调查处罚的；</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3、违反法定程序实施调查处罚的；</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4、放弃、推诿、拖延、拒绝履行调查处罚职责的；</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5、对发现的违法行为不制止、不纠正的，造成不良后果的；</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6、在调查处罚过程中滥用职权、玩忽职守、徇私舞弊的；</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7、在调查处罚过程中发生腐败行为的；</w:t>
            </w:r>
          </w:p>
          <w:p>
            <w:pPr>
              <w:widowControl/>
              <w:adjustRightInd w:val="0"/>
              <w:snapToGrid w:val="0"/>
              <w:spacing w:line="300" w:lineRule="exact"/>
              <w:ind w:firstLine="400" w:firstLineChars="200"/>
              <w:rPr>
                <w:rFonts w:hint="eastAsia" w:eastAsia="仿宋_GB2312" w:cs="仿宋_GB2312" w:asciiTheme="minorHAnsi" w:hAnsiTheme="minorHAnsi"/>
                <w:snapToGrid w:val="0"/>
                <w:color w:val="000000"/>
                <w:kern w:val="2"/>
                <w:sz w:val="20"/>
                <w:szCs w:val="20"/>
                <w:lang w:val="en-US" w:eastAsia="zh-CN" w:bidi="ar-SA"/>
              </w:rPr>
            </w:pPr>
            <w:r>
              <w:rPr>
                <w:rFonts w:hint="eastAsia" w:eastAsia="仿宋_GB2312" w:cs="仿宋_GB2312"/>
                <w:snapToGrid w:val="0"/>
                <w:color w:val="000000"/>
                <w:sz w:val="20"/>
                <w:szCs w:val="20"/>
              </w:rPr>
              <w:t>8、其他违反法律法规规章文件规定的行为。</w:t>
            </w:r>
          </w:p>
        </w:tc>
        <w:tc>
          <w:tcPr>
            <w:tcW w:w="4470" w:type="dxa"/>
            <w:tcBorders>
              <w:top w:val="nil"/>
              <w:left w:val="nil"/>
              <w:bottom w:val="single" w:color="auto" w:sz="4" w:space="0"/>
              <w:right w:val="single" w:color="auto" w:sz="4" w:space="0"/>
            </w:tcBorders>
            <w:vAlign w:val="center"/>
          </w:tcPr>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1.《中华人民共和国行政处罚法》第七十六条　行政机关实施行政处罚，有下列情形之一，由上级行政机关或者有关机关责令改正，对直接负责的主管人员和其他直接责任人员依法给予处分：　　</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（一）没有法定的行政处罚依据的；　　</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（二）擅自改变行政处罚种类、幅度的；　　</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（三）违反法定的行政处罚程序的；　　</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（四）违反本法第二十条关于委托处罚的规定的；　　</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（五）执法人员未取得执法证件的。</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行政机关对符合立案标准的案件不及时立案的，依照前款规定予以处理。</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2.同1.</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3.同1.</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4.同1.</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5.《中华人民共和国行政处罚法》第八十三条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6.同5.</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7.《中华人民共和国公务员法》  第九章第五十九条 公务员必须遵守纪律，不得有下列行为：(八)贪污、行贿、受贿，利用职务之便为自己或者他人谋取私利。</w:t>
            </w:r>
          </w:p>
          <w:p>
            <w:pPr>
              <w:widowControl/>
              <w:adjustRightInd w:val="0"/>
              <w:snapToGrid w:val="0"/>
              <w:spacing w:line="300" w:lineRule="exact"/>
              <w:ind w:firstLine="400" w:firstLineChars="200"/>
              <w:rPr>
                <w:rFonts w:hint="eastAsia" w:eastAsia="仿宋_GB2312" w:cs="仿宋_GB2312" w:asciiTheme="minorHAnsi" w:hAnsiTheme="minorHAnsi"/>
                <w:snapToGrid w:val="0"/>
                <w:color w:val="000000"/>
                <w:kern w:val="2"/>
                <w:sz w:val="20"/>
                <w:szCs w:val="20"/>
                <w:lang w:val="en-US" w:eastAsia="zh-CN" w:bidi="ar-SA"/>
              </w:rPr>
            </w:pPr>
            <w:r>
              <w:rPr>
                <w:rFonts w:hint="eastAsia" w:eastAsia="仿宋_GB2312" w:cs="仿宋_GB2312"/>
                <w:snapToGrid w:val="0"/>
                <w:color w:val="000000"/>
                <w:sz w:val="20"/>
                <w:szCs w:val="20"/>
              </w:rPr>
              <w:t>8.同1.</w:t>
            </w:r>
          </w:p>
        </w:tc>
        <w:tc>
          <w:tcPr>
            <w:tcW w:w="540" w:type="dxa"/>
            <w:tcBorders>
              <w:top w:val="nil"/>
              <w:left w:val="nil"/>
              <w:bottom w:val="single" w:color="auto" w:sz="4" w:space="0"/>
              <w:right w:val="single" w:color="auto" w:sz="4" w:space="0"/>
            </w:tcBorders>
            <w:vAlign w:val="center"/>
          </w:tcPr>
          <w:p>
            <w:pPr>
              <w:widowControl/>
              <w:adjustRightInd w:val="0"/>
              <w:snapToGrid w:val="0"/>
              <w:spacing w:line="300" w:lineRule="exact"/>
              <w:rPr>
                <w:rFonts w:hint="eastAsia" w:eastAsia="仿宋_GB2312" w:cs="仿宋_GB2312" w:asciiTheme="minorHAnsi" w:hAnsiTheme="minorHAnsi"/>
                <w:snapToGrid w:val="0"/>
                <w:color w:val="000000"/>
                <w:kern w:val="2"/>
                <w:sz w:val="20"/>
                <w:szCs w:val="20"/>
                <w:lang w:val="en-US" w:eastAsia="zh-CN" w:bidi="ar-SA"/>
              </w:rPr>
            </w:pPr>
            <w:r>
              <w:rPr>
                <w:rFonts w:hint="eastAsia" w:eastAsia="仿宋_GB2312" w:cs="仿宋_GB2312"/>
                <w:snapToGrid w:val="0"/>
                <w:color w:val="000000"/>
                <w:sz w:val="20"/>
                <w:szCs w:val="20"/>
              </w:rPr>
              <w:t>法律法规规定的免责情形及市委、市人民政府有关文件中明确的免责情形。</w:t>
            </w:r>
          </w:p>
        </w:tc>
        <w:tc>
          <w:tcPr>
            <w:tcW w:w="330" w:type="dxa"/>
            <w:tcBorders>
              <w:top w:val="single" w:color="auto" w:sz="4" w:space="0"/>
              <w:left w:val="nil"/>
              <w:bottom w:val="single" w:color="auto" w:sz="4" w:space="0"/>
              <w:right w:val="single" w:color="auto" w:sz="4" w:space="0"/>
            </w:tcBorders>
          </w:tcPr>
          <w:p>
            <w:pPr>
              <w:widowControl/>
              <w:adjustRightInd w:val="0"/>
              <w:snapToGrid w:val="0"/>
              <w:spacing w:line="300" w:lineRule="exact"/>
              <w:ind w:firstLine="400" w:firstLineChars="200"/>
              <w:rPr>
                <w:rFonts w:hint="eastAsia" w:eastAsia="仿宋_GB2312" w:cs="仿宋_GB2312"/>
                <w:snapToGrid w:val="0"/>
                <w:color w:val="000000"/>
                <w:sz w:val="20"/>
                <w:szCs w:val="20"/>
              </w:rPr>
            </w:pPr>
          </w:p>
        </w:tc>
      </w:tr>
      <w:tr>
        <w:tblPrEx>
          <w:tblCellMar>
            <w:top w:w="28" w:type="dxa"/>
            <w:left w:w="28" w:type="dxa"/>
            <w:bottom w:w="28" w:type="dxa"/>
            <w:right w:w="28" w:type="dxa"/>
          </w:tblCellMar>
        </w:tblPrEx>
        <w:trPr>
          <w:trHeight w:val="13208" w:hRule="atLeast"/>
          <w:jc w:val="center"/>
        </w:trPr>
        <w:tc>
          <w:tcPr>
            <w:tcW w:w="4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hint="eastAsia" w:ascii="方正书宋_GBK" w:hAnsi="宋体" w:eastAsia="方正书宋_GBK" w:cs="宋体"/>
                <w:color w:val="000000"/>
                <w:kern w:val="0"/>
                <w:sz w:val="20"/>
                <w:szCs w:val="20"/>
                <w:lang w:eastAsia="zh-CN"/>
              </w:rPr>
            </w:pPr>
            <w:r>
              <w:rPr>
                <w:rFonts w:hint="eastAsia" w:ascii="方正书宋_GBK" w:hAnsi="宋体" w:eastAsia="方正书宋_GBK" w:cs="宋体"/>
                <w:color w:val="000000"/>
                <w:kern w:val="0"/>
                <w:sz w:val="20"/>
                <w:szCs w:val="20"/>
                <w:lang w:val="en-US" w:eastAsia="zh-CN"/>
              </w:rPr>
              <w:t>3</w:t>
            </w:r>
          </w:p>
        </w:tc>
        <w:tc>
          <w:tcPr>
            <w:tcW w:w="325"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jc w:val="center"/>
              <w:rPr>
                <w:rFonts w:hint="eastAsia" w:eastAsia="仿宋_GB2312" w:cs="仿宋_GB2312" w:asciiTheme="minorHAnsi" w:hAnsiTheme="minorHAnsi"/>
                <w:snapToGrid w:val="0"/>
                <w:color w:val="000000"/>
                <w:kern w:val="2"/>
                <w:sz w:val="20"/>
                <w:szCs w:val="20"/>
                <w:lang w:val="en-US" w:eastAsia="zh-CN" w:bidi="ar-SA"/>
              </w:rPr>
            </w:pPr>
            <w:r>
              <w:rPr>
                <w:rFonts w:hint="eastAsia" w:eastAsia="仿宋_GB2312" w:cs="仿宋_GB2312"/>
                <w:snapToGrid w:val="0"/>
                <w:color w:val="000000"/>
                <w:sz w:val="20"/>
                <w:szCs w:val="20"/>
              </w:rPr>
              <w:t>行政处罚</w:t>
            </w:r>
          </w:p>
        </w:tc>
        <w:tc>
          <w:tcPr>
            <w:tcW w:w="534"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rPr>
                <w:rFonts w:hint="eastAsia" w:eastAsia="仿宋_GB2312" w:cs="仿宋_GB2312" w:asciiTheme="minorHAnsi" w:hAnsiTheme="minorHAnsi"/>
                <w:snapToGrid w:val="0"/>
                <w:color w:val="000000"/>
                <w:kern w:val="2"/>
                <w:sz w:val="20"/>
                <w:szCs w:val="20"/>
                <w:lang w:val="en-US" w:eastAsia="zh-CN" w:bidi="ar-SA"/>
              </w:rPr>
            </w:pPr>
            <w:r>
              <w:rPr>
                <w:rFonts w:hint="eastAsia" w:eastAsia="仿宋_GB2312" w:cs="仿宋_GB2312"/>
                <w:snapToGrid w:val="0"/>
                <w:color w:val="000000"/>
                <w:sz w:val="20"/>
                <w:szCs w:val="20"/>
              </w:rPr>
              <w:t>对利用档案馆档案违法行为的处罚</w:t>
            </w:r>
          </w:p>
        </w:tc>
        <w:tc>
          <w:tcPr>
            <w:tcW w:w="491"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rPr>
                <w:rFonts w:hint="eastAsia" w:eastAsia="仿宋_GB2312" w:cs="仿宋_GB2312" w:asciiTheme="minorHAnsi" w:hAnsiTheme="minorHAnsi"/>
                <w:snapToGrid w:val="0"/>
                <w:color w:val="000000"/>
                <w:kern w:val="2"/>
                <w:sz w:val="20"/>
                <w:szCs w:val="20"/>
                <w:lang w:val="en-US" w:eastAsia="zh-CN" w:bidi="ar-SA"/>
              </w:rPr>
            </w:pPr>
            <w:r>
              <w:rPr>
                <w:rFonts w:hint="eastAsia" w:eastAsia="仿宋_GB2312" w:cs="仿宋_GB2312"/>
                <w:snapToGrid w:val="0"/>
                <w:color w:val="000000"/>
                <w:sz w:val="20"/>
                <w:szCs w:val="20"/>
              </w:rPr>
              <w:t>　</w:t>
            </w:r>
          </w:p>
        </w:tc>
        <w:tc>
          <w:tcPr>
            <w:tcW w:w="657" w:type="dxa"/>
            <w:tcBorders>
              <w:top w:val="single" w:color="auto" w:sz="4" w:space="0"/>
              <w:left w:val="nil"/>
              <w:bottom w:val="single" w:color="auto" w:sz="4" w:space="0"/>
              <w:right w:val="single" w:color="auto" w:sz="4" w:space="0"/>
            </w:tcBorders>
            <w:vAlign w:val="center"/>
          </w:tcPr>
          <w:p>
            <w:pPr>
              <w:adjustRightInd w:val="0"/>
              <w:snapToGrid w:val="0"/>
              <w:spacing w:line="260" w:lineRule="exact"/>
              <w:jc w:val="center"/>
              <w:rPr>
                <w:rFonts w:hint="eastAsia" w:ascii="方正书宋_GBK" w:hAnsi="宋体" w:eastAsia="方正书宋_GBK" w:cs="宋体"/>
                <w:color w:val="000000"/>
                <w:kern w:val="0"/>
                <w:sz w:val="20"/>
                <w:szCs w:val="20"/>
                <w:lang w:val="en-US" w:eastAsia="zh-CN" w:bidi="ar-SA"/>
              </w:rPr>
            </w:pPr>
            <w:r>
              <w:rPr>
                <w:rFonts w:hint="eastAsia" w:ascii="方正书宋_GBK" w:hAnsi="宋体" w:eastAsia="方正书宋_GBK" w:cs="宋体"/>
                <w:color w:val="000000"/>
                <w:kern w:val="0"/>
                <w:sz w:val="20"/>
                <w:szCs w:val="20"/>
                <w:lang w:eastAsia="zh-CN"/>
              </w:rPr>
              <w:t>县级</w:t>
            </w:r>
          </w:p>
        </w:tc>
        <w:tc>
          <w:tcPr>
            <w:tcW w:w="1050" w:type="dxa"/>
            <w:tcBorders>
              <w:top w:val="single" w:color="auto" w:sz="4" w:space="0"/>
              <w:left w:val="nil"/>
              <w:bottom w:val="single" w:color="auto" w:sz="4" w:space="0"/>
              <w:right w:val="single" w:color="auto" w:sz="4" w:space="0"/>
            </w:tcBorders>
            <w:vAlign w:val="center"/>
          </w:tcPr>
          <w:p>
            <w:pPr>
              <w:adjustRightInd w:val="0"/>
              <w:snapToGrid w:val="0"/>
              <w:spacing w:line="260" w:lineRule="exact"/>
              <w:jc w:val="center"/>
              <w:rPr>
                <w:rFonts w:hint="eastAsia" w:ascii="方正书宋_GBK" w:hAnsi="宋体" w:eastAsia="方正书宋_GBK" w:cs="宋体"/>
                <w:color w:val="000000"/>
                <w:kern w:val="0"/>
                <w:sz w:val="20"/>
                <w:szCs w:val="20"/>
                <w:lang w:val="en-US" w:eastAsia="zh-CN" w:bidi="ar-SA"/>
              </w:rPr>
            </w:pPr>
            <w:r>
              <w:rPr>
                <w:rFonts w:hint="eastAsia" w:ascii="方正书宋_GBK" w:hAnsi="宋体" w:eastAsia="方正书宋_GBK" w:cs="宋体"/>
                <w:color w:val="000000"/>
                <w:kern w:val="0"/>
                <w:sz w:val="20"/>
                <w:szCs w:val="20"/>
                <w:lang w:eastAsia="zh-CN"/>
              </w:rPr>
              <w:t>办公室</w:t>
            </w:r>
          </w:p>
        </w:tc>
        <w:tc>
          <w:tcPr>
            <w:tcW w:w="3220"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法律】《中华人民共和国档案法》第四十九条：利用档案馆的档案，有本法第四十八条第一项、第二项、第四项违法行为之一的，由县级以上档案主管部门给予警告，并对单位处一万元以上十万元以下的罚款，对个人处五百元以上五千元以下的罚款。</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档案服务企业在服务过程中有本法第四十八条第一项、第二项、第四项违法行为之一的，由县级以上档案主管部门给予警告，并处二万元以上二十万元以下的罚款。</w:t>
            </w:r>
          </w:p>
          <w:p>
            <w:pPr>
              <w:widowControl/>
              <w:adjustRightInd w:val="0"/>
              <w:snapToGrid w:val="0"/>
              <w:spacing w:line="300" w:lineRule="exact"/>
              <w:ind w:firstLine="400" w:firstLineChars="200"/>
              <w:rPr>
                <w:rFonts w:hint="eastAsia" w:eastAsia="仿宋_GB2312" w:cs="仿宋_GB2312" w:asciiTheme="minorHAnsi" w:hAnsiTheme="minorHAnsi"/>
                <w:snapToGrid w:val="0"/>
                <w:color w:val="000000"/>
                <w:kern w:val="2"/>
                <w:sz w:val="20"/>
                <w:szCs w:val="20"/>
                <w:lang w:val="en-US" w:eastAsia="zh-CN" w:bidi="ar-SA"/>
              </w:rPr>
            </w:pPr>
            <w:r>
              <w:rPr>
                <w:rFonts w:hint="eastAsia" w:eastAsia="仿宋_GB2312" w:cs="仿宋_GB2312"/>
                <w:snapToGrid w:val="0"/>
                <w:color w:val="000000"/>
                <w:sz w:val="20"/>
                <w:szCs w:val="20"/>
              </w:rPr>
              <w:t>单位或者个人有本法第四十八条第三项、第五项违法行为之一的，由县级以上档案主管部门给予警告，没收违法所得，并对单位处一万元以上十万元以下的罚款，对个人处五百元以上五千元以下的罚款；并可以依照本法第二十二条的规定征购所出卖或者赠送的档案。</w:t>
            </w:r>
          </w:p>
        </w:tc>
        <w:tc>
          <w:tcPr>
            <w:tcW w:w="209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1.调查取证责任：执法人不得少于两人，调查时应出示执法证件，调查时允许当事人辩解陈述，认定并告知违法事实，说明处罚依据，执法人员应保守相关秘密。</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2.审查责任：审理案件调查报告，对案件违法事实、证据、调查取证程序、法律适用、处罚种类和幅度、当事人陈述和申辩理由等方面进行审查，提出处理意见。</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3.告知责任：告知当事人作出行政处罚决定的事实、理由及依据，并告知当事人依法享有的权利。</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4.决定责任：作出处罚决定，制作行政处罚决定书，载明行政处罚告知、当事人陈述申辩或者听证情况等内容。</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5.送达责任：行政处罚决定书在宣告后当场交付当事人；当事人不在场的，行政机关应当在七日内按照相关规定送达当事人。</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6.执行责任：依照生效的行政处罚决定，自觉履行或者强制执行。</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7.监管责任：行政机关应当建立健全对行政处罚的监督制度。县级以上人民政府应当加强对行政处罚的监督检查。</w:t>
            </w:r>
          </w:p>
          <w:p>
            <w:pPr>
              <w:widowControl/>
              <w:adjustRightInd w:val="0"/>
              <w:snapToGrid w:val="0"/>
              <w:spacing w:line="300" w:lineRule="exact"/>
              <w:ind w:firstLine="400" w:firstLineChars="200"/>
              <w:rPr>
                <w:rFonts w:hint="eastAsia" w:eastAsia="仿宋_GB2312" w:cs="仿宋_GB2312" w:asciiTheme="minorHAnsi" w:hAnsiTheme="minorHAnsi"/>
                <w:snapToGrid w:val="0"/>
                <w:color w:val="000000"/>
                <w:kern w:val="2"/>
                <w:sz w:val="20"/>
                <w:szCs w:val="20"/>
                <w:lang w:val="en-US" w:eastAsia="zh-CN" w:bidi="ar-SA"/>
              </w:rPr>
            </w:pPr>
            <w:r>
              <w:rPr>
                <w:rFonts w:hint="eastAsia" w:eastAsia="仿宋_GB2312" w:cs="仿宋_GB2312"/>
                <w:snapToGrid w:val="0"/>
                <w:color w:val="000000"/>
                <w:sz w:val="20"/>
                <w:szCs w:val="20"/>
              </w:rPr>
              <w:t>8.法律法规规章文件规定应履行的其他责任。</w:t>
            </w:r>
          </w:p>
        </w:tc>
        <w:tc>
          <w:tcPr>
            <w:tcW w:w="5972"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1.【法律】《中华人民共和国行政处罚法》第五十五条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2.【法律】《中华人民共和国行政处罚法》第五十七条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3.【法律】《中华人民共和国行政处罚法》第四十四条　行政机关在作出行政处罚决定之前，应当告知当事人拟作出的行政处罚内容及事实、理由、依据，并告知当事人依法享有的陈述、申辩、要求听证等权利。</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4.【法律】《中华人民共和国行政处罚法》第五十九条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5.【法律】《中华人民共和国行政处罚法》第六十一条　行政处罚决定书应当在宣告后当场交付当事人；当事人不在场的，行政机关应当在七日内依照《中华人民共和国民事诉讼法》的有关规定，将行政处罚决定书送达当事人。当事人同意并签订确认书的，行政机关可以采用传真、电子邮件等方式，将行政处罚决定书等送达当事人。</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6.【法律】《中华人民共和国行政处罚法》第六十六条行政处罚决定依法作出后，当事人应当在行政处罚决定书载明的期限内，予以履行。当事人确有经济困难，需要延期或者分期缴纳罚款的，经当事人申请和行政机关批准，可以暂缓或者分期缴纳。</w:t>
            </w:r>
          </w:p>
          <w:p>
            <w:pPr>
              <w:widowControl/>
              <w:adjustRightInd w:val="0"/>
              <w:snapToGrid w:val="0"/>
              <w:spacing w:line="300" w:lineRule="exact"/>
              <w:ind w:firstLine="400" w:firstLineChars="200"/>
              <w:rPr>
                <w:rFonts w:hint="eastAsia" w:eastAsia="仿宋_GB2312" w:cs="仿宋_GB2312" w:asciiTheme="minorHAnsi" w:hAnsiTheme="minorHAnsi"/>
                <w:snapToGrid w:val="0"/>
                <w:color w:val="000000"/>
                <w:kern w:val="2"/>
                <w:sz w:val="20"/>
                <w:szCs w:val="20"/>
                <w:lang w:val="en-US" w:eastAsia="zh-CN" w:bidi="ar-SA"/>
              </w:rPr>
            </w:pPr>
            <w:r>
              <w:rPr>
                <w:rFonts w:hint="eastAsia" w:eastAsia="仿宋_GB2312" w:cs="仿宋_GB2312"/>
                <w:snapToGrid w:val="0"/>
                <w:color w:val="000000"/>
                <w:sz w:val="20"/>
                <w:szCs w:val="20"/>
              </w:rPr>
              <w:t>7.【法律】《中华人民共和国行政处罚法》第七十五条　行政机关应当建立健全对行政处罚的监督制度。县级以上人民政府应当定期组织开展行政执法评议、考核，加强对行政处罚的监督检查，规范和保障行政处罚的实施。行政机关实施行政处罚应当接受社会监督。公民、法人或者其他组织对行政机关实施行政处罚的行为，有权申诉或者检举；行政机关应当认真审查，发现有错误的，应当主动改正。</w:t>
            </w:r>
          </w:p>
        </w:tc>
        <w:tc>
          <w:tcPr>
            <w:tcW w:w="1740"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因不履行或不正确履行行政职责，有下列情形的，行政机关及相关工作人员应承担相应责任：</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1、不具备档案行政执法资格实施调查处罚的；</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2、无法定依据或者超越法定权限实施调查处罚的；</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3、违反法定程序实施调查处罚的；</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4、放弃、推诿、拖延、拒绝履行调查处罚职责的；</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5、对发现的违法行为不制止、不纠正的，造成不良后果的；</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6、在调查处罚过程中滥用职权、玩忽职守、徇私舞弊的；</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7、在调查处罚过程中发生腐败行为的；</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8、其他违反法律法规规章文件规定的行为。</w:t>
            </w:r>
          </w:p>
        </w:tc>
        <w:tc>
          <w:tcPr>
            <w:tcW w:w="4470"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1.《中华人民共和国行政处罚法》    第五十五条 行政机关实施行政处罚，有下列情形之一的，由上级行政机关或者有关部门责令改正，可以对直接负责的主管人员和其他直接责任人员依法给予行政处分：</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（一）没有法定的行政处罚依据的；</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（二）擅自改变行政处罚种类、幅度的；</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（三）违反法定的行政处罚程序的；</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（四）违反本法第十八条关于委托处罚的规定的。</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2.同1.</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3.同1.</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4.同1.</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5.《中华人民共和国行政处罚法》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6.同5.</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7.《中华人民共和国公务员法》  第九章第五十三条 公务员必须遵守纪律，不得有下列行为：(七)贪污、行贿、受贿，利用职务之便为自己或者他人谋取私利。</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8.同1.</w:t>
            </w:r>
          </w:p>
        </w:tc>
        <w:tc>
          <w:tcPr>
            <w:tcW w:w="540"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rPr>
                <w:rFonts w:hint="eastAsia" w:eastAsia="仿宋_GB2312" w:cs="仿宋_GB2312"/>
                <w:snapToGrid w:val="0"/>
                <w:color w:val="000000"/>
                <w:sz w:val="20"/>
                <w:szCs w:val="20"/>
              </w:rPr>
            </w:pPr>
            <w:r>
              <w:rPr>
                <w:rFonts w:hint="eastAsia" w:eastAsia="仿宋_GB2312" w:cs="仿宋_GB2312"/>
                <w:snapToGrid w:val="0"/>
                <w:color w:val="000000"/>
                <w:sz w:val="20"/>
                <w:szCs w:val="20"/>
              </w:rPr>
              <w:t>法律法规规定的免责情形及市委、市人民政府有关文件中明确的免责情形。</w:t>
            </w:r>
          </w:p>
        </w:tc>
        <w:tc>
          <w:tcPr>
            <w:tcW w:w="330" w:type="dxa"/>
            <w:tcBorders>
              <w:top w:val="single" w:color="auto" w:sz="4" w:space="0"/>
              <w:left w:val="nil"/>
              <w:bottom w:val="single" w:color="auto" w:sz="4" w:space="0"/>
              <w:right w:val="single" w:color="auto" w:sz="4" w:space="0"/>
            </w:tcBorders>
          </w:tcPr>
          <w:p>
            <w:pPr>
              <w:widowControl/>
              <w:adjustRightInd w:val="0"/>
              <w:snapToGrid w:val="0"/>
              <w:spacing w:line="300" w:lineRule="exact"/>
              <w:ind w:firstLine="400" w:firstLineChars="200"/>
              <w:rPr>
                <w:rFonts w:hint="eastAsia" w:eastAsia="仿宋_GB2312" w:cs="仿宋_GB2312"/>
                <w:snapToGrid w:val="0"/>
                <w:color w:val="000000"/>
                <w:sz w:val="20"/>
                <w:szCs w:val="20"/>
              </w:rPr>
            </w:pPr>
          </w:p>
        </w:tc>
      </w:tr>
      <w:tr>
        <w:tblPrEx>
          <w:tblCellMar>
            <w:top w:w="28" w:type="dxa"/>
            <w:left w:w="28" w:type="dxa"/>
            <w:bottom w:w="28" w:type="dxa"/>
            <w:right w:w="28" w:type="dxa"/>
          </w:tblCellMar>
        </w:tblPrEx>
        <w:trPr>
          <w:trHeight w:val="11990" w:hRule="atLeast"/>
          <w:jc w:val="center"/>
        </w:trPr>
        <w:tc>
          <w:tcPr>
            <w:tcW w:w="4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hint="eastAsia" w:ascii="方正书宋_GBK" w:hAnsi="宋体" w:eastAsia="方正书宋_GBK" w:cs="宋体"/>
                <w:color w:val="000000"/>
                <w:kern w:val="0"/>
                <w:sz w:val="18"/>
                <w:szCs w:val="18"/>
                <w:lang w:val="en-US" w:eastAsia="zh-CN"/>
              </w:rPr>
            </w:pPr>
            <w:r>
              <w:rPr>
                <w:rFonts w:hint="eastAsia" w:ascii="方正书宋_GBK" w:hAnsi="宋体" w:eastAsia="方正书宋_GBK" w:cs="宋体"/>
                <w:color w:val="000000"/>
                <w:kern w:val="0"/>
                <w:sz w:val="18"/>
                <w:szCs w:val="18"/>
                <w:lang w:val="en-US" w:eastAsia="zh-CN"/>
              </w:rPr>
              <w:t>4</w:t>
            </w:r>
          </w:p>
        </w:tc>
        <w:tc>
          <w:tcPr>
            <w:tcW w:w="325"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jc w:val="center"/>
              <w:rPr>
                <w:rFonts w:hint="eastAsia" w:eastAsia="仿宋_GB2312" w:cs="仿宋_GB2312" w:asciiTheme="minorHAnsi" w:hAnsiTheme="minorHAnsi"/>
                <w:snapToGrid w:val="0"/>
                <w:color w:val="000000"/>
                <w:kern w:val="2"/>
                <w:sz w:val="20"/>
                <w:szCs w:val="20"/>
                <w:lang w:val="en-US" w:eastAsia="zh-CN" w:bidi="ar-SA"/>
              </w:rPr>
            </w:pPr>
            <w:r>
              <w:rPr>
                <w:rFonts w:hint="eastAsia" w:eastAsia="仿宋_GB2312" w:cs="仿宋_GB2312"/>
                <w:snapToGrid w:val="0"/>
                <w:color w:val="000000"/>
                <w:sz w:val="20"/>
                <w:szCs w:val="20"/>
              </w:rPr>
              <w:t>行政强制</w:t>
            </w:r>
          </w:p>
        </w:tc>
        <w:tc>
          <w:tcPr>
            <w:tcW w:w="534"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rPr>
                <w:rFonts w:hint="eastAsia" w:eastAsia="仿宋_GB2312" w:cs="仿宋_GB2312" w:asciiTheme="minorHAnsi" w:hAnsiTheme="minorHAnsi"/>
                <w:snapToGrid w:val="0"/>
                <w:color w:val="000000"/>
                <w:kern w:val="2"/>
                <w:sz w:val="20"/>
                <w:szCs w:val="20"/>
                <w:lang w:val="en-US" w:eastAsia="zh-CN" w:bidi="ar-SA"/>
              </w:rPr>
            </w:pPr>
            <w:r>
              <w:rPr>
                <w:rFonts w:hint="eastAsia" w:eastAsia="仿宋_GB2312" w:cs="仿宋_GB2312"/>
                <w:snapToGrid w:val="0"/>
                <w:color w:val="000000"/>
                <w:sz w:val="20"/>
                <w:szCs w:val="20"/>
              </w:rPr>
              <w:t>非国有档案因安全原因的档案代保管</w:t>
            </w:r>
          </w:p>
        </w:tc>
        <w:tc>
          <w:tcPr>
            <w:tcW w:w="491"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rPr>
                <w:rFonts w:hint="eastAsia" w:eastAsia="仿宋_GB2312" w:cs="仿宋_GB2312" w:asciiTheme="minorHAnsi" w:hAnsiTheme="minorHAnsi"/>
                <w:snapToGrid w:val="0"/>
                <w:color w:val="000000"/>
                <w:kern w:val="2"/>
                <w:sz w:val="20"/>
                <w:szCs w:val="20"/>
                <w:lang w:val="en-US" w:eastAsia="zh-CN" w:bidi="ar-SA"/>
              </w:rPr>
            </w:pPr>
            <w:r>
              <w:rPr>
                <w:rFonts w:hint="eastAsia" w:eastAsia="仿宋_GB2312" w:cs="仿宋_GB2312"/>
                <w:snapToGrid w:val="0"/>
                <w:color w:val="000000"/>
                <w:sz w:val="20"/>
                <w:szCs w:val="20"/>
              </w:rPr>
              <w:t>　</w:t>
            </w:r>
          </w:p>
        </w:tc>
        <w:tc>
          <w:tcPr>
            <w:tcW w:w="657" w:type="dxa"/>
            <w:tcBorders>
              <w:top w:val="single" w:color="auto" w:sz="4" w:space="0"/>
              <w:left w:val="nil"/>
              <w:bottom w:val="single" w:color="auto" w:sz="4" w:space="0"/>
              <w:right w:val="single" w:color="auto" w:sz="4" w:space="0"/>
            </w:tcBorders>
            <w:vAlign w:val="center"/>
          </w:tcPr>
          <w:p>
            <w:pPr>
              <w:adjustRightInd w:val="0"/>
              <w:snapToGrid w:val="0"/>
              <w:spacing w:line="260" w:lineRule="exact"/>
              <w:jc w:val="center"/>
              <w:rPr>
                <w:rFonts w:hint="eastAsia" w:ascii="方正书宋_GBK" w:hAnsi="宋体" w:eastAsia="方正书宋_GBK" w:cs="宋体"/>
                <w:color w:val="000000"/>
                <w:kern w:val="0"/>
                <w:sz w:val="20"/>
                <w:szCs w:val="20"/>
                <w:lang w:val="en-US" w:eastAsia="zh-CN" w:bidi="ar-SA"/>
              </w:rPr>
            </w:pPr>
            <w:r>
              <w:rPr>
                <w:rFonts w:hint="eastAsia" w:ascii="方正书宋_GBK" w:hAnsi="宋体" w:eastAsia="方正书宋_GBK" w:cs="宋体"/>
                <w:color w:val="000000"/>
                <w:kern w:val="0"/>
                <w:sz w:val="20"/>
                <w:szCs w:val="20"/>
                <w:lang w:eastAsia="zh-CN"/>
              </w:rPr>
              <w:t>县级</w:t>
            </w:r>
          </w:p>
        </w:tc>
        <w:tc>
          <w:tcPr>
            <w:tcW w:w="1050" w:type="dxa"/>
            <w:tcBorders>
              <w:top w:val="single" w:color="auto" w:sz="4" w:space="0"/>
              <w:left w:val="nil"/>
              <w:bottom w:val="single" w:color="auto" w:sz="4" w:space="0"/>
              <w:right w:val="single" w:color="auto" w:sz="4" w:space="0"/>
            </w:tcBorders>
            <w:vAlign w:val="center"/>
          </w:tcPr>
          <w:p>
            <w:pPr>
              <w:adjustRightInd w:val="0"/>
              <w:snapToGrid w:val="0"/>
              <w:spacing w:line="260" w:lineRule="exact"/>
              <w:jc w:val="center"/>
              <w:rPr>
                <w:rFonts w:hint="eastAsia" w:ascii="方正书宋_GBK" w:hAnsi="宋体" w:eastAsia="方正书宋_GBK" w:cs="宋体"/>
                <w:color w:val="000000"/>
                <w:kern w:val="0"/>
                <w:sz w:val="20"/>
                <w:szCs w:val="20"/>
                <w:lang w:val="en-US" w:eastAsia="zh-CN" w:bidi="ar-SA"/>
              </w:rPr>
            </w:pPr>
            <w:r>
              <w:rPr>
                <w:rFonts w:hint="eastAsia" w:ascii="方正书宋_GBK" w:hAnsi="宋体" w:eastAsia="方正书宋_GBK" w:cs="宋体"/>
                <w:color w:val="000000"/>
                <w:kern w:val="0"/>
                <w:sz w:val="20"/>
                <w:szCs w:val="20"/>
                <w:lang w:eastAsia="zh-CN"/>
              </w:rPr>
              <w:t>办公室</w:t>
            </w:r>
          </w:p>
        </w:tc>
        <w:tc>
          <w:tcPr>
            <w:tcW w:w="3220"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ind w:firstLine="400" w:firstLineChars="200"/>
              <w:rPr>
                <w:rFonts w:hint="eastAsia" w:eastAsia="仿宋_GB2312" w:cs="仿宋_GB2312" w:asciiTheme="minorHAnsi" w:hAnsiTheme="minorHAnsi"/>
                <w:snapToGrid w:val="0"/>
                <w:color w:val="000000"/>
                <w:kern w:val="2"/>
                <w:sz w:val="20"/>
                <w:szCs w:val="20"/>
                <w:lang w:val="en-US" w:eastAsia="zh-CN" w:bidi="ar-SA"/>
              </w:rPr>
            </w:pPr>
            <w:r>
              <w:rPr>
                <w:rFonts w:hint="eastAsia" w:eastAsia="仿宋_GB2312" w:cs="仿宋_GB2312"/>
                <w:snapToGrid w:val="0"/>
                <w:color w:val="000000"/>
                <w:sz w:val="20"/>
                <w:szCs w:val="20"/>
              </w:rPr>
              <w:t>【法律】《中华人民共和国档案法》第二十二条第一款：非国有企业、社会服务机构等单位和个人形成的档案，对国家和社会具有重要保存价值或者应当保密的，档案所有者应当妥善保管。对保管条件不符合要求或者存在其他原因可能导致档案严重损毁和不安全的，省级以上档案主管部门可以给予帮助，或者经协商采取指定档案馆代为保管等确保档案完整和安全的措施；必要时，可以依法收购或者征购。</w:t>
            </w:r>
          </w:p>
        </w:tc>
        <w:tc>
          <w:tcPr>
            <w:tcW w:w="209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1.催告责任：应当告知档案所有者对可能导致档案严重损毁或不安全的档案进行代保管。</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2.审核责任：对是否需要代保管的档案进行审核。</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3.执行责任：对档案所有人的档案强制代保管，必要时，可以收购或者征购。</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4.监管责任：档案主管部门应该就档案代保管执行情况进行监督管理。</w:t>
            </w:r>
          </w:p>
          <w:p>
            <w:pPr>
              <w:widowControl/>
              <w:adjustRightInd w:val="0"/>
              <w:snapToGrid w:val="0"/>
              <w:spacing w:line="300" w:lineRule="exact"/>
              <w:ind w:firstLine="400" w:firstLineChars="200"/>
              <w:rPr>
                <w:rFonts w:hint="eastAsia" w:eastAsia="仿宋_GB2312" w:cs="仿宋_GB2312" w:asciiTheme="minorHAnsi" w:hAnsiTheme="minorHAnsi"/>
                <w:snapToGrid w:val="0"/>
                <w:color w:val="000000"/>
                <w:kern w:val="2"/>
                <w:sz w:val="20"/>
                <w:szCs w:val="20"/>
                <w:lang w:val="en-US" w:eastAsia="zh-CN" w:bidi="ar-SA"/>
              </w:rPr>
            </w:pPr>
            <w:r>
              <w:rPr>
                <w:rFonts w:hint="eastAsia" w:eastAsia="仿宋_GB2312" w:cs="仿宋_GB2312"/>
                <w:snapToGrid w:val="0"/>
                <w:color w:val="000000"/>
                <w:sz w:val="20"/>
                <w:szCs w:val="20"/>
              </w:rPr>
              <w:t>5.其他法律法规规章文件规定应履行的责任。</w:t>
            </w:r>
          </w:p>
        </w:tc>
        <w:tc>
          <w:tcPr>
            <w:tcW w:w="5972"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1.【法律】《中华人民共和国行政强制法》第三十五条：行政机关作出强制执行决定前，应当事先催告当事人履行义务.催告应当以书面形式作出，并载明下列事项：（一）履行义务的期限；（二）履行义务的方式；（三）涉及金钱给付的，应当有明确的金额和给付方式；（四）当事人依法享有的陈述权和申辩权。</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2.【地方性法规】《广西壮族自治区档案管理条例》（1999年3月26日广西壮族自治区第九届人民代表大会常务委员会第十次会议通过，2007年5月31日修订）第二十三条：档案工作人员、对档案工作负有领导责任的人员玩忽职守，造成档案损失的，由县级以上档案行政管理部门、有关主管部门依法给予行政处分；构成犯罪的，依法追究刑事责任。</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3.【法律】《中华人民共和国档案法》第十六条：集体所有的和个人所有的对国家和社会具有保存价值的或者应当保密的档案，档案所有者应当妥善保管。对于保管条件恶劣或者其他原因被认为可能导致档案严重损毁和不安全的，国家档案主管部门有权采取代为保管等确保档案完整和安全的措施；必要时，可以收购或者征购。</w:t>
            </w:r>
          </w:p>
          <w:p>
            <w:pPr>
              <w:widowControl/>
              <w:adjustRightInd w:val="0"/>
              <w:snapToGrid w:val="0"/>
              <w:spacing w:line="300" w:lineRule="exact"/>
              <w:ind w:firstLine="400" w:firstLineChars="200"/>
              <w:rPr>
                <w:rFonts w:hint="eastAsia" w:eastAsia="仿宋_GB2312" w:cs="仿宋_GB2312" w:asciiTheme="minorHAnsi" w:hAnsiTheme="minorHAnsi"/>
                <w:snapToGrid w:val="0"/>
                <w:color w:val="000000"/>
                <w:kern w:val="2"/>
                <w:sz w:val="20"/>
                <w:szCs w:val="20"/>
                <w:lang w:val="en-US" w:eastAsia="zh-CN" w:bidi="ar-SA"/>
              </w:rPr>
            </w:pPr>
            <w:r>
              <w:rPr>
                <w:rFonts w:hint="eastAsia" w:eastAsia="仿宋_GB2312" w:cs="仿宋_GB2312"/>
                <w:snapToGrid w:val="0"/>
                <w:color w:val="000000"/>
                <w:sz w:val="20"/>
                <w:szCs w:val="20"/>
              </w:rPr>
              <w:t>4.【部门规章】《档案管理违法违纪行为处分规定》（2013年国家档案局30号令）第十二条：明知档案面临危险而不采取措施的，导致档案安全事故发生的，对有关责任人员，给予记过或者记大过处分。</w:t>
            </w:r>
          </w:p>
        </w:tc>
        <w:tc>
          <w:tcPr>
            <w:tcW w:w="1740"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因不履行或不正确履行行政职责，有下列情形的，行政机关及相关工作人员应承担相应责任：</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1.无法定依据或者超越法定权限实施行政强制的；</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2.违反法定程序实施行政强制的；</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3.不具备行政执法资格实施行政强制的；</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4.使用、丢失或损毁先行登记的财物，给行政相对人造成损失的；</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5.在实施行政强制过程中滥用职权、玩忽职守、徇私舞弊的；</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6.利用行政强制权为单位或者个人谋取利益的；</w:t>
            </w:r>
          </w:p>
          <w:p>
            <w:pPr>
              <w:widowControl/>
              <w:adjustRightInd w:val="0"/>
              <w:snapToGrid w:val="0"/>
              <w:spacing w:line="300" w:lineRule="exact"/>
              <w:ind w:firstLine="400" w:firstLineChars="200"/>
              <w:rPr>
                <w:rFonts w:hint="eastAsia" w:eastAsia="仿宋_GB2312" w:cs="仿宋_GB2312"/>
                <w:snapToGrid w:val="0"/>
                <w:color w:val="000000"/>
                <w:sz w:val="20"/>
                <w:szCs w:val="20"/>
                <w:lang w:eastAsia="zh-CN"/>
              </w:rPr>
            </w:pPr>
            <w:r>
              <w:rPr>
                <w:rFonts w:hint="eastAsia" w:eastAsia="仿宋_GB2312" w:cs="仿宋_GB2312"/>
                <w:snapToGrid w:val="0"/>
                <w:color w:val="000000"/>
                <w:sz w:val="20"/>
                <w:szCs w:val="20"/>
              </w:rPr>
              <w:t>7.其他违反法律法规规章文件规定的行为</w:t>
            </w:r>
            <w:r>
              <w:rPr>
                <w:rFonts w:hint="eastAsia" w:eastAsia="仿宋_GB2312" w:cs="仿宋_GB2312"/>
                <w:snapToGrid w:val="0"/>
                <w:color w:val="000000"/>
                <w:sz w:val="20"/>
                <w:szCs w:val="20"/>
                <w:lang w:eastAsia="zh-CN"/>
              </w:rPr>
              <w:t>。</w:t>
            </w:r>
          </w:p>
        </w:tc>
        <w:tc>
          <w:tcPr>
            <w:tcW w:w="4470"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1.《中华人民共和国行政强制法》第六十一条:“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行的；……（六）有其他违法实施行政强制情形的。”</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2.《中华人民共和国行政强制法》第六十一条:“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行的；（五）对居民生活采取停止供水、供电、供热、供燃气等方式迫使当事人履行相关行政决定的；（六）有其他违法实施行政强制情形的。”</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3.同1.</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4.《中华人民共和国行政强制法》第六十八条：“违反本法规定，给公民、法人或者其他组织造成损失的，依法给予赔偿。 违反本法规定，构成犯罪的，依法追究刑事责任。”</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5.《行政机关公务员处分条例》第二十条有下列行为之一的，给予记过、记大过处分；情节较重的，给予降级或者撤职处分；情节严重的，给予开除处分：（四）其他玩忽职守、贻误工作的行为。</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6.同1.</w:t>
            </w:r>
          </w:p>
        </w:tc>
        <w:tc>
          <w:tcPr>
            <w:tcW w:w="540"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rPr>
                <w:rFonts w:hint="eastAsia" w:eastAsia="仿宋_GB2312" w:cs="仿宋_GB2312"/>
                <w:snapToGrid w:val="0"/>
                <w:color w:val="000000"/>
                <w:sz w:val="20"/>
                <w:szCs w:val="20"/>
              </w:rPr>
            </w:pPr>
            <w:r>
              <w:rPr>
                <w:rFonts w:hint="eastAsia" w:eastAsia="仿宋_GB2312" w:cs="仿宋_GB2312"/>
                <w:snapToGrid w:val="0"/>
                <w:color w:val="000000"/>
                <w:sz w:val="20"/>
                <w:szCs w:val="20"/>
              </w:rPr>
              <w:t>法律法规规定的免责情形及市委、市人民政府有关文件中明确的免责情形。</w:t>
            </w:r>
          </w:p>
        </w:tc>
        <w:tc>
          <w:tcPr>
            <w:tcW w:w="330" w:type="dxa"/>
            <w:tcBorders>
              <w:top w:val="single" w:color="auto" w:sz="4" w:space="0"/>
              <w:left w:val="nil"/>
              <w:bottom w:val="single" w:color="auto" w:sz="4" w:space="0"/>
              <w:right w:val="single" w:color="auto" w:sz="4" w:space="0"/>
            </w:tcBorders>
          </w:tcPr>
          <w:p>
            <w:pPr>
              <w:widowControl/>
              <w:adjustRightInd w:val="0"/>
              <w:snapToGrid w:val="0"/>
              <w:spacing w:line="300" w:lineRule="exact"/>
              <w:ind w:firstLine="400" w:firstLineChars="200"/>
              <w:rPr>
                <w:rFonts w:hint="eastAsia" w:eastAsia="仿宋_GB2312" w:cs="仿宋_GB2312"/>
                <w:snapToGrid w:val="0"/>
                <w:color w:val="000000"/>
                <w:sz w:val="20"/>
                <w:szCs w:val="20"/>
              </w:rPr>
            </w:pPr>
          </w:p>
        </w:tc>
      </w:tr>
      <w:tr>
        <w:tblPrEx>
          <w:tblCellMar>
            <w:top w:w="28" w:type="dxa"/>
            <w:left w:w="28" w:type="dxa"/>
            <w:bottom w:w="28" w:type="dxa"/>
            <w:right w:w="28" w:type="dxa"/>
          </w:tblCellMar>
        </w:tblPrEx>
        <w:trPr>
          <w:trHeight w:val="13499" w:hRule="atLeast"/>
          <w:jc w:val="center"/>
        </w:trPr>
        <w:tc>
          <w:tcPr>
            <w:tcW w:w="4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hint="eastAsia" w:ascii="方正书宋_GBK" w:hAnsi="宋体" w:eastAsia="方正书宋_GBK" w:cs="宋体"/>
                <w:color w:val="000000"/>
                <w:kern w:val="0"/>
                <w:sz w:val="18"/>
                <w:szCs w:val="18"/>
                <w:lang w:val="en-US" w:eastAsia="zh-CN"/>
              </w:rPr>
            </w:pPr>
            <w:r>
              <w:rPr>
                <w:rFonts w:hint="eastAsia" w:ascii="方正书宋_GBK" w:hAnsi="宋体" w:eastAsia="方正书宋_GBK" w:cs="宋体"/>
                <w:color w:val="000000"/>
                <w:kern w:val="0"/>
                <w:sz w:val="18"/>
                <w:szCs w:val="18"/>
                <w:lang w:val="en-US" w:eastAsia="zh-CN"/>
              </w:rPr>
              <w:t>5</w:t>
            </w:r>
          </w:p>
        </w:tc>
        <w:tc>
          <w:tcPr>
            <w:tcW w:w="325"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jc w:val="center"/>
              <w:rPr>
                <w:rFonts w:hint="eastAsia" w:eastAsia="仿宋_GB2312" w:cs="仿宋_GB2312" w:asciiTheme="minorHAnsi" w:hAnsiTheme="minorHAnsi"/>
                <w:snapToGrid w:val="0"/>
                <w:color w:val="000000"/>
                <w:kern w:val="2"/>
                <w:sz w:val="20"/>
                <w:szCs w:val="20"/>
                <w:lang w:val="en-US" w:eastAsia="zh-CN" w:bidi="ar-SA"/>
              </w:rPr>
            </w:pPr>
            <w:r>
              <w:rPr>
                <w:rFonts w:hint="eastAsia" w:eastAsia="仿宋_GB2312" w:cs="仿宋_GB2312"/>
                <w:snapToGrid w:val="0"/>
                <w:color w:val="000000"/>
                <w:sz w:val="20"/>
                <w:szCs w:val="20"/>
              </w:rPr>
              <w:t>行政检查</w:t>
            </w:r>
          </w:p>
        </w:tc>
        <w:tc>
          <w:tcPr>
            <w:tcW w:w="534"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rPr>
                <w:rFonts w:hint="eastAsia" w:eastAsia="仿宋_GB2312" w:cs="仿宋_GB2312" w:asciiTheme="minorHAnsi" w:hAnsiTheme="minorHAnsi"/>
                <w:snapToGrid w:val="0"/>
                <w:color w:val="000000"/>
                <w:kern w:val="2"/>
                <w:sz w:val="20"/>
                <w:szCs w:val="20"/>
                <w:lang w:val="en-US" w:eastAsia="zh-CN" w:bidi="ar-SA"/>
              </w:rPr>
            </w:pPr>
            <w:r>
              <w:rPr>
                <w:rFonts w:hint="eastAsia" w:eastAsia="仿宋_GB2312" w:cs="仿宋_GB2312"/>
                <w:snapToGrid w:val="0"/>
                <w:color w:val="000000"/>
                <w:sz w:val="20"/>
                <w:szCs w:val="20"/>
              </w:rPr>
              <w:t>档案执法监督检查</w:t>
            </w:r>
          </w:p>
        </w:tc>
        <w:tc>
          <w:tcPr>
            <w:tcW w:w="491"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rPr>
                <w:rFonts w:hint="eastAsia" w:eastAsia="仿宋_GB2312" w:cs="仿宋_GB2312" w:asciiTheme="minorHAnsi" w:hAnsiTheme="minorHAnsi"/>
                <w:snapToGrid w:val="0"/>
                <w:color w:val="000000"/>
                <w:kern w:val="2"/>
                <w:sz w:val="20"/>
                <w:szCs w:val="20"/>
                <w:lang w:val="en-US" w:eastAsia="zh-CN" w:bidi="ar-SA"/>
              </w:rPr>
            </w:pPr>
            <w:r>
              <w:rPr>
                <w:rFonts w:hint="eastAsia" w:eastAsia="仿宋_GB2312" w:cs="仿宋_GB2312"/>
                <w:snapToGrid w:val="0"/>
                <w:color w:val="000000"/>
                <w:sz w:val="20"/>
                <w:szCs w:val="20"/>
              </w:rPr>
              <w:t>　</w:t>
            </w:r>
          </w:p>
        </w:tc>
        <w:tc>
          <w:tcPr>
            <w:tcW w:w="657" w:type="dxa"/>
            <w:tcBorders>
              <w:top w:val="single" w:color="auto" w:sz="4" w:space="0"/>
              <w:left w:val="nil"/>
              <w:bottom w:val="single" w:color="auto" w:sz="4" w:space="0"/>
              <w:right w:val="single" w:color="auto" w:sz="4" w:space="0"/>
            </w:tcBorders>
            <w:vAlign w:val="center"/>
          </w:tcPr>
          <w:p>
            <w:pPr>
              <w:adjustRightInd w:val="0"/>
              <w:snapToGrid w:val="0"/>
              <w:spacing w:line="260" w:lineRule="exact"/>
              <w:jc w:val="center"/>
              <w:rPr>
                <w:rFonts w:hint="eastAsia" w:ascii="方正书宋_GBK" w:hAnsi="宋体" w:eastAsia="方正书宋_GBK" w:cs="宋体"/>
                <w:color w:val="000000"/>
                <w:kern w:val="0"/>
                <w:sz w:val="20"/>
                <w:szCs w:val="20"/>
                <w:lang w:val="en-US" w:eastAsia="zh-CN" w:bidi="ar-SA"/>
              </w:rPr>
            </w:pPr>
            <w:r>
              <w:rPr>
                <w:rFonts w:hint="eastAsia" w:ascii="方正书宋_GBK" w:hAnsi="宋体" w:eastAsia="方正书宋_GBK" w:cs="宋体"/>
                <w:color w:val="000000"/>
                <w:kern w:val="0"/>
                <w:sz w:val="20"/>
                <w:szCs w:val="20"/>
                <w:lang w:eastAsia="zh-CN"/>
              </w:rPr>
              <w:t>县级</w:t>
            </w:r>
          </w:p>
        </w:tc>
        <w:tc>
          <w:tcPr>
            <w:tcW w:w="1050" w:type="dxa"/>
            <w:tcBorders>
              <w:top w:val="single" w:color="auto" w:sz="4" w:space="0"/>
              <w:left w:val="nil"/>
              <w:bottom w:val="single" w:color="auto" w:sz="4" w:space="0"/>
              <w:right w:val="single" w:color="auto" w:sz="4" w:space="0"/>
            </w:tcBorders>
            <w:vAlign w:val="center"/>
          </w:tcPr>
          <w:p>
            <w:pPr>
              <w:adjustRightInd w:val="0"/>
              <w:snapToGrid w:val="0"/>
              <w:spacing w:line="260" w:lineRule="exact"/>
              <w:jc w:val="center"/>
              <w:rPr>
                <w:rFonts w:hint="eastAsia" w:ascii="方正书宋_GBK" w:hAnsi="宋体" w:eastAsia="方正书宋_GBK" w:cs="宋体"/>
                <w:color w:val="000000"/>
                <w:kern w:val="0"/>
                <w:sz w:val="20"/>
                <w:szCs w:val="20"/>
                <w:lang w:val="en-US" w:eastAsia="zh-CN" w:bidi="ar-SA"/>
              </w:rPr>
            </w:pPr>
            <w:r>
              <w:rPr>
                <w:rFonts w:hint="eastAsia" w:ascii="方正书宋_GBK" w:hAnsi="宋体" w:eastAsia="方正书宋_GBK" w:cs="宋体"/>
                <w:color w:val="000000"/>
                <w:kern w:val="0"/>
                <w:sz w:val="20"/>
                <w:szCs w:val="20"/>
                <w:lang w:eastAsia="zh-CN"/>
              </w:rPr>
              <w:t>办公室</w:t>
            </w:r>
          </w:p>
        </w:tc>
        <w:tc>
          <w:tcPr>
            <w:tcW w:w="3220"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【法律】《中华人民共和国档案法》第四十二条：档案主管部门依照法律、行政法规有关档案管理的规定，可以对档案馆和机关、团体、企业事业单位以及其他组织的下列情况进行检查：</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（一）档案工作责任制和管理制度落实情况；</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（二）档案库房、设施、设备配置使用情况；</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（三）档案工作人员管理情况；</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（四）档案收集、整理、保管、提供利用等情况；</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（五）档案信息化建设和信息安全保障情况；</w:t>
            </w:r>
          </w:p>
          <w:p>
            <w:pPr>
              <w:widowControl/>
              <w:adjustRightInd w:val="0"/>
              <w:snapToGrid w:val="0"/>
              <w:spacing w:line="300" w:lineRule="exact"/>
              <w:ind w:firstLine="400" w:firstLineChars="200"/>
              <w:rPr>
                <w:rFonts w:hint="eastAsia" w:eastAsia="仿宋_GB2312" w:cs="仿宋_GB2312" w:asciiTheme="minorHAnsi" w:hAnsiTheme="minorHAnsi"/>
                <w:snapToGrid w:val="0"/>
                <w:color w:val="000000"/>
                <w:kern w:val="2"/>
                <w:sz w:val="20"/>
                <w:szCs w:val="20"/>
                <w:lang w:val="en-US" w:eastAsia="zh-CN" w:bidi="ar-SA"/>
              </w:rPr>
            </w:pPr>
            <w:r>
              <w:rPr>
                <w:rFonts w:hint="eastAsia" w:eastAsia="仿宋_GB2312" w:cs="仿宋_GB2312"/>
                <w:snapToGrid w:val="0"/>
                <w:color w:val="000000"/>
                <w:sz w:val="20"/>
                <w:szCs w:val="20"/>
              </w:rPr>
              <w:t>（六）对所属单位等的档案工作监督和指导情况。</w:t>
            </w:r>
          </w:p>
        </w:tc>
        <w:tc>
          <w:tcPr>
            <w:tcW w:w="209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1.告知责任：制定检查方案并下发通知，告知检查相关内容时间。</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2.检查责任：档案行政管理部门依法对本行政区域内的档案法律法规执行情况进行监督和检查；依法组织查处档案违法行为。档案行政管理部门的执法人员进行执法监督检查时，应当出示行政执法证件。</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3.处理责任：档案执法监督检查机构和执法监督检查员可以发出《档案执法监督检查通知书》</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4.监管责任：档案主管部门应该就档案执法检查情况进行监督管理。</w:t>
            </w:r>
          </w:p>
          <w:p>
            <w:pPr>
              <w:widowControl/>
              <w:adjustRightInd w:val="0"/>
              <w:snapToGrid w:val="0"/>
              <w:spacing w:line="300" w:lineRule="exact"/>
              <w:ind w:firstLine="400" w:firstLineChars="200"/>
              <w:rPr>
                <w:rFonts w:hint="eastAsia" w:eastAsia="仿宋_GB2312" w:cs="仿宋_GB2312" w:asciiTheme="minorHAnsi" w:hAnsiTheme="minorHAnsi"/>
                <w:snapToGrid w:val="0"/>
                <w:color w:val="000000"/>
                <w:kern w:val="2"/>
                <w:sz w:val="20"/>
                <w:szCs w:val="20"/>
                <w:lang w:val="en-US" w:eastAsia="zh-CN" w:bidi="ar-SA"/>
              </w:rPr>
            </w:pPr>
            <w:r>
              <w:rPr>
                <w:rFonts w:hint="eastAsia" w:eastAsia="仿宋_GB2312" w:cs="仿宋_GB2312"/>
                <w:snapToGrid w:val="0"/>
                <w:color w:val="000000"/>
                <w:sz w:val="20"/>
                <w:szCs w:val="20"/>
              </w:rPr>
              <w:t>5.其他法律法规规章文件规定应履行的责任。</w:t>
            </w:r>
          </w:p>
        </w:tc>
        <w:tc>
          <w:tcPr>
            <w:tcW w:w="5972" w:type="dxa"/>
            <w:tcBorders>
              <w:top w:val="single" w:color="auto" w:sz="4" w:space="0"/>
              <w:left w:val="nil"/>
              <w:bottom w:val="single" w:color="auto" w:sz="4" w:space="0"/>
              <w:right w:val="single" w:color="auto" w:sz="4" w:space="0"/>
            </w:tcBorders>
            <w:vAlign w:val="center"/>
          </w:tcPr>
          <w:p>
            <w:pPr>
              <w:widowControl/>
              <w:jc w:val="left"/>
              <w:rPr>
                <w:rFonts w:hint="eastAsia" w:eastAsia="仿宋_GB2312" w:cs="仿宋_GB2312"/>
                <w:snapToGrid w:val="0"/>
                <w:color w:val="000000"/>
                <w:sz w:val="20"/>
                <w:szCs w:val="20"/>
              </w:rPr>
            </w:pPr>
            <w:r>
              <w:rPr>
                <w:rFonts w:hint="eastAsia" w:eastAsia="仿宋_GB2312" w:cs="仿宋_GB2312"/>
                <w:snapToGrid w:val="0"/>
                <w:color w:val="000000"/>
                <w:sz w:val="20"/>
                <w:szCs w:val="20"/>
              </w:rPr>
              <w:t>1.【法律】《中华人民共和国行政处罚法》第四十四条　行政机关在作出行政处罚决定之前，应当告知当事人拟作出的行政处罚内容及事实、理由、依据，并告知当事人依法享有的陈述、申辩、要求听证等权利。</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2.【地方性法规】《广西壮族自治区档案管理条例》（1999年3月26日广西壮族自治区第九届人民代表大会常务委员会第十次会议通过，2007年5月31日修订）第九条：县级以上档案行政管理部门依法对本行政区域内的档案法律法规执行情况进行监督和检查；依法组织查处档案违法行为。档案行政管理部门的执法人员进行执法监督检查时，应当出示行政执法证件。</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3.【部门规章】《档案执法监督检查工作暂行规定》（1992年国家档案局令第4号）第十条：对下列行为，档案执法监督检查机构和执法监督检查员可以发出《档案执法监督检查通知书》：（一）未建立档案工作或档案管理制度的；（二）档案保管条件差，危及档案安全的；（三）档案管理制度不健全或执行制度不严，可能造成档案损毁的；（四）发现档案破损、变质、下落不明或泄密等情况，未及时采取有效措施的；（五）拒不向本单位档案部门移交应当立卷归档的文件材料的；（六）不按规定向档案馆移交档案的；（七）科研成果、产品试制、基建工程或其他技术项目鉴定验收时，未按规定验收档案，致使档案残缺不全的；（八）借阅档案未按规定及时归还，且屡催不还的；（九）在保管或利用档案中涂改、撕毁、丢失档案的；（十）其它可能导致档案损毁的行为。《档案执法监督检查通知书》应写明被监督检查单位或个人所违反的具体档案法规条款和违法事实以及改进要求。</w:t>
            </w:r>
          </w:p>
          <w:p>
            <w:pPr>
              <w:widowControl/>
              <w:adjustRightInd w:val="0"/>
              <w:snapToGrid w:val="0"/>
              <w:spacing w:line="300" w:lineRule="exact"/>
              <w:ind w:firstLine="400" w:firstLineChars="200"/>
              <w:rPr>
                <w:rFonts w:hint="eastAsia" w:eastAsia="仿宋_GB2312" w:cs="仿宋_GB2312" w:asciiTheme="minorHAnsi" w:hAnsiTheme="minorHAnsi"/>
                <w:snapToGrid w:val="0"/>
                <w:color w:val="000000"/>
                <w:kern w:val="2"/>
                <w:sz w:val="20"/>
                <w:szCs w:val="20"/>
                <w:lang w:val="en-US" w:eastAsia="zh-CN" w:bidi="ar-SA"/>
              </w:rPr>
            </w:pPr>
            <w:r>
              <w:rPr>
                <w:rFonts w:hint="eastAsia" w:eastAsia="仿宋_GB2312" w:cs="仿宋_GB2312"/>
                <w:snapToGrid w:val="0"/>
                <w:color w:val="000000"/>
                <w:sz w:val="20"/>
                <w:szCs w:val="20"/>
              </w:rPr>
              <w:t>4.同2。</w:t>
            </w:r>
          </w:p>
        </w:tc>
        <w:tc>
          <w:tcPr>
            <w:tcW w:w="1740"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因不履行或不正确履行行政职责，有下列情形的，行政机关及相关工作人员应承担相应责任：</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1.不履行或不正确履行职责，在执法过程中有违法行为的。</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2.在监督检查中玩忽职守、徇私舞弊的。</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3.在监督检查中滥用职权，谋取不正当利益和发生腐败行为的。</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4.其他违反法律法规规章文件规定的行为。</w:t>
            </w:r>
          </w:p>
        </w:tc>
        <w:tc>
          <w:tcPr>
            <w:tcW w:w="4470"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1.《行政机关公务员处分条例》第二十条有下列行为之一的，给予记过、记大过处分；情节较重的，给予降级或者撤职处分；情节严重的，给予开除处分：（一）不依法履行职责，致使可以避免的爆炸、火灾、传染病传播流行、严重环境污染、严重人员伤亡等重大事故或者群体性事件发生的；</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2-1.《中华人民共和国档案法》第五章第二十四条“有下列行为之一的，由县级以上人民政府档案行政管理部门、有关主管部门对直接负责的主管人员或者其他直接责任人员依法给予行政处分；构成犯罪的，依法追究刑事责任：（八）档案工作人员玩忽职守，造成档案损失的。”</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2-2.《行政机关公务员处分条例》第二十条有下列行为之一的，给予记过、记大过处分；情节较重的，给予降级或者撤职处分；情节严重的，给予开除处分：（四）其他玩忽职守、贻误工作的行为。</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3.《行政机关公务员处分条例》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4.同1.</w:t>
            </w:r>
          </w:p>
        </w:tc>
        <w:tc>
          <w:tcPr>
            <w:tcW w:w="540"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rPr>
                <w:rFonts w:hint="eastAsia" w:eastAsia="仿宋_GB2312" w:cs="仿宋_GB2312"/>
                <w:snapToGrid w:val="0"/>
                <w:color w:val="000000"/>
                <w:sz w:val="20"/>
                <w:szCs w:val="20"/>
              </w:rPr>
            </w:pPr>
            <w:r>
              <w:rPr>
                <w:rFonts w:hint="eastAsia" w:eastAsia="仿宋_GB2312" w:cs="仿宋_GB2312"/>
                <w:snapToGrid w:val="0"/>
                <w:color w:val="000000"/>
                <w:sz w:val="20"/>
                <w:szCs w:val="20"/>
              </w:rPr>
              <w:t>法律法规规定的免责情形及市委、市人民政府有关文件中明确的免责情形。</w:t>
            </w:r>
          </w:p>
        </w:tc>
        <w:tc>
          <w:tcPr>
            <w:tcW w:w="330" w:type="dxa"/>
            <w:tcBorders>
              <w:top w:val="single" w:color="auto" w:sz="4" w:space="0"/>
              <w:left w:val="nil"/>
              <w:bottom w:val="single" w:color="auto" w:sz="4" w:space="0"/>
              <w:right w:val="single" w:color="auto" w:sz="4" w:space="0"/>
            </w:tcBorders>
          </w:tcPr>
          <w:p>
            <w:pPr>
              <w:widowControl/>
              <w:adjustRightInd w:val="0"/>
              <w:snapToGrid w:val="0"/>
              <w:spacing w:line="300" w:lineRule="exact"/>
              <w:ind w:firstLine="400" w:firstLineChars="200"/>
              <w:rPr>
                <w:rFonts w:hint="eastAsia" w:eastAsia="仿宋_GB2312" w:cs="仿宋_GB2312"/>
                <w:snapToGrid w:val="0"/>
                <w:color w:val="000000"/>
                <w:sz w:val="20"/>
                <w:szCs w:val="20"/>
              </w:rPr>
            </w:pPr>
          </w:p>
        </w:tc>
      </w:tr>
      <w:tr>
        <w:tblPrEx>
          <w:tblCellMar>
            <w:top w:w="28" w:type="dxa"/>
            <w:left w:w="28" w:type="dxa"/>
            <w:bottom w:w="28" w:type="dxa"/>
            <w:right w:w="28" w:type="dxa"/>
          </w:tblCellMar>
        </w:tblPrEx>
        <w:trPr>
          <w:trHeight w:val="13565" w:hRule="atLeast"/>
          <w:jc w:val="center"/>
        </w:trPr>
        <w:tc>
          <w:tcPr>
            <w:tcW w:w="4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hint="eastAsia" w:ascii="方正书宋_GBK" w:hAnsi="宋体" w:eastAsia="方正书宋_GBK" w:cs="宋体"/>
                <w:color w:val="000000"/>
                <w:kern w:val="0"/>
                <w:sz w:val="18"/>
                <w:szCs w:val="18"/>
                <w:lang w:val="en-US" w:eastAsia="zh-CN"/>
              </w:rPr>
            </w:pPr>
            <w:r>
              <w:rPr>
                <w:rFonts w:hint="eastAsia" w:ascii="方正书宋_GBK" w:hAnsi="宋体" w:eastAsia="方正书宋_GBK" w:cs="宋体"/>
                <w:color w:val="000000"/>
                <w:kern w:val="0"/>
                <w:sz w:val="18"/>
                <w:szCs w:val="18"/>
                <w:lang w:val="en-US" w:eastAsia="zh-CN"/>
              </w:rPr>
              <w:t>6</w:t>
            </w:r>
          </w:p>
        </w:tc>
        <w:tc>
          <w:tcPr>
            <w:tcW w:w="325"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jc w:val="center"/>
              <w:rPr>
                <w:rFonts w:hint="eastAsia" w:eastAsia="仿宋_GB2312" w:cs="仿宋_GB2312" w:asciiTheme="minorHAnsi" w:hAnsiTheme="minorHAnsi"/>
                <w:snapToGrid w:val="0"/>
                <w:color w:val="000000"/>
                <w:kern w:val="2"/>
                <w:sz w:val="20"/>
                <w:szCs w:val="20"/>
                <w:lang w:val="en-US" w:eastAsia="zh-CN" w:bidi="ar-SA"/>
              </w:rPr>
            </w:pPr>
            <w:r>
              <w:rPr>
                <w:rFonts w:hint="eastAsia" w:eastAsia="仿宋_GB2312" w:cs="仿宋_GB2312"/>
                <w:snapToGrid w:val="0"/>
                <w:color w:val="000000"/>
                <w:sz w:val="20"/>
                <w:szCs w:val="20"/>
              </w:rPr>
              <w:t>行政奖励</w:t>
            </w:r>
          </w:p>
        </w:tc>
        <w:tc>
          <w:tcPr>
            <w:tcW w:w="534"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rPr>
                <w:rFonts w:hint="eastAsia" w:eastAsia="仿宋_GB2312" w:cs="仿宋_GB2312" w:asciiTheme="minorHAnsi" w:hAnsiTheme="minorHAnsi"/>
                <w:snapToGrid w:val="0"/>
                <w:color w:val="000000"/>
                <w:kern w:val="2"/>
                <w:sz w:val="20"/>
                <w:szCs w:val="20"/>
                <w:lang w:val="en-US" w:eastAsia="zh-CN" w:bidi="ar-SA"/>
              </w:rPr>
            </w:pPr>
            <w:r>
              <w:rPr>
                <w:rFonts w:hint="eastAsia" w:eastAsia="仿宋_GB2312" w:cs="仿宋_GB2312"/>
                <w:snapToGrid w:val="0"/>
                <w:color w:val="000000"/>
                <w:sz w:val="20"/>
                <w:szCs w:val="20"/>
              </w:rPr>
              <w:t>对在档案工作中作出显著成绩的或者向国家捐赠重要、珍贵档案的单位和个人的表彰或者奖励”</w:t>
            </w:r>
          </w:p>
        </w:tc>
        <w:tc>
          <w:tcPr>
            <w:tcW w:w="491"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rPr>
                <w:rFonts w:hint="eastAsia" w:eastAsia="仿宋_GB2312" w:cs="仿宋_GB2312" w:asciiTheme="minorHAnsi" w:hAnsiTheme="minorHAnsi"/>
                <w:snapToGrid w:val="0"/>
                <w:color w:val="000000"/>
                <w:kern w:val="2"/>
                <w:sz w:val="20"/>
                <w:szCs w:val="20"/>
                <w:lang w:val="en-US" w:eastAsia="zh-CN" w:bidi="ar-SA"/>
              </w:rPr>
            </w:pPr>
            <w:r>
              <w:rPr>
                <w:rFonts w:hint="eastAsia" w:eastAsia="仿宋_GB2312" w:cs="仿宋_GB2312"/>
                <w:snapToGrid w:val="0"/>
                <w:color w:val="000000"/>
                <w:sz w:val="20"/>
                <w:szCs w:val="20"/>
              </w:rPr>
              <w:t>　</w:t>
            </w:r>
          </w:p>
        </w:tc>
        <w:tc>
          <w:tcPr>
            <w:tcW w:w="657" w:type="dxa"/>
            <w:tcBorders>
              <w:top w:val="single" w:color="auto" w:sz="4" w:space="0"/>
              <w:left w:val="nil"/>
              <w:bottom w:val="single" w:color="auto" w:sz="4" w:space="0"/>
              <w:right w:val="single" w:color="auto" w:sz="4" w:space="0"/>
            </w:tcBorders>
            <w:vAlign w:val="center"/>
          </w:tcPr>
          <w:p>
            <w:pPr>
              <w:adjustRightInd w:val="0"/>
              <w:snapToGrid w:val="0"/>
              <w:spacing w:line="260" w:lineRule="exact"/>
              <w:jc w:val="center"/>
              <w:rPr>
                <w:rFonts w:hint="eastAsia" w:ascii="方正书宋_GBK" w:hAnsi="宋体" w:eastAsia="方正书宋_GBK" w:cs="宋体"/>
                <w:color w:val="000000"/>
                <w:kern w:val="0"/>
                <w:sz w:val="20"/>
                <w:szCs w:val="20"/>
                <w:lang w:val="en-US" w:eastAsia="zh-CN" w:bidi="ar-SA"/>
              </w:rPr>
            </w:pPr>
            <w:r>
              <w:rPr>
                <w:rFonts w:hint="eastAsia" w:ascii="方正书宋_GBK" w:hAnsi="宋体" w:eastAsia="方正书宋_GBK" w:cs="宋体"/>
                <w:color w:val="000000"/>
                <w:kern w:val="0"/>
                <w:sz w:val="20"/>
                <w:szCs w:val="20"/>
                <w:lang w:eastAsia="zh-CN"/>
              </w:rPr>
              <w:t>县级</w:t>
            </w:r>
          </w:p>
        </w:tc>
        <w:tc>
          <w:tcPr>
            <w:tcW w:w="1050" w:type="dxa"/>
            <w:tcBorders>
              <w:top w:val="single" w:color="auto" w:sz="4" w:space="0"/>
              <w:left w:val="nil"/>
              <w:bottom w:val="single" w:color="auto" w:sz="4" w:space="0"/>
              <w:right w:val="single" w:color="auto" w:sz="4" w:space="0"/>
            </w:tcBorders>
            <w:vAlign w:val="center"/>
          </w:tcPr>
          <w:p>
            <w:pPr>
              <w:adjustRightInd w:val="0"/>
              <w:snapToGrid w:val="0"/>
              <w:spacing w:line="260" w:lineRule="exact"/>
              <w:jc w:val="center"/>
              <w:rPr>
                <w:rFonts w:hint="eastAsia" w:ascii="方正书宋_GBK" w:hAnsi="宋体" w:eastAsia="方正书宋_GBK" w:cs="宋体"/>
                <w:color w:val="000000"/>
                <w:kern w:val="0"/>
                <w:sz w:val="20"/>
                <w:szCs w:val="20"/>
                <w:lang w:val="en-US" w:eastAsia="zh-CN" w:bidi="ar-SA"/>
              </w:rPr>
            </w:pPr>
            <w:r>
              <w:rPr>
                <w:rFonts w:hint="eastAsia" w:ascii="方正书宋_GBK" w:hAnsi="宋体" w:eastAsia="方正书宋_GBK" w:cs="宋体"/>
                <w:color w:val="000000"/>
                <w:kern w:val="0"/>
                <w:sz w:val="20"/>
                <w:szCs w:val="20"/>
                <w:lang w:eastAsia="zh-CN"/>
              </w:rPr>
              <w:t>办公室</w:t>
            </w:r>
          </w:p>
        </w:tc>
        <w:tc>
          <w:tcPr>
            <w:tcW w:w="3220"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1.【法律】《中华人民共和国档案法》第七条第二款：对在档案收集、整理、保护、利用等方面做出突出贡献的单位和个人，按照国家有关规定给予表彰、奖励。</w:t>
            </w:r>
          </w:p>
          <w:p>
            <w:pPr>
              <w:widowControl/>
              <w:adjustRightInd w:val="0"/>
              <w:snapToGrid w:val="0"/>
              <w:spacing w:line="300" w:lineRule="exact"/>
              <w:ind w:firstLine="400" w:firstLineChars="200"/>
              <w:rPr>
                <w:rFonts w:hint="eastAsia" w:eastAsia="仿宋_GB2312" w:cs="仿宋_GB2312" w:asciiTheme="minorHAnsi" w:hAnsiTheme="minorHAnsi"/>
                <w:snapToGrid w:val="0"/>
                <w:color w:val="000000"/>
                <w:kern w:val="2"/>
                <w:sz w:val="20"/>
                <w:szCs w:val="20"/>
                <w:lang w:val="en-US" w:eastAsia="zh-CN" w:bidi="ar-SA"/>
              </w:rPr>
            </w:pPr>
            <w:r>
              <w:rPr>
                <w:rFonts w:hint="eastAsia" w:eastAsia="仿宋_GB2312" w:cs="仿宋_GB2312"/>
                <w:snapToGrid w:val="0"/>
                <w:color w:val="000000"/>
                <w:sz w:val="20"/>
                <w:szCs w:val="20"/>
              </w:rPr>
              <w:t>2.【行政法规】《中华人民共和国档案法实施办法》（1999年国务院批准，1999年国家档案局第5号令发布，2017年国务院令第676号修订）第六条：有下列事迹之一的，由人民政府、档案行政管理部门或者本单位给予奖励：（一）对档案的收集、整理、提供利用做出显著成绩的；（二）对档案的保护和现代化管理做出显著成绩的；（三）对档案学研究做出重要贡献的；（四）将重要的或者珍贵的档案捐赠给国家的；（五）同违反档案法律、法规的行为作斗争，表现突出的。</w:t>
            </w:r>
          </w:p>
        </w:tc>
        <w:tc>
          <w:tcPr>
            <w:tcW w:w="209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1.公告责任：设置公平公正公开的评审程序，科学制定表彰方案。</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2.受理责任：组织推荐工作，审查推荐材料，公示应当提交的材料，一次性告知补正材料。</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3.评审责任：自治区评选表彰工作领导小组审定。经组织人事、纪检、监察、综合治理、卫生计生等有关部门审查，集体和个人凡存在“一票否决”问题的，不能参加先进集体和先进个人评选。</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4.公示责任：在各阶段在媒体上公布全区档案工作先进集体和先进个人候选人、候选单位及项目名单；公布异议方式，畅通异议渠道。</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5.决定责任：严格按照既定的评审程序报自治区人力资源和社会保障厅、自治区档案局研究决定，以自治区人力资源和社会保障厅、档案局名义表彰。</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6.监管责任：不定期接受自治区评比达标表彰工作协调小组专项检查。</w:t>
            </w:r>
          </w:p>
          <w:p>
            <w:pPr>
              <w:widowControl/>
              <w:adjustRightInd w:val="0"/>
              <w:snapToGrid w:val="0"/>
              <w:spacing w:line="300" w:lineRule="exact"/>
              <w:ind w:firstLine="400" w:firstLineChars="200"/>
              <w:rPr>
                <w:rFonts w:hint="eastAsia" w:eastAsia="仿宋_GB2312" w:cs="仿宋_GB2312" w:asciiTheme="minorHAnsi" w:hAnsiTheme="minorHAnsi"/>
                <w:snapToGrid w:val="0"/>
                <w:color w:val="000000"/>
                <w:kern w:val="2"/>
                <w:sz w:val="20"/>
                <w:szCs w:val="20"/>
                <w:lang w:val="en-US" w:eastAsia="zh-CN" w:bidi="ar-SA"/>
              </w:rPr>
            </w:pPr>
            <w:r>
              <w:rPr>
                <w:rFonts w:hint="eastAsia" w:eastAsia="仿宋_GB2312" w:cs="仿宋_GB2312"/>
                <w:snapToGrid w:val="0"/>
                <w:color w:val="000000"/>
                <w:sz w:val="20"/>
                <w:szCs w:val="20"/>
              </w:rPr>
              <w:t>7.其他法律法规规章文件规定应履行的责任。</w:t>
            </w:r>
          </w:p>
        </w:tc>
        <w:tc>
          <w:tcPr>
            <w:tcW w:w="5972"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1.【规范性文件】《广西壮族自治区评比达标表彰活动管理办法（试行）实施细则》（已核实）（桂评组发〔2012〕1号）第十五条：（四）协调小组审核后，在一定范围公示，公示时间一般不少于5个工作日。第十七条：各市各部门实施评比达标表彰活动，由主办单位制定实施方案，在开展活动前1个月报协调办审核，经请示分管的自治区领导批准后实施。第十八条：实施评比达标表彰活动的具体程序如下：（四）评审票决。主办（承办）单位应召集工作机构成员单位对推荐对象进行评审，票决提出拟表彰对象名单。第十九条：推荐机关、事业、企业的人员，须按干部管理权限，征求组织人事、纪检监察、人口计生等部门的意见。第二十九条：协调小组应加强对评比达标表彰活动管理工作的组织领导、政策指导和统筹协调，定期或不定期对各市各部门开展的评比达标表彰活动情况进行检查，及时研究和解决工作中出现的问题。</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2.【规范性文件】《广西壮族自治区公务员奖励实施办法》（已核实）（桂组通字〔2009〕164号）第八条：（二）对公务员、公务员集体给予记二等功奖励的，报自治区公务员驻馆部门审核后，由主办部门会同自治区公务员主管部门批准。</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3.同1。</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4.同1。</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5.同1。</w:t>
            </w:r>
          </w:p>
          <w:p>
            <w:pPr>
              <w:widowControl/>
              <w:adjustRightInd w:val="0"/>
              <w:snapToGrid w:val="0"/>
              <w:spacing w:line="300" w:lineRule="exact"/>
              <w:ind w:firstLine="400" w:firstLineChars="200"/>
              <w:rPr>
                <w:rFonts w:hint="eastAsia" w:eastAsia="仿宋_GB2312" w:cs="仿宋_GB2312" w:asciiTheme="minorHAnsi" w:hAnsiTheme="minorHAnsi"/>
                <w:snapToGrid w:val="0"/>
                <w:color w:val="000000"/>
                <w:kern w:val="2"/>
                <w:sz w:val="20"/>
                <w:szCs w:val="20"/>
                <w:lang w:val="en-US" w:eastAsia="zh-CN" w:bidi="ar-SA"/>
              </w:rPr>
            </w:pPr>
            <w:r>
              <w:rPr>
                <w:rFonts w:hint="eastAsia" w:eastAsia="仿宋_GB2312" w:cs="仿宋_GB2312"/>
                <w:snapToGrid w:val="0"/>
                <w:color w:val="000000"/>
                <w:sz w:val="20"/>
                <w:szCs w:val="20"/>
              </w:rPr>
              <w:t>6.【法律】《中华人民共和国行政许可法》第六十一条：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w:t>
            </w:r>
          </w:p>
        </w:tc>
        <w:tc>
          <w:tcPr>
            <w:tcW w:w="1740"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因不履行或不正确履行职责，有下列情形的，主管机关及相关工作人员应承担相应责任：</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1.对符合条件不予受理的或不符合条件予以受理的；</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2.未尽到审查责任，玩忽职守，造成不良后果的；</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3.在决定过程中发生腐败行为的；</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4.其他违反法律法规规章文件规定的行为。　</w:t>
            </w:r>
          </w:p>
        </w:tc>
        <w:tc>
          <w:tcPr>
            <w:tcW w:w="4470"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1.</w:t>
            </w:r>
            <w:bookmarkStart w:id="0" w:name="_GoBack"/>
            <w:bookmarkEnd w:id="0"/>
            <w:r>
              <w:rPr>
                <w:rFonts w:hint="default" w:eastAsia="仿宋_GB2312" w:cs="仿宋_GB2312"/>
                <w:snapToGrid w:val="0"/>
                <w:color w:val="000000"/>
                <w:sz w:val="20"/>
                <w:szCs w:val="20"/>
                <w:lang w:val="en"/>
              </w:rPr>
              <w:t>《中华人民共和国公务员法》</w:t>
            </w:r>
            <w:r>
              <w:rPr>
                <w:rFonts w:hint="eastAsia" w:eastAsia="仿宋_GB2312" w:cs="仿宋_GB2312"/>
                <w:snapToGrid w:val="0"/>
                <w:color w:val="000000"/>
                <w:sz w:val="20"/>
                <w:szCs w:val="20"/>
              </w:rPr>
              <w:t>第五十九条 公务员必须遵守纪律，不得有下列行为：（四）不担当，不作为，玩忽职守，贻误工作；</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（七）弄虚作假，误导、欺骗领导和公众；</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（八）贪污贿赂，利用职务之便为自己或者他人谋取私利；</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（十）滥用职权，侵害公民、法人或者其他组织的合法权益；</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（十四）违反职业道德、社会公德和家庭美德；</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（十八）违纪违法的其他行为。</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2.同1.</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3.同1.</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4.同1.</w:t>
            </w:r>
          </w:p>
        </w:tc>
        <w:tc>
          <w:tcPr>
            <w:tcW w:w="540"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rPr>
                <w:rFonts w:hint="eastAsia" w:eastAsia="仿宋_GB2312" w:cs="仿宋_GB2312"/>
                <w:snapToGrid w:val="0"/>
                <w:color w:val="000000"/>
                <w:sz w:val="20"/>
                <w:szCs w:val="20"/>
              </w:rPr>
            </w:pPr>
            <w:r>
              <w:rPr>
                <w:rFonts w:hint="eastAsia" w:eastAsia="仿宋_GB2312" w:cs="仿宋_GB2312"/>
                <w:snapToGrid w:val="0"/>
                <w:color w:val="000000"/>
                <w:sz w:val="20"/>
                <w:szCs w:val="20"/>
              </w:rPr>
              <w:t>法律法规规定的免责情形及市委、市人民政府有关文件中明确的免责情形。</w:t>
            </w:r>
          </w:p>
        </w:tc>
        <w:tc>
          <w:tcPr>
            <w:tcW w:w="330" w:type="dxa"/>
            <w:tcBorders>
              <w:top w:val="single" w:color="auto" w:sz="4" w:space="0"/>
              <w:left w:val="nil"/>
              <w:bottom w:val="single" w:color="auto" w:sz="4" w:space="0"/>
              <w:right w:val="single" w:color="auto" w:sz="4" w:space="0"/>
            </w:tcBorders>
          </w:tcPr>
          <w:p>
            <w:pPr>
              <w:widowControl/>
              <w:adjustRightInd w:val="0"/>
              <w:snapToGrid w:val="0"/>
              <w:spacing w:line="300" w:lineRule="exact"/>
              <w:ind w:firstLine="400" w:firstLineChars="200"/>
              <w:rPr>
                <w:rFonts w:hint="eastAsia" w:eastAsia="仿宋_GB2312" w:cs="仿宋_GB2312"/>
                <w:snapToGrid w:val="0"/>
                <w:color w:val="000000"/>
                <w:sz w:val="20"/>
                <w:szCs w:val="20"/>
              </w:rPr>
            </w:pPr>
          </w:p>
        </w:tc>
      </w:tr>
      <w:tr>
        <w:tblPrEx>
          <w:tblCellMar>
            <w:top w:w="28" w:type="dxa"/>
            <w:left w:w="28" w:type="dxa"/>
            <w:bottom w:w="28" w:type="dxa"/>
            <w:right w:w="28" w:type="dxa"/>
          </w:tblCellMar>
        </w:tblPrEx>
        <w:trPr>
          <w:trHeight w:val="13602" w:hRule="atLeast"/>
          <w:jc w:val="center"/>
        </w:trPr>
        <w:tc>
          <w:tcPr>
            <w:tcW w:w="4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hint="eastAsia" w:ascii="方正书宋_GBK" w:hAnsi="宋体" w:eastAsia="方正书宋_GBK" w:cs="宋体"/>
                <w:color w:val="000000"/>
                <w:kern w:val="0"/>
                <w:sz w:val="20"/>
                <w:szCs w:val="20"/>
                <w:lang w:val="en-US" w:eastAsia="zh-CN"/>
              </w:rPr>
            </w:pPr>
            <w:r>
              <w:rPr>
                <w:rFonts w:hint="eastAsia" w:ascii="方正书宋_GBK" w:hAnsi="宋体" w:eastAsia="方正书宋_GBK" w:cs="宋体"/>
                <w:color w:val="000000"/>
                <w:kern w:val="0"/>
                <w:sz w:val="20"/>
                <w:szCs w:val="20"/>
                <w:lang w:val="en-US" w:eastAsia="zh-CN"/>
              </w:rPr>
              <w:t>7</w:t>
            </w:r>
          </w:p>
        </w:tc>
        <w:tc>
          <w:tcPr>
            <w:tcW w:w="325"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jc w:val="center"/>
              <w:rPr>
                <w:rFonts w:hint="eastAsia" w:eastAsia="仿宋_GB2312" w:cs="仿宋_GB2312" w:asciiTheme="minorHAnsi" w:hAnsiTheme="minorHAnsi"/>
                <w:snapToGrid w:val="0"/>
                <w:color w:val="000000"/>
                <w:kern w:val="2"/>
                <w:sz w:val="20"/>
                <w:szCs w:val="20"/>
                <w:lang w:val="en-US" w:eastAsia="zh-CN" w:bidi="ar-SA"/>
              </w:rPr>
            </w:pPr>
            <w:r>
              <w:rPr>
                <w:rFonts w:hint="eastAsia" w:eastAsia="仿宋_GB2312" w:cs="仿宋_GB2312"/>
                <w:snapToGrid w:val="0"/>
                <w:color w:val="000000"/>
                <w:sz w:val="20"/>
                <w:szCs w:val="20"/>
              </w:rPr>
              <w:t>其他行政权力</w:t>
            </w:r>
          </w:p>
        </w:tc>
        <w:tc>
          <w:tcPr>
            <w:tcW w:w="534"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rPr>
                <w:rFonts w:hint="eastAsia" w:eastAsia="仿宋_GB2312" w:cs="仿宋_GB2312" w:asciiTheme="minorHAnsi" w:hAnsiTheme="minorHAnsi"/>
                <w:snapToGrid w:val="0"/>
                <w:color w:val="000000"/>
                <w:kern w:val="2"/>
                <w:sz w:val="20"/>
                <w:szCs w:val="20"/>
                <w:lang w:val="en-US" w:eastAsia="zh-CN" w:bidi="ar-SA"/>
              </w:rPr>
            </w:pPr>
            <w:r>
              <w:rPr>
                <w:rFonts w:hint="eastAsia" w:eastAsia="仿宋_GB2312" w:cs="仿宋_GB2312"/>
                <w:snapToGrid w:val="0"/>
                <w:color w:val="000000"/>
                <w:sz w:val="20"/>
                <w:szCs w:val="20"/>
              </w:rPr>
              <w:t>档案提前或延期移交进馆检查和同意</w:t>
            </w:r>
          </w:p>
        </w:tc>
        <w:tc>
          <w:tcPr>
            <w:tcW w:w="491"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rPr>
                <w:rFonts w:hint="eastAsia" w:eastAsia="仿宋_GB2312" w:cs="仿宋_GB2312" w:asciiTheme="minorHAnsi" w:hAnsiTheme="minorHAnsi"/>
                <w:snapToGrid w:val="0"/>
                <w:color w:val="000000"/>
                <w:kern w:val="2"/>
                <w:sz w:val="20"/>
                <w:szCs w:val="20"/>
                <w:lang w:val="en-US" w:eastAsia="zh-CN" w:bidi="ar-SA"/>
              </w:rPr>
            </w:pPr>
            <w:r>
              <w:rPr>
                <w:rFonts w:hint="eastAsia" w:eastAsia="仿宋_GB2312" w:cs="仿宋_GB2312"/>
                <w:snapToGrid w:val="0"/>
                <w:color w:val="000000"/>
                <w:sz w:val="20"/>
                <w:szCs w:val="20"/>
              </w:rPr>
              <w:t>　</w:t>
            </w:r>
          </w:p>
        </w:tc>
        <w:tc>
          <w:tcPr>
            <w:tcW w:w="657" w:type="dxa"/>
            <w:tcBorders>
              <w:top w:val="single" w:color="auto" w:sz="4" w:space="0"/>
              <w:left w:val="nil"/>
              <w:bottom w:val="single" w:color="auto" w:sz="4" w:space="0"/>
              <w:right w:val="single" w:color="auto" w:sz="4" w:space="0"/>
            </w:tcBorders>
            <w:vAlign w:val="center"/>
          </w:tcPr>
          <w:p>
            <w:pPr>
              <w:adjustRightInd w:val="0"/>
              <w:snapToGrid w:val="0"/>
              <w:spacing w:line="260" w:lineRule="exact"/>
              <w:jc w:val="center"/>
              <w:rPr>
                <w:rFonts w:hint="eastAsia" w:ascii="方正书宋_GBK" w:hAnsi="宋体" w:eastAsia="方正书宋_GBK" w:cs="宋体"/>
                <w:color w:val="000000"/>
                <w:kern w:val="0"/>
                <w:sz w:val="20"/>
                <w:szCs w:val="20"/>
                <w:lang w:val="en-US" w:eastAsia="zh-CN" w:bidi="ar-SA"/>
              </w:rPr>
            </w:pPr>
            <w:r>
              <w:rPr>
                <w:rFonts w:hint="eastAsia" w:ascii="方正书宋_GBK" w:hAnsi="宋体" w:eastAsia="方正书宋_GBK" w:cs="宋体"/>
                <w:color w:val="000000"/>
                <w:kern w:val="0"/>
                <w:sz w:val="20"/>
                <w:szCs w:val="20"/>
                <w:lang w:eastAsia="zh-CN"/>
              </w:rPr>
              <w:t>县级</w:t>
            </w:r>
          </w:p>
        </w:tc>
        <w:tc>
          <w:tcPr>
            <w:tcW w:w="1050" w:type="dxa"/>
            <w:tcBorders>
              <w:top w:val="single" w:color="auto" w:sz="4" w:space="0"/>
              <w:left w:val="nil"/>
              <w:bottom w:val="single" w:color="auto" w:sz="4" w:space="0"/>
              <w:right w:val="single" w:color="auto" w:sz="4" w:space="0"/>
            </w:tcBorders>
            <w:vAlign w:val="center"/>
          </w:tcPr>
          <w:p>
            <w:pPr>
              <w:adjustRightInd w:val="0"/>
              <w:snapToGrid w:val="0"/>
              <w:spacing w:line="260" w:lineRule="exact"/>
              <w:jc w:val="center"/>
              <w:rPr>
                <w:rFonts w:hint="eastAsia" w:ascii="方正书宋_GBK" w:hAnsi="宋体" w:eastAsia="方正书宋_GBK" w:cs="宋体"/>
                <w:color w:val="000000"/>
                <w:kern w:val="0"/>
                <w:sz w:val="20"/>
                <w:szCs w:val="20"/>
                <w:lang w:val="en-US" w:eastAsia="zh-CN" w:bidi="ar-SA"/>
              </w:rPr>
            </w:pPr>
            <w:r>
              <w:rPr>
                <w:rFonts w:hint="eastAsia" w:ascii="方正书宋_GBK" w:hAnsi="宋体" w:eastAsia="方正书宋_GBK" w:cs="宋体"/>
                <w:color w:val="000000"/>
                <w:kern w:val="0"/>
                <w:sz w:val="20"/>
                <w:szCs w:val="20"/>
                <w:lang w:eastAsia="zh-CN"/>
              </w:rPr>
              <w:t>办公室</w:t>
            </w:r>
          </w:p>
        </w:tc>
        <w:tc>
          <w:tcPr>
            <w:tcW w:w="3220"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ind w:firstLine="400" w:firstLineChars="200"/>
              <w:rPr>
                <w:rFonts w:hint="eastAsia" w:eastAsia="仿宋_GB2312" w:cs="仿宋_GB2312" w:asciiTheme="minorHAnsi" w:hAnsiTheme="minorHAnsi"/>
                <w:snapToGrid w:val="0"/>
                <w:color w:val="000000"/>
                <w:kern w:val="2"/>
                <w:sz w:val="20"/>
                <w:szCs w:val="20"/>
                <w:lang w:val="en-US" w:eastAsia="zh-CN" w:bidi="ar-SA"/>
              </w:rPr>
            </w:pPr>
            <w:r>
              <w:rPr>
                <w:rFonts w:hint="eastAsia" w:eastAsia="仿宋_GB2312" w:cs="仿宋_GB2312"/>
                <w:snapToGrid w:val="0"/>
                <w:color w:val="000000"/>
                <w:sz w:val="20"/>
                <w:szCs w:val="20"/>
              </w:rPr>
              <w:t>【行政法规】《中华人民共和国档案法实施办法》（1999年国务院批准，1999年国家档案局第5号令发布，2017年国务院令第676号修订）第十三条：经同级档案行政管理部门检查和同意，专业性较强或者需要保密的档案，可以延长向有关档案馆移交的期限；已撤销的单位的档案或者由于保管条件恶劣可能导致不安全或者严重损毁的档案，可以提前向有关档案馆移交。</w:t>
            </w:r>
          </w:p>
        </w:tc>
        <w:tc>
          <w:tcPr>
            <w:tcW w:w="209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1.受理责任：按照申请事项的条件、标准、审核申请材料是否齐全、符合法定形式，申请事项是否属于本行政机关的职权范围、申请是否在法律、法规规定内提出，决定是否受理。</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2.审查责任：按照申请的条件和标准，对符合条件的，提出同意的审查意见；对于不符合条件的，提出不同意的意见和理由。</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3.决定责任：对于符合条件的，正式拟文作出同意或不同意决定（不同意的应书面告知理由）。</w:t>
            </w:r>
          </w:p>
          <w:p>
            <w:pPr>
              <w:widowControl/>
              <w:adjustRightInd w:val="0"/>
              <w:snapToGrid w:val="0"/>
              <w:spacing w:line="300" w:lineRule="exact"/>
              <w:ind w:firstLine="400" w:firstLineChars="200"/>
              <w:rPr>
                <w:rFonts w:hint="eastAsia" w:eastAsia="仿宋_GB2312" w:cs="仿宋_GB2312" w:asciiTheme="minorHAnsi" w:hAnsiTheme="minorHAnsi"/>
                <w:snapToGrid w:val="0"/>
                <w:color w:val="000000"/>
                <w:kern w:val="2"/>
                <w:sz w:val="20"/>
                <w:szCs w:val="20"/>
                <w:lang w:val="en-US" w:eastAsia="zh-CN" w:bidi="ar-SA"/>
              </w:rPr>
            </w:pPr>
            <w:r>
              <w:rPr>
                <w:rFonts w:hint="eastAsia" w:eastAsia="仿宋_GB2312" w:cs="仿宋_GB2312"/>
                <w:snapToGrid w:val="0"/>
                <w:color w:val="000000"/>
                <w:sz w:val="20"/>
                <w:szCs w:val="20"/>
              </w:rPr>
              <w:t>4.其他法律法规规章文件规定应履行的责任。</w:t>
            </w:r>
          </w:p>
        </w:tc>
        <w:tc>
          <w:tcPr>
            <w:tcW w:w="5972"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1.【法律】《中华人民共和国行政许可法》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2.【法律】《中华人民共和国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widowControl/>
              <w:adjustRightInd w:val="0"/>
              <w:snapToGrid w:val="0"/>
              <w:spacing w:line="300" w:lineRule="exact"/>
              <w:ind w:firstLine="400" w:firstLineChars="200"/>
              <w:rPr>
                <w:rFonts w:hint="eastAsia" w:eastAsia="仿宋_GB2312" w:cs="仿宋_GB2312" w:asciiTheme="minorHAnsi" w:hAnsiTheme="minorHAnsi"/>
                <w:snapToGrid w:val="0"/>
                <w:color w:val="000000"/>
                <w:kern w:val="2"/>
                <w:sz w:val="20"/>
                <w:szCs w:val="20"/>
                <w:lang w:val="en-US" w:eastAsia="zh-CN" w:bidi="ar-SA"/>
              </w:rPr>
            </w:pPr>
            <w:r>
              <w:rPr>
                <w:rFonts w:hint="eastAsia" w:eastAsia="仿宋_GB2312" w:cs="仿宋_GB2312"/>
                <w:snapToGrid w:val="0"/>
                <w:color w:val="000000"/>
                <w:sz w:val="20"/>
                <w:szCs w:val="20"/>
              </w:rPr>
              <w:t>3.【法律】《中华人民共和国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力。</w:t>
            </w:r>
          </w:p>
        </w:tc>
        <w:tc>
          <w:tcPr>
            <w:tcW w:w="1740"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因不履行或不正确履行行政职责，有下列情形的，行政机关及相关工作人员应承担相应责任：</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1.对符合审批条件的申请不予受理、或者不在法定期限内作出准予行政许可决定的。</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2.对不符合审批条件的申请准予受理、准予行政许可或超越法定职权作出准予行政许可决定的。</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3.不履行或不正确履行行政权力，造成国家档案遗失或信息泄露等严重后果的。</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4.在审批过程中失职渎职，玩忽职守、滥用职权，为他人谋取不正当利益的。</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5.腐败行为的。</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6.其他违反法律法规规章文件规定的行为。</w:t>
            </w:r>
          </w:p>
        </w:tc>
        <w:tc>
          <w:tcPr>
            <w:tcW w:w="4470"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1.《中华人民共和国档案法》第七章第四十八条　单位或者个人有下列行为之一，由县级以上档案主管部门、有关机关对直接负责的主管人员和其他直接责任人员依法给予处分：</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（一）丢失属于国家所有的档案的；</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（二）擅自提供、抄录、复制、公布属于国家所有的档案的；</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（三）买卖或者非法转让属于国家所有的档案的；</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（四）篡改、损毁、伪造档案或者擅自销毁档案的；</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（五）将档案出卖、赠送给外国人或者外国组织的；</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（六）不按规定归档或者不按期移交档案，被责令改正而拒不改正的；</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（七）不按规定向社会开放、提供利用档案的；</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（八）明知存在档案安全隐患而不采取补救措施，造成档案损毁、灭失，或者存在档案安全隐患被责令限期整改而逾期未整改的；</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（九）发生档案安全事故后，不采取抢救措施或者隐瞒不报、拒绝调查的；</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（十）档案工作人员玩忽职守，造成档案损毁、灭失的。</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2.同1.</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3.同1.</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4.同1.</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5.同1.</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6.同1.</w:t>
            </w:r>
          </w:p>
        </w:tc>
        <w:tc>
          <w:tcPr>
            <w:tcW w:w="540"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rPr>
                <w:rFonts w:hint="eastAsia" w:eastAsia="仿宋_GB2312" w:cs="仿宋_GB2312"/>
                <w:snapToGrid w:val="0"/>
                <w:color w:val="000000"/>
                <w:sz w:val="20"/>
                <w:szCs w:val="20"/>
              </w:rPr>
            </w:pPr>
            <w:r>
              <w:rPr>
                <w:rFonts w:hint="eastAsia" w:eastAsia="仿宋_GB2312" w:cs="仿宋_GB2312"/>
                <w:snapToGrid w:val="0"/>
                <w:color w:val="000000"/>
                <w:sz w:val="20"/>
                <w:szCs w:val="20"/>
              </w:rPr>
              <w:t>法律法规规定的免责情形及市委、市人民政府有关文件中明确的免责情形。</w:t>
            </w:r>
          </w:p>
        </w:tc>
        <w:tc>
          <w:tcPr>
            <w:tcW w:w="330" w:type="dxa"/>
            <w:tcBorders>
              <w:top w:val="single" w:color="auto" w:sz="4" w:space="0"/>
              <w:left w:val="nil"/>
              <w:bottom w:val="single" w:color="auto" w:sz="4" w:space="0"/>
              <w:right w:val="single" w:color="auto" w:sz="4" w:space="0"/>
            </w:tcBorders>
          </w:tcPr>
          <w:p>
            <w:pPr>
              <w:widowControl/>
              <w:adjustRightInd w:val="0"/>
              <w:snapToGrid w:val="0"/>
              <w:spacing w:line="300" w:lineRule="exact"/>
              <w:ind w:firstLine="400" w:firstLineChars="200"/>
              <w:rPr>
                <w:rFonts w:hint="eastAsia" w:eastAsia="仿宋_GB2312" w:cs="仿宋_GB2312"/>
                <w:snapToGrid w:val="0"/>
                <w:color w:val="000000"/>
                <w:sz w:val="20"/>
                <w:szCs w:val="20"/>
              </w:rPr>
            </w:pPr>
          </w:p>
        </w:tc>
      </w:tr>
      <w:tr>
        <w:tblPrEx>
          <w:tblCellMar>
            <w:top w:w="28" w:type="dxa"/>
            <w:left w:w="28" w:type="dxa"/>
            <w:bottom w:w="28" w:type="dxa"/>
            <w:right w:w="28" w:type="dxa"/>
          </w:tblCellMar>
        </w:tblPrEx>
        <w:trPr>
          <w:trHeight w:val="13180" w:hRule="atLeast"/>
          <w:jc w:val="center"/>
        </w:trPr>
        <w:tc>
          <w:tcPr>
            <w:tcW w:w="4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hint="eastAsia" w:ascii="方正书宋_GBK" w:hAnsi="宋体" w:eastAsia="方正书宋_GBK" w:cs="宋体"/>
                <w:color w:val="000000"/>
                <w:kern w:val="0"/>
                <w:sz w:val="20"/>
                <w:szCs w:val="20"/>
                <w:lang w:val="en-US" w:eastAsia="zh-CN"/>
              </w:rPr>
            </w:pPr>
            <w:r>
              <w:rPr>
                <w:rFonts w:hint="eastAsia" w:ascii="方正书宋_GBK" w:hAnsi="宋体" w:eastAsia="方正书宋_GBK" w:cs="宋体"/>
                <w:color w:val="000000"/>
                <w:kern w:val="0"/>
                <w:sz w:val="20"/>
                <w:szCs w:val="20"/>
                <w:lang w:val="en-US" w:eastAsia="zh-CN"/>
              </w:rPr>
              <w:t>8</w:t>
            </w:r>
          </w:p>
        </w:tc>
        <w:tc>
          <w:tcPr>
            <w:tcW w:w="325"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jc w:val="center"/>
              <w:rPr>
                <w:rFonts w:hint="eastAsia" w:eastAsia="仿宋_GB2312" w:cs="仿宋_GB2312" w:asciiTheme="minorHAnsi" w:hAnsiTheme="minorHAnsi"/>
                <w:snapToGrid w:val="0"/>
                <w:color w:val="000000"/>
                <w:kern w:val="2"/>
                <w:sz w:val="20"/>
                <w:szCs w:val="20"/>
                <w:lang w:val="en-US" w:eastAsia="zh-CN" w:bidi="ar-SA"/>
              </w:rPr>
            </w:pPr>
            <w:r>
              <w:rPr>
                <w:rFonts w:hint="eastAsia" w:eastAsia="仿宋_GB2312" w:cs="仿宋_GB2312"/>
                <w:snapToGrid w:val="0"/>
                <w:color w:val="000000"/>
                <w:sz w:val="20"/>
                <w:szCs w:val="20"/>
              </w:rPr>
              <w:t>其他行政权力</w:t>
            </w:r>
          </w:p>
        </w:tc>
        <w:tc>
          <w:tcPr>
            <w:tcW w:w="534"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rPr>
                <w:rFonts w:hint="eastAsia" w:eastAsia="仿宋_GB2312" w:cs="仿宋_GB2312" w:asciiTheme="minorHAnsi" w:hAnsiTheme="minorHAnsi"/>
                <w:snapToGrid w:val="0"/>
                <w:color w:val="000000"/>
                <w:kern w:val="2"/>
                <w:sz w:val="20"/>
                <w:szCs w:val="20"/>
                <w:lang w:val="en-US" w:eastAsia="zh-CN" w:bidi="ar-SA"/>
              </w:rPr>
            </w:pPr>
            <w:r>
              <w:rPr>
                <w:rFonts w:hint="eastAsia" w:eastAsia="仿宋_GB2312" w:cs="仿宋_GB2312"/>
                <w:snapToGrid w:val="0"/>
                <w:color w:val="000000"/>
                <w:sz w:val="20"/>
                <w:szCs w:val="20"/>
              </w:rPr>
              <w:t>重大建设项目档案验收</w:t>
            </w:r>
          </w:p>
        </w:tc>
        <w:tc>
          <w:tcPr>
            <w:tcW w:w="491"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rPr>
                <w:rFonts w:hint="eastAsia" w:eastAsia="仿宋_GB2312" w:cs="仿宋_GB2312" w:asciiTheme="minorHAnsi" w:hAnsiTheme="minorHAnsi"/>
                <w:snapToGrid w:val="0"/>
                <w:color w:val="000000"/>
                <w:kern w:val="2"/>
                <w:sz w:val="20"/>
                <w:szCs w:val="20"/>
                <w:lang w:val="en-US" w:eastAsia="zh-CN" w:bidi="ar-SA"/>
              </w:rPr>
            </w:pPr>
            <w:r>
              <w:rPr>
                <w:rFonts w:hint="eastAsia" w:eastAsia="仿宋_GB2312" w:cs="仿宋_GB2312"/>
                <w:snapToGrid w:val="0"/>
                <w:color w:val="000000"/>
                <w:sz w:val="20"/>
                <w:szCs w:val="20"/>
              </w:rPr>
              <w:t>　</w:t>
            </w:r>
          </w:p>
        </w:tc>
        <w:tc>
          <w:tcPr>
            <w:tcW w:w="657" w:type="dxa"/>
            <w:tcBorders>
              <w:top w:val="single" w:color="auto" w:sz="4" w:space="0"/>
              <w:left w:val="nil"/>
              <w:bottom w:val="single" w:color="auto" w:sz="4" w:space="0"/>
              <w:right w:val="single" w:color="auto" w:sz="4" w:space="0"/>
            </w:tcBorders>
            <w:vAlign w:val="center"/>
          </w:tcPr>
          <w:p>
            <w:pPr>
              <w:adjustRightInd w:val="0"/>
              <w:snapToGrid w:val="0"/>
              <w:spacing w:line="260" w:lineRule="exact"/>
              <w:jc w:val="center"/>
              <w:rPr>
                <w:rFonts w:hint="eastAsia" w:ascii="方正书宋_GBK" w:hAnsi="宋体" w:eastAsia="方正书宋_GBK" w:cs="宋体"/>
                <w:color w:val="000000"/>
                <w:kern w:val="0"/>
                <w:sz w:val="20"/>
                <w:szCs w:val="20"/>
                <w:lang w:val="en-US" w:eastAsia="zh-CN" w:bidi="ar-SA"/>
              </w:rPr>
            </w:pPr>
            <w:r>
              <w:rPr>
                <w:rFonts w:hint="eastAsia" w:ascii="方正书宋_GBK" w:hAnsi="宋体" w:eastAsia="方正书宋_GBK" w:cs="宋体"/>
                <w:color w:val="000000"/>
                <w:kern w:val="0"/>
                <w:sz w:val="20"/>
                <w:szCs w:val="20"/>
                <w:lang w:eastAsia="zh-CN"/>
              </w:rPr>
              <w:t>县级</w:t>
            </w:r>
          </w:p>
        </w:tc>
        <w:tc>
          <w:tcPr>
            <w:tcW w:w="1050" w:type="dxa"/>
            <w:tcBorders>
              <w:top w:val="single" w:color="auto" w:sz="4" w:space="0"/>
              <w:left w:val="nil"/>
              <w:bottom w:val="single" w:color="auto" w:sz="4" w:space="0"/>
              <w:right w:val="single" w:color="auto" w:sz="4" w:space="0"/>
            </w:tcBorders>
            <w:vAlign w:val="center"/>
          </w:tcPr>
          <w:p>
            <w:pPr>
              <w:adjustRightInd w:val="0"/>
              <w:snapToGrid w:val="0"/>
              <w:spacing w:line="260" w:lineRule="exact"/>
              <w:jc w:val="center"/>
              <w:rPr>
                <w:rFonts w:hint="eastAsia" w:ascii="方正书宋_GBK" w:hAnsi="宋体" w:eastAsia="方正书宋_GBK" w:cs="宋体"/>
                <w:color w:val="000000"/>
                <w:kern w:val="0"/>
                <w:sz w:val="20"/>
                <w:szCs w:val="20"/>
                <w:lang w:val="en-US" w:eastAsia="zh-CN" w:bidi="ar-SA"/>
              </w:rPr>
            </w:pPr>
            <w:r>
              <w:rPr>
                <w:rFonts w:hint="eastAsia" w:ascii="方正书宋_GBK" w:hAnsi="宋体" w:eastAsia="方正书宋_GBK" w:cs="宋体"/>
                <w:color w:val="000000"/>
                <w:kern w:val="0"/>
                <w:sz w:val="20"/>
                <w:szCs w:val="20"/>
                <w:lang w:eastAsia="zh-CN"/>
              </w:rPr>
              <w:t>办公室</w:t>
            </w:r>
          </w:p>
        </w:tc>
        <w:tc>
          <w:tcPr>
            <w:tcW w:w="3220"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1.【地方性法规】《广西壮族自治区档案管理条例》（1999年3月26日广西壮族自治区第九届人民代表大会常务委员会第十次会议通过，2007年5月31日修订）第十三条：各单位的基本建设项目、科学技术研究、技术改造以及重要设备更新等项目进行鉴定或者验收时，应当按照国家有关规定对档案进行验收。县级以上人民政府确定的重大建设项目的档案，由同级档案行政管理部门会同有关主管部门进行验收。</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2.【规范性文件】《国家档案局、国家发展和改革委员会关于印发〈重大建设项目档案验收办法〉的通知》（档发〔2006〕2号）第四条：项目档案验收是项目竣工验收的重要组成部分。未经档案验收或档案验收不合格的项目，不得进行或通过项目的竣工验收。</w:t>
            </w:r>
          </w:p>
          <w:p>
            <w:pPr>
              <w:widowControl/>
              <w:adjustRightInd w:val="0"/>
              <w:snapToGrid w:val="0"/>
              <w:spacing w:line="300" w:lineRule="exact"/>
              <w:ind w:firstLine="400" w:firstLineChars="200"/>
              <w:rPr>
                <w:rFonts w:hint="eastAsia" w:eastAsia="仿宋_GB2312" w:cs="仿宋_GB2312" w:asciiTheme="minorHAnsi" w:hAnsiTheme="minorHAnsi"/>
                <w:snapToGrid w:val="0"/>
                <w:color w:val="000000"/>
                <w:kern w:val="2"/>
                <w:sz w:val="20"/>
                <w:szCs w:val="20"/>
                <w:lang w:val="en-US" w:eastAsia="zh-CN" w:bidi="ar-SA"/>
              </w:rPr>
            </w:pPr>
            <w:r>
              <w:rPr>
                <w:rFonts w:hint="eastAsia" w:eastAsia="仿宋_GB2312" w:cs="仿宋_GB2312"/>
                <w:snapToGrid w:val="0"/>
                <w:color w:val="000000"/>
                <w:sz w:val="20"/>
                <w:szCs w:val="20"/>
              </w:rPr>
              <w:t>第六条：项目档案验收的组织：（一）国家发展和改革委员会组织验收的项目，由国家档案局组织项目档案的验收；（二）国家发展和改革委员会委托中央主管部门（含中央管理企业，下同）、省级政府投资主管部门组织验收的项目，由中央主管部门档案机构、省级档案行政管理部门组织项目档案的验收，验收结果报国家档案局备案；（三）省以下各级政府投资主管部门组织验收的项目，由同级档案行政管理部门组织项目档案的验收；（四）国家档案局对中央主管部门档案机构、省级档案行政管理部门组织的项目档案验收进行监督、指导。项目主管部门、各级档案行政管理部门应加强项目档案验收前的指导和咨询，必要时可组织预检。</w:t>
            </w:r>
          </w:p>
        </w:tc>
        <w:tc>
          <w:tcPr>
            <w:tcW w:w="209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1.受理责任：按照有关程序和标准，审查申请材料是否齐全、是否符合法定形式，申请事项是否属于本职权范围，是否在法律、法规规定的期限内提出，是否具有申请资格；决定是否受理。</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2.检查责任：按照有关程序、标准和要求，组织验收组实地检查项目、工程档案工作情况，提出检查验收意见。</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3.决定责任：对档案检查验收合格的，由档案部门向申请人出具并送达合格的文书；对验收不合格的，向申请人出具并送达整改书面决定，并说明理由。</w:t>
            </w:r>
          </w:p>
          <w:p>
            <w:pPr>
              <w:widowControl/>
              <w:adjustRightInd w:val="0"/>
              <w:snapToGrid w:val="0"/>
              <w:spacing w:line="300" w:lineRule="exact"/>
              <w:ind w:firstLine="400" w:firstLineChars="200"/>
              <w:rPr>
                <w:rFonts w:hint="eastAsia" w:eastAsia="仿宋_GB2312" w:cs="仿宋_GB2312" w:asciiTheme="minorHAnsi" w:hAnsiTheme="minorHAnsi"/>
                <w:snapToGrid w:val="0"/>
                <w:color w:val="000000"/>
                <w:kern w:val="2"/>
                <w:sz w:val="20"/>
                <w:szCs w:val="20"/>
                <w:lang w:val="en-US" w:eastAsia="zh-CN" w:bidi="ar-SA"/>
              </w:rPr>
            </w:pPr>
            <w:r>
              <w:rPr>
                <w:rFonts w:hint="eastAsia" w:eastAsia="仿宋_GB2312" w:cs="仿宋_GB2312"/>
                <w:snapToGrid w:val="0"/>
                <w:color w:val="000000"/>
                <w:sz w:val="20"/>
                <w:szCs w:val="20"/>
              </w:rPr>
              <w:t>4.其他法律法规规章文件规定应履行的责任。</w:t>
            </w:r>
          </w:p>
        </w:tc>
        <w:tc>
          <w:tcPr>
            <w:tcW w:w="5972"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1.【法律】《中华人民共和国行政许可法》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2.【规范性文件】自治区档案局、自治区发展和改革委员会《关于印发〈广西壮族自治区重大建设项目档案验收实施细则〉的通知》（桂档发〔2007〕29号）第十条：重大建设项目档案验收工作由项目建设单位按规定办理档案验收申请手续，并经档案验收组织单位核准后实施。项目建设单位在项目竣工验收前三个月，向档案验收组织单位报送档案验收申请报告，并填报《广西壮族自治区重大建设项目档案验收申请表》。</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第十一条：档案验收组织单位应在收到档案验收申请报告的10个工作日内，对是否同意验收以及验收安排作出答复。</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3.【规范性文件】自治区档案局、自治区发展和改革委员会《关于印发〈广西壮族自治区重大建设项目档案验收实施细则〉的通知》（桂档发〔2007〕29号）第二十二条：项目档案验收结果分为合格与不合格。按照《广西壮族自治区重大建设项目档案验收标准》综合评分70分（含70分）以上，项目档案验收组半数以上成员同意通过的为合格。</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第二十三条：项目档案验收合格的，由项目档案验收组出具项目档案验收意见，经档案行政管理部门审核，准予通过项目档案验收。</w:t>
            </w:r>
          </w:p>
          <w:p>
            <w:pPr>
              <w:widowControl/>
              <w:adjustRightInd w:val="0"/>
              <w:snapToGrid w:val="0"/>
              <w:spacing w:line="300" w:lineRule="exact"/>
              <w:ind w:firstLine="400" w:firstLineChars="200"/>
              <w:rPr>
                <w:rFonts w:hint="eastAsia" w:eastAsia="仿宋_GB2312" w:cs="仿宋_GB2312" w:asciiTheme="minorHAnsi" w:hAnsiTheme="minorHAnsi"/>
                <w:snapToGrid w:val="0"/>
                <w:color w:val="000000"/>
                <w:kern w:val="2"/>
                <w:sz w:val="20"/>
                <w:szCs w:val="20"/>
                <w:lang w:val="en-US" w:eastAsia="zh-CN" w:bidi="ar-SA"/>
              </w:rPr>
            </w:pPr>
            <w:r>
              <w:rPr>
                <w:rFonts w:hint="eastAsia" w:eastAsia="仿宋_GB2312" w:cs="仿宋_GB2312"/>
                <w:snapToGrid w:val="0"/>
                <w:color w:val="000000"/>
                <w:sz w:val="20"/>
                <w:szCs w:val="20"/>
              </w:rPr>
              <w:t>第二十四条：档案验收不合格的项目，由项目档案验收组提出整改意见，要求项目建设单位（法人）于项目竣工验收前对存在的问题限期整改，并进行复查。复查后仍不合格的，不得通过项目竣工验收，并由项目档案验收组提请有关部门对项目建设单位（法人）及相关责任单位通报批评，造成项目档案损失的，应依法追究有关单位及人员责任。</w:t>
            </w:r>
          </w:p>
        </w:tc>
        <w:tc>
          <w:tcPr>
            <w:tcW w:w="1740"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因不履行或不正确履行职责，有下列情形的，主管机关及相关工作人员应承担相应责任：</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 xml:space="preserve">1.对符合条件不予受理的，对不符合条件而验收合格的；   </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2.因工作不负责任或者不遵守档案工作制度，导致档案损毁、丢失的，</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 xml:space="preserve">3.在验收过程中发生腐败行为的； </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 xml:space="preserve">4.发生其他失职、渎职行为的；   </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5.其他违反法律法规规章文件规定的行为。</w:t>
            </w:r>
          </w:p>
        </w:tc>
        <w:tc>
          <w:tcPr>
            <w:tcW w:w="4470"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1.</w:t>
            </w:r>
            <w:r>
              <w:rPr>
                <w:rFonts w:hint="default" w:eastAsia="仿宋_GB2312" w:cs="仿宋_GB2312"/>
                <w:snapToGrid w:val="0"/>
                <w:color w:val="000000"/>
                <w:sz w:val="20"/>
                <w:szCs w:val="20"/>
                <w:lang w:val="en"/>
              </w:rPr>
              <w:t>《中华人民共和国公务员法》</w:t>
            </w:r>
            <w:r>
              <w:rPr>
                <w:rFonts w:hint="eastAsia" w:eastAsia="仿宋_GB2312" w:cs="仿宋_GB2312"/>
                <w:snapToGrid w:val="0"/>
                <w:color w:val="000000"/>
                <w:sz w:val="20"/>
                <w:szCs w:val="20"/>
              </w:rPr>
              <w:t xml:space="preserve"> 第五十九条 公务员必须遵守纪律，不得有下列行为：（四）不担当，不作为，玩忽职守，贻误工作；</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（七）弄虚作假，误导、欺骗领导和公众；</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（八）贪污贿赂，利用职务之便为自己或者他人谋取私利；</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（十）滥用职权，侵害公民、法人或者其他组织的合法权益；</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（十四）违反职业道德、社会公德和家庭美德；</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（十八）违纪违法的其他行为。</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2.《中华人民共和国档案法》 第七章第四十八条　单位或者个人有下列行为之一，由县级以上档案主管部门、有关机关对直接负责的主管人员和其他直接责任人员依法给予处分：</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（十）档案工作人员玩忽职守，造成档案损毁、灭失的。</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3.同1.</w:t>
            </w:r>
          </w:p>
          <w:p>
            <w:pPr>
              <w:widowControl/>
              <w:adjustRightInd w:val="0"/>
              <w:snapToGrid w:val="0"/>
              <w:spacing w:line="300" w:lineRule="exact"/>
              <w:ind w:firstLine="400" w:firstLineChars="200"/>
              <w:rPr>
                <w:rFonts w:hint="eastAsia" w:eastAsia="仿宋_GB2312" w:cs="仿宋_GB2312"/>
                <w:snapToGrid w:val="0"/>
                <w:color w:val="000000"/>
                <w:sz w:val="20"/>
                <w:szCs w:val="20"/>
              </w:rPr>
            </w:pPr>
            <w:r>
              <w:rPr>
                <w:rFonts w:hint="eastAsia" w:eastAsia="仿宋_GB2312" w:cs="仿宋_GB2312"/>
                <w:snapToGrid w:val="0"/>
                <w:color w:val="000000"/>
                <w:sz w:val="20"/>
                <w:szCs w:val="20"/>
              </w:rPr>
              <w:t>4.同1.</w:t>
            </w:r>
          </w:p>
        </w:tc>
        <w:tc>
          <w:tcPr>
            <w:tcW w:w="540"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rPr>
                <w:rFonts w:hint="eastAsia" w:eastAsia="仿宋_GB2312" w:cs="仿宋_GB2312"/>
                <w:snapToGrid w:val="0"/>
                <w:color w:val="000000"/>
                <w:sz w:val="20"/>
                <w:szCs w:val="20"/>
              </w:rPr>
            </w:pPr>
            <w:r>
              <w:rPr>
                <w:rFonts w:hint="eastAsia" w:eastAsia="仿宋_GB2312" w:cs="仿宋_GB2312"/>
                <w:snapToGrid w:val="0"/>
                <w:color w:val="000000"/>
                <w:sz w:val="20"/>
                <w:szCs w:val="20"/>
              </w:rPr>
              <w:t>法律法规规定的免责情形及市委、市人民政府有关文件中明确的免责情形。</w:t>
            </w:r>
          </w:p>
        </w:tc>
        <w:tc>
          <w:tcPr>
            <w:tcW w:w="330" w:type="dxa"/>
            <w:tcBorders>
              <w:top w:val="single" w:color="auto" w:sz="4" w:space="0"/>
              <w:left w:val="nil"/>
              <w:bottom w:val="single" w:color="auto" w:sz="4" w:space="0"/>
              <w:right w:val="single" w:color="auto" w:sz="4" w:space="0"/>
            </w:tcBorders>
          </w:tcPr>
          <w:p>
            <w:pPr>
              <w:widowControl/>
              <w:adjustRightInd w:val="0"/>
              <w:snapToGrid w:val="0"/>
              <w:spacing w:line="300" w:lineRule="exact"/>
              <w:ind w:firstLine="400" w:firstLineChars="200"/>
              <w:rPr>
                <w:rFonts w:hint="eastAsia" w:eastAsia="仿宋_GB2312" w:cs="仿宋_GB2312"/>
                <w:snapToGrid w:val="0"/>
                <w:color w:val="000000"/>
                <w:sz w:val="20"/>
                <w:szCs w:val="20"/>
              </w:rPr>
            </w:pPr>
          </w:p>
        </w:tc>
      </w:tr>
    </w:tbl>
    <w:p>
      <w:pPr>
        <w:pStyle w:val="9"/>
        <w:ind w:firstLine="0" w:firstLineChars="0"/>
        <w:jc w:val="left"/>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eastAsia="zh-CN"/>
        </w:rPr>
        <w:t>注：本单用于调整“实施主体”为县级、县乡级的权责事项。</w:t>
      </w:r>
    </w:p>
    <w:sectPr>
      <w:footerReference r:id="rId3" w:type="default"/>
      <w:pgSz w:w="23811" w:h="16838" w:orient="landscape"/>
      <w:pgMar w:top="720" w:right="720" w:bottom="720" w:left="720" w:header="720" w:footer="720" w:gutter="283"/>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Microsoft YaHei">
    <w:altName w:val="黑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wrap="none" lIns="0" tIns="0" rIns="0" bIns="0" upright="tru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zql5uc8AAAAFAQAADwAAAAAAAAABACAAAAA4AAAAZHJzL2Rvd25yZXYueG1s&#10;UEsBAhQAFAAAAAgAh07iQNeHCK+yAQAAUQMAAA4AAAAAAAAAAQAgAAAANAEAAGRycy9lMm9Eb2Mu&#10;eG1sUEsFBgAAAAAGAAYAWQEAAFgFAAAAAA==&#10;">
              <v:fill on="f" focussize="0,0"/>
              <v:stroke on="f"/>
              <v:imagedata o:title=""/>
              <o:lock v:ext="edit" aspectratio="f"/>
              <v:textbox inset="0mm,0mm,0mm,0mm" style="mso-fit-shape-to-text:t;">
                <w:txbxContent>
                  <w:p>
                    <w:pPr>
                      <w:pStyle w:val="2"/>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dit="forms"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1910C94D-4E8E-416A-A5F1-2CD55DDD8C5E}"/>
    <w:docVar w:name="DocumentName" w:val="新建 Microsoft Office Word 文档"/>
  </w:docVars>
  <w:rsids>
    <w:rsidRoot w:val="003E3D1F"/>
    <w:rsid w:val="000F3EC9"/>
    <w:rsid w:val="003E3D1F"/>
    <w:rsid w:val="006673AA"/>
    <w:rsid w:val="006F6043"/>
    <w:rsid w:val="00A55EE5"/>
    <w:rsid w:val="00B14D62"/>
    <w:rsid w:val="00CC3408"/>
    <w:rsid w:val="00D3503E"/>
    <w:rsid w:val="0A821835"/>
    <w:rsid w:val="0BAB3249"/>
    <w:rsid w:val="0CC82789"/>
    <w:rsid w:val="134F44BD"/>
    <w:rsid w:val="154E1A04"/>
    <w:rsid w:val="16FD2644"/>
    <w:rsid w:val="172B0CDD"/>
    <w:rsid w:val="17887D5F"/>
    <w:rsid w:val="1AF91F50"/>
    <w:rsid w:val="1CC31D6E"/>
    <w:rsid w:val="1E6E075E"/>
    <w:rsid w:val="1FC90EB4"/>
    <w:rsid w:val="206E242E"/>
    <w:rsid w:val="257242FD"/>
    <w:rsid w:val="27066BAE"/>
    <w:rsid w:val="2BC30AA0"/>
    <w:rsid w:val="2D4228D5"/>
    <w:rsid w:val="2E986CFE"/>
    <w:rsid w:val="329805CF"/>
    <w:rsid w:val="32AA1D75"/>
    <w:rsid w:val="33F14573"/>
    <w:rsid w:val="3A6462E2"/>
    <w:rsid w:val="3CD331A3"/>
    <w:rsid w:val="413454EF"/>
    <w:rsid w:val="41F027BE"/>
    <w:rsid w:val="42F56F2F"/>
    <w:rsid w:val="45055ACF"/>
    <w:rsid w:val="48A260AF"/>
    <w:rsid w:val="48DF1F5E"/>
    <w:rsid w:val="49161BCE"/>
    <w:rsid w:val="4DE4323A"/>
    <w:rsid w:val="4FA45A12"/>
    <w:rsid w:val="52536E25"/>
    <w:rsid w:val="54E70514"/>
    <w:rsid w:val="561A74D1"/>
    <w:rsid w:val="56AF79C4"/>
    <w:rsid w:val="598F4C5A"/>
    <w:rsid w:val="5CD223FA"/>
    <w:rsid w:val="5D222C3F"/>
    <w:rsid w:val="60B115FD"/>
    <w:rsid w:val="60D76449"/>
    <w:rsid w:val="60DB3621"/>
    <w:rsid w:val="615076B3"/>
    <w:rsid w:val="61834A0A"/>
    <w:rsid w:val="6252312F"/>
    <w:rsid w:val="626442C4"/>
    <w:rsid w:val="635D2D54"/>
    <w:rsid w:val="67077884"/>
    <w:rsid w:val="6C215B15"/>
    <w:rsid w:val="6C490D67"/>
    <w:rsid w:val="6C7015BA"/>
    <w:rsid w:val="6F4F392C"/>
    <w:rsid w:val="711857D3"/>
    <w:rsid w:val="75242F26"/>
    <w:rsid w:val="7633660A"/>
    <w:rsid w:val="77BE27E8"/>
    <w:rsid w:val="78870772"/>
    <w:rsid w:val="7D68074E"/>
    <w:rsid w:val="7F16542D"/>
    <w:rsid w:val="7F4E1554"/>
    <w:rsid w:val="7FF92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customStyle="1" w:styleId="9">
    <w:name w:val="_Style 5"/>
    <w:qFormat/>
    <w:uiPriority w:val="0"/>
    <w:pPr>
      <w:widowControl w:val="0"/>
      <w:ind w:firstLine="200" w:firstLineChars="200"/>
      <w:jc w:val="both"/>
    </w:pPr>
    <w:rPr>
      <w:rFonts w:ascii="Calibri" w:hAnsi="Calibri" w:eastAsia="宋体"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239</Words>
  <Characters>1368</Characters>
  <Lines>11</Lines>
  <Paragraphs>3</Paragraphs>
  <TotalTime>27</TotalTime>
  <ScaleCrop>false</ScaleCrop>
  <LinksUpToDate>false</LinksUpToDate>
  <CharactersWithSpaces>1604</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2023-01-30T17:59:00Z</dcterms:created>
  <dc:creator>Administrator</dc:creator>
  <cp:lastModifiedBy>gxxc</cp:lastModifiedBy>
  <cp:lastPrinted>2023-03-06T17:40:00Z</cp:lastPrinted>
  <dcterms:modified xsi:type="dcterms:W3CDTF">2023-07-10T10:28:24Z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33503B61B9044CFE85D23649BE1D8A85</vt:lpwstr>
  </property>
</Properties>
</file>