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color w:val="000000" w:themeColor="text1"/>
          <w:sz w:val="36"/>
          <w:szCs w:val="36"/>
          <w14:textFill>
            <w14:solidFill>
              <w14:schemeClr w14:val="tx1"/>
            </w14:solidFill>
          </w14:textFill>
        </w:rPr>
      </w:pPr>
    </w:p>
    <w:p>
      <w:pPr>
        <w:jc w:val="left"/>
        <w:rPr>
          <w:rFonts w:eastAsia="方正小标宋简体"/>
          <w:color w:val="000000" w:themeColor="text1"/>
          <w:sz w:val="84"/>
          <w:szCs w:val="84"/>
          <w14:textFill>
            <w14:solidFill>
              <w14:schemeClr w14:val="tx1"/>
            </w14:solidFill>
          </w14:textFill>
        </w:rPr>
      </w:pPr>
    </w:p>
    <w:p>
      <w:pPr>
        <w:jc w:val="center"/>
        <w:rPr>
          <w:rFonts w:hint="eastAsia"/>
          <w:color w:val="000000" w:themeColor="text1"/>
          <w:lang w:val="en-US" w:bidi="ar-SA"/>
          <w14:textFill>
            <w14:solidFill>
              <w14:schemeClr w14:val="tx1"/>
            </w14:solidFill>
          </w14:textFill>
        </w:rPr>
      </w:pPr>
      <w:r>
        <w:rPr>
          <w:rFonts w:hint="eastAsia" w:ascii="方正小标宋_GBK" w:eastAsia="方正小标宋_GBK"/>
          <w:color w:val="000000" w:themeColor="text1"/>
          <w:w w:val="95"/>
          <w:sz w:val="84"/>
          <w:szCs w:val="84"/>
          <w14:textFill>
            <w14:solidFill>
              <w14:schemeClr w14:val="tx1"/>
            </w14:solidFill>
          </w14:textFill>
        </w:rPr>
        <w:t>广西壮族自治区柳州市柳城县</w:t>
      </w:r>
      <w:r>
        <w:rPr>
          <w:rFonts w:hint="eastAsia" w:ascii="方正小标宋_GBK" w:eastAsia="方正小标宋_GBK"/>
          <w:color w:val="000000" w:themeColor="text1"/>
          <w:w w:val="95"/>
          <w:sz w:val="84"/>
          <w:szCs w:val="84"/>
          <w:lang w:eastAsia="zh-CN"/>
          <w14:textFill>
            <w14:solidFill>
              <w14:schemeClr w14:val="tx1"/>
            </w14:solidFill>
          </w14:textFill>
        </w:rPr>
        <w:t>大埔</w:t>
      </w:r>
      <w:r>
        <w:rPr>
          <w:rFonts w:hint="eastAsia" w:ascii="方正小标宋_GBK" w:eastAsia="方正小标宋_GBK"/>
          <w:color w:val="000000" w:themeColor="text1"/>
          <w:w w:val="95"/>
          <w:sz w:val="84"/>
          <w:szCs w:val="84"/>
          <w14:textFill>
            <w14:solidFill>
              <w14:schemeClr w14:val="tx1"/>
            </w14:solidFill>
          </w14:textFill>
        </w:rPr>
        <w:t>镇</w:t>
      </w:r>
      <w:r>
        <w:rPr>
          <w:rFonts w:hint="eastAsia" w:ascii="方正小标宋_GBK" w:eastAsia="方正小标宋_GBK"/>
          <w:color w:val="000000" w:themeColor="text1"/>
          <w:w w:val="95"/>
          <w:sz w:val="84"/>
          <w:szCs w:val="84"/>
          <w14:textFill>
            <w14:solidFill>
              <w14:schemeClr w14:val="tx1"/>
            </w14:solidFill>
          </w14:textFill>
        </w:rPr>
        <w:br w:type="textWrapping"/>
      </w:r>
      <w:r>
        <w:rPr>
          <w:rFonts w:hint="eastAsia" w:ascii="方正小标宋_GBK" w:eastAsia="方正小标宋_GBK"/>
          <w:color w:val="000000" w:themeColor="text1"/>
          <w:w w:val="95"/>
          <w:sz w:val="84"/>
          <w:szCs w:val="84"/>
          <w14:textFill>
            <w14:solidFill>
              <w14:schemeClr w14:val="tx1"/>
            </w14:solidFill>
          </w14:textFill>
        </w:rPr>
        <w:t>履行职责事项清单</w:t>
      </w:r>
    </w:p>
    <w:p>
      <w:pPr>
        <w:jc w:val="center"/>
        <w:rPr>
          <w:rFonts w:eastAsia="方正黑体_GBK"/>
          <w:color w:val="000000" w:themeColor="text1"/>
          <w:sz w:val="48"/>
          <w:szCs w:val="48"/>
          <w14:textFill>
            <w14:solidFill>
              <w14:schemeClr w14:val="tx1"/>
            </w14:solidFill>
          </w14:textFill>
        </w:rPr>
      </w:pPr>
    </w:p>
    <w:p>
      <w:pPr>
        <w:pStyle w:val="3"/>
        <w:rPr>
          <w:rFonts w:eastAsia="方正黑体_GBK"/>
          <w:color w:val="000000" w:themeColor="text1"/>
          <w:sz w:val="48"/>
          <w:szCs w:val="48"/>
          <w14:textFill>
            <w14:solidFill>
              <w14:schemeClr w14:val="tx1"/>
            </w14:solidFill>
          </w14:textFill>
        </w:rPr>
      </w:pPr>
    </w:p>
    <w:p>
      <w:pPr>
        <w:pStyle w:val="3"/>
        <w:jc w:val="both"/>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p>
    <w:p>
      <w:pPr>
        <w:jc w:val="center"/>
        <w:rPr>
          <w:rFonts w:ascii="方正黑体_GBK" w:eastAsia="方正黑体_GBK"/>
          <w:color w:val="000000" w:themeColor="text1"/>
          <w:sz w:val="48"/>
          <w:szCs w:val="48"/>
          <w14:textFill>
            <w14:solidFill>
              <w14:schemeClr w14:val="tx1"/>
            </w14:solidFill>
          </w14:textFill>
        </w:rPr>
      </w:pPr>
      <w:r>
        <w:rPr>
          <w:rFonts w:ascii="方正黑体_GBK" w:eastAsia="方正黑体_GBK"/>
          <w:color w:val="000000" w:themeColor="text1"/>
          <w:sz w:val="48"/>
          <w:szCs w:val="48"/>
          <w14:textFill>
            <w14:solidFill>
              <w14:schemeClr w14:val="tx1"/>
            </w14:solidFill>
          </w14:textFill>
        </w:rPr>
        <w:t>2025年</w:t>
      </w:r>
      <w:r>
        <w:rPr>
          <w:rFonts w:hint="eastAsia" w:ascii="方正黑体_GBK" w:eastAsia="方正黑体_GBK"/>
          <w:color w:val="000000" w:themeColor="text1"/>
          <w:sz w:val="48"/>
          <w:szCs w:val="48"/>
          <w:lang w:val="en-US" w:eastAsia="zh-CN"/>
          <w14:textFill>
            <w14:solidFill>
              <w14:schemeClr w14:val="tx1"/>
            </w14:solidFill>
          </w14:textFill>
        </w:rPr>
        <w:t>7</w:t>
      </w:r>
      <w:r>
        <w:rPr>
          <w:rFonts w:ascii="方正黑体_GBK" w:eastAsia="方正黑体_GBK"/>
          <w:color w:val="000000" w:themeColor="text1"/>
          <w:sz w:val="48"/>
          <w:szCs w:val="48"/>
          <w14:textFill>
            <w14:solidFill>
              <w14:schemeClr w14:val="tx1"/>
            </w14:solidFill>
          </w14:textFill>
        </w:rPr>
        <w:t>月</w:t>
      </w:r>
    </w:p>
    <w:p>
      <w:pPr>
        <w:adjustRightInd w:val="0"/>
        <w:snapToGrid w:val="0"/>
        <w:spacing w:line="560" w:lineRule="exact"/>
        <w:jc w:val="center"/>
        <w:rPr>
          <w:rFonts w:eastAsia="方正书宋_GBK" w:cs="宋体"/>
          <w:color w:val="000000" w:themeColor="text1"/>
          <w:kern w:val="0"/>
          <w:sz w:val="21"/>
          <w:szCs w:val="21"/>
          <w14:textFill>
            <w14:solidFill>
              <w14:schemeClr w14:val="tx1"/>
            </w14:solidFill>
          </w14:textFill>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p>
    <w:sdt>
      <w:sdtPr>
        <w:rPr>
          <w:rFonts w:hint="eastAsia" w:ascii="方正小标宋简体" w:hAnsi="方正小标宋简体" w:eastAsia="方正小标宋简体" w:cs="方正小标宋简体"/>
          <w:color w:val="000000" w:themeColor="text1"/>
          <w:kern w:val="2"/>
          <w:sz w:val="48"/>
          <w:szCs w:val="48"/>
          <w:lang w:val="en-US" w:eastAsia="zh-CN" w:bidi="ar-SA"/>
          <w14:textFill>
            <w14:solidFill>
              <w14:schemeClr w14:val="tx1"/>
            </w14:solidFill>
          </w14:textFill>
        </w:rPr>
        <w:id w:val="147480385"/>
        <w:docPartObj>
          <w:docPartGallery w:val="Table of Contents"/>
          <w:docPartUnique/>
        </w:docPartObj>
      </w:sdtPr>
      <w:sdtEndPr>
        <w:rPr>
          <w:rFonts w:hint="eastAsia" w:ascii="宋体" w:hAnsi="宋体" w:eastAsia="宋体" w:cs="Times New Roman"/>
          <w:color w:val="000000" w:themeColor="text1"/>
          <w:kern w:val="2"/>
          <w:sz w:val="52"/>
          <w:szCs w:val="5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"_Toc256000001"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_Toc256000001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基本履职事项清单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106</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asciiTheme="minorHAnsi" w:hAnsiTheme="minorHAns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"_Toc256000002"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_Toc256000002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配合履职事项清单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93</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rStyle w:val="19"/>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right" w:leader="dot" w:pos="20968"/>
            </w:tabs>
            <w:rPr>
              <w:rFonts w:hint="default" w:asciiTheme="minorHAnsi" w:hAnsiTheme="minorHAnsi"/>
              <w:color w:val="000000" w:themeColor="text1"/>
              <w:sz w:val="22"/>
              <w:lang w:val="en-US"/>
              <w14:textFill>
                <w14:solidFill>
                  <w14:schemeClr w14:val="tx1"/>
                </w14:solidFill>
              </w14:textFill>
            </w:rPr>
          </w:pP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HYPERLINK \l "_Toc256000003" </w:instrText>
          </w:r>
          <w:r>
            <w:rPr>
              <w:color w:val="000000" w:themeColor="text1"/>
              <w14:textFill>
                <w14:solidFill>
                  <w14:schemeClr w14:val="tx1"/>
                </w14:solidFill>
              </w14:textFill>
            </w:rPr>
            <w:fldChar w:fldCharType="separate"/>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rStyle w:val="19"/>
              <w:color w:val="000000" w:themeColor="text1"/>
              <w14:textFill>
                <w14:solidFill>
                  <w14:schemeClr w14:val="tx1"/>
                </w14:solidFill>
              </w14:textFill>
            </w:rPr>
            <w:instrText xml:space="preserve"> PAGEREF _Toc256000003 \h </w:instrText>
          </w:r>
          <w:r>
            <w:rPr>
              <w:color w:val="000000" w:themeColor="text1"/>
              <w14:textFill>
                <w14:solidFill>
                  <w14:schemeClr w14:val="tx1"/>
                </w14:solidFill>
              </w14:textFill>
            </w:rPr>
            <w:fldChar w:fldCharType="separate"/>
          </w:r>
          <w:r>
            <w:rPr>
              <w:rStyle w:val="19"/>
              <w:rFonts w:hint="eastAsia" w:ascii="仿宋_GB2312" w:hAnsi="仿宋_GB2312" w:eastAsia="仿宋_GB2312" w:cs="仿宋_GB2312"/>
              <w:color w:val="000000" w:themeColor="text1"/>
              <w14:textFill>
                <w14:solidFill>
                  <w14:schemeClr w14:val="tx1"/>
                </w14:solidFill>
              </w14:textFill>
            </w:rPr>
            <w:t>上级部门收回事项清单</w:t>
          </w:r>
          <w:r>
            <w:rPr>
              <w:rStyle w:val="19"/>
              <w:color w:val="000000" w:themeColor="text1"/>
              <w14:textFill>
                <w14:solidFill>
                  <w14:schemeClr w14:val="tx1"/>
                </w14:solidFill>
              </w14:textFill>
            </w:rPr>
            <w:t>（</w:t>
          </w:r>
          <w:r>
            <w:rPr>
              <w:rStyle w:val="19"/>
              <w:rFonts w:hint="eastAsia"/>
              <w:color w:val="000000" w:themeColor="text1"/>
              <w:lang w:val="en-US" w:eastAsia="zh-CN"/>
              <w14:textFill>
                <w14:solidFill>
                  <w14:schemeClr w14:val="tx1"/>
                </w14:solidFill>
              </w14:textFill>
            </w:rPr>
            <w:t>141</w:t>
          </w:r>
          <w:r>
            <w:rPr>
              <w:rStyle w:val="19"/>
              <w:rFonts w:hint="eastAsia" w:ascii="仿宋_GB2312" w:hAnsi="仿宋_GB2312" w:eastAsia="仿宋_GB2312" w:cs="仿宋_GB2312"/>
              <w:color w:val="000000" w:themeColor="text1"/>
              <w14:textFill>
                <w14:solidFill>
                  <w14:schemeClr w14:val="tx1"/>
                </w14:solidFill>
              </w14:textFill>
            </w:rPr>
            <w:t>条</w:t>
          </w:r>
          <w:r>
            <w:rPr>
              <w:rStyle w:val="19"/>
              <w:color w:val="000000" w:themeColor="text1"/>
              <w14:textFill>
                <w14:solidFill>
                  <w14:schemeClr w14:val="tx1"/>
                </w14:solidFill>
              </w14:textFill>
            </w:rPr>
            <w:t>）</w:t>
          </w:r>
          <w:r>
            <w:rPr>
              <w:rStyle w:val="19"/>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w:t>
          </w:r>
        </w:p>
        <w:p>
          <w:pPr>
            <w:pStyle w:val="3"/>
            <w:rPr>
              <w:rFonts w:hint="eastAsia" w:ascii="宋体" w:hAnsi="宋体" w:eastAsia="宋体" w:cs="Times New Roman"/>
              <w:color w:val="000000" w:themeColor="text1"/>
              <w:kern w:val="2"/>
              <w:sz w:val="52"/>
              <w:szCs w:val="52"/>
              <w:lang w:val="en-US" w:eastAsia="zh-CN" w:bidi="ar-SA"/>
              <w14:textFill>
                <w14:solidFill>
                  <w14:schemeClr w14:val="tx1"/>
                </w14:solidFill>
              </w14:textFill>
            </w:rPr>
          </w:pPr>
          <w:r>
            <w:rPr>
              <w:color w:val="000000" w:themeColor="text1"/>
              <w14:textFill>
                <w14:solidFill>
                  <w14:schemeClr w14:val="tx1"/>
                </w14:solidFill>
              </w14:textFill>
            </w:rPr>
            <w:fldChar w:fldCharType="end"/>
          </w:r>
        </w:p>
      </w:sdtContent>
    </w:sdt>
    <w:p>
      <w:pPr>
        <w:rPr>
          <w:rFonts w:hint="eastAsia"/>
          <w:color w:val="000000" w:themeColor="text1"/>
          <w14:textFill>
            <w14:solidFill>
              <w14:schemeClr w14:val="tx1"/>
            </w14:solidFill>
          </w14:textFill>
        </w:rPr>
      </w:pPr>
    </w:p>
    <w:p>
      <w:pPr>
        <w:tabs>
          <w:tab w:val="right" w:leader="middleDot" w:pos="13240"/>
        </w:tabs>
        <w:adjustRightInd w:val="0"/>
        <w:snapToGrid w:val="0"/>
        <w:spacing w:line="700" w:lineRule="exact"/>
        <w:ind w:firstLine="3080" w:firstLineChars="700"/>
        <w:jc w:val="left"/>
        <w:rPr>
          <w:rFonts w:hint="eastAsia" w:eastAsia="仿宋_GB2312"/>
          <w:snapToGrid w:val="0"/>
          <w:color w:val="000000" w:themeColor="text1"/>
          <w:sz w:val="44"/>
          <w:szCs w:val="44"/>
          <w14:textFill>
            <w14:solidFill>
              <w14:schemeClr w14:val="tx1"/>
            </w14:solidFill>
          </w14:textFill>
        </w:rPr>
      </w:pPr>
    </w:p>
    <w:p>
      <w:pPr>
        <w:pStyle w:val="4"/>
        <w:bidi w:val="0"/>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0" w:name="_Toc25016"/>
      <w:bookmarkStart w:id="1" w:name="_Toc28914"/>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bidi w:val="0"/>
        <w:jc w:val="both"/>
        <w:rPr>
          <w:rFonts w:hint="eastAsia" w:ascii="方正小标宋简体" w:hAnsi="方正小标宋简体" w:eastAsia="方正小标宋简体" w:cs="方正小标宋简体"/>
          <w:b w:val="0"/>
          <w:bCs w:val="0"/>
          <w:color w:val="000000" w:themeColor="text1"/>
          <w:sz w:val="48"/>
          <w:szCs w:val="48"/>
          <w14:textFill>
            <w14:solidFill>
              <w14:schemeClr w14:val="tx1"/>
            </w14:solidFill>
          </w14:textFill>
        </w:rPr>
      </w:pPr>
    </w:p>
    <w:p>
      <w:pPr>
        <w:jc w:val="center"/>
        <w:rPr>
          <w:rFonts w:hint="eastAsia"/>
          <w:color w:val="000000" w:themeColor="text1"/>
          <w14:textFill>
            <w14:solidFill>
              <w14:schemeClr w14:val="tx1"/>
            </w14:solidFill>
          </w14:textFill>
        </w:rPr>
      </w:pPr>
    </w:p>
    <w:p>
      <w:pPr>
        <w:pStyle w:val="4"/>
        <w:bidi w:val="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p>
      <w:pPr>
        <w:pStyle w:val="4"/>
        <w:bidi w:val="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基本履职事项清单</w:t>
      </w:r>
      <w:bookmarkEnd w:id="0"/>
      <w:bookmarkEnd w:id="1"/>
    </w:p>
    <w:tbl>
      <w:tblPr>
        <w:tblStyle w:val="15"/>
        <w:tblW w:w="4761"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23"/>
        <w:gridCol w:w="19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52" w:hRule="atLeast"/>
          <w:tblHeader/>
        </w:trPr>
        <w:tc>
          <w:tcPr>
            <w:tcW w:w="180" w:type="pct"/>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序号</w:t>
            </w:r>
          </w:p>
        </w:tc>
        <w:tc>
          <w:tcPr>
            <w:tcW w:w="4819"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tcBorders>
              <w:left w:val="single" w:color="auto" w:sz="4" w:space="0"/>
            </w:tcBorders>
            <w:noWrap w:val="0"/>
            <w:vAlign w:val="center"/>
          </w:tcPr>
          <w:p>
            <w:pPr>
              <w:adjustRightInd w:val="0"/>
              <w:snapToGrid w:val="0"/>
              <w:spacing w:line="320" w:lineRule="exact"/>
              <w:textAlignment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一、党的建设事项类别（21项）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推进清廉大埔建设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落实人民代表大会制度，组织人大代表依法履职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17</w:t>
            </w:r>
          </w:p>
        </w:tc>
        <w:tc>
          <w:tcPr>
            <w:tcW w:w="4819" w:type="pct"/>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w:t>
            </w:r>
            <w:r>
              <w:rPr>
                <w:rFonts w:hint="eastAsia" w:eastAsia="仿宋_GB2312" w:cs="Times New Roman"/>
                <w:color w:val="000000" w:themeColor="text1"/>
                <w:kern w:val="0"/>
                <w:sz w:val="24"/>
                <w:szCs w:val="24"/>
                <w:lang w:val="en-US" w:eastAsia="zh-CN"/>
                <w14:textFill>
                  <w14:solidFill>
                    <w14:schemeClr w14:val="tx1"/>
                  </w14:solidFill>
                </w14:textFill>
              </w:rPr>
              <w:t>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20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建立“柳言议事”村级议事协商机制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二、经济发展事项类别（6项）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发展壮大集体油茶特色产业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推动洛崖牛行市场发展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三、民生服务事项类别（17项）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w:t>
            </w:r>
            <w:r>
              <w:rPr>
                <w:rFonts w:hint="eastAsia" w:eastAsia="仿宋_GB2312" w:cs="Times New Roman"/>
                <w:color w:val="000000" w:themeColor="text1"/>
                <w:kern w:val="0"/>
                <w:sz w:val="24"/>
                <w:szCs w:val="24"/>
                <w:lang w:val="en-US" w:eastAsia="zh-CN"/>
                <w14:textFill>
                  <w14:solidFill>
                    <w14:schemeClr w14:val="tx1"/>
                  </w14:solidFill>
                </w14:textFill>
              </w:rPr>
              <w:t>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30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w:t>
            </w:r>
            <w:r>
              <w:rPr>
                <w:rFonts w:hint="eastAsia" w:eastAsia="仿宋_GB2312" w:cs="Times New Roman"/>
                <w:color w:val="000000" w:themeColor="text1"/>
                <w:kern w:val="0"/>
                <w:sz w:val="24"/>
                <w:szCs w:val="24"/>
                <w:lang w:val="en-US" w:eastAsia="zh-CN"/>
                <w14:textFill>
                  <w14:solidFill>
                    <w14:schemeClr w14:val="tx1"/>
                  </w14:solidFill>
                </w14:textFill>
              </w:rPr>
              <w:t>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w:t>
            </w:r>
            <w:r>
              <w:rPr>
                <w:rFonts w:hint="eastAsia" w:eastAsia="仿宋_GB2312" w:cs="Times New Roman"/>
                <w:color w:val="000000" w:themeColor="text1"/>
                <w:kern w:val="0"/>
                <w:sz w:val="24"/>
                <w:szCs w:val="24"/>
                <w:lang w:val="en-US" w:eastAsia="zh-CN"/>
                <w14:textFill>
                  <w14:solidFill>
                    <w14:schemeClr w14:val="tx1"/>
                  </w14:solidFill>
                </w14:textFill>
              </w:rPr>
              <w:t>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w:t>
            </w:r>
            <w:r>
              <w:rPr>
                <w:rFonts w:hint="eastAsia" w:eastAsia="仿宋_GB2312" w:cs="Times New Roman"/>
                <w:color w:val="000000" w:themeColor="text1"/>
                <w:kern w:val="0"/>
                <w:sz w:val="24"/>
                <w:szCs w:val="24"/>
                <w:lang w:val="en-US" w:eastAsia="zh-CN"/>
                <w14:textFill>
                  <w14:solidFill>
                    <w14:schemeClr w14:val="tx1"/>
                  </w14:solidFill>
                </w14:textFill>
              </w:rPr>
              <w:t>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开展未成年人保护法律法规政策宣传，提供未成年人保护等服务工作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39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开展对未达到登记条件的社区社会组织的指导和管理工作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w:t>
            </w:r>
            <w:r>
              <w:rPr>
                <w:rFonts w:hint="eastAsia" w:eastAsia="仿宋_GB2312" w:cs="Times New Roman"/>
                <w:color w:val="000000" w:themeColor="text1"/>
                <w:kern w:val="0"/>
                <w:sz w:val="24"/>
                <w:szCs w:val="24"/>
                <w:lang w:val="en-US" w:eastAsia="zh-CN"/>
                <w14:textFill>
                  <w14:solidFill>
                    <w14:schemeClr w14:val="tx1"/>
                  </w14:solidFill>
                </w14:textFill>
              </w:rPr>
              <w:t>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四、平安法治事项类别（9项）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开展社会治安风险防控、“多网合一”网格化管理，健全网格组织体系，构建协同联动、多元共治的社会治理新格局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坚持和发展新时代</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枫桥经验</w:t>
            </w:r>
            <w:r>
              <w:rPr>
                <w:rFonts w:hint="default" w:ascii="Times New Roman" w:hAnsi="Times New Roman" w:eastAsia="仿宋_GB2312" w:cs="Times New Roman"/>
                <w:i w:val="0"/>
                <w:iCs w:val="0"/>
                <w:color w:val="000000" w:themeColor="text1"/>
                <w:kern w:val="0"/>
                <w:sz w:val="24"/>
                <w:szCs w:val="24"/>
                <w:u w:val="none"/>
                <w:lang w:val="en-US" w:eastAsia="zh-CN" w:bidi="ar"/>
                <w14:textFill>
                  <w14:solidFill>
                    <w14:schemeClr w14:val="tx1"/>
                  </w14:solidFill>
                </w14:textFill>
              </w:rPr>
              <w:t>”</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w:t>
            </w:r>
            <w:r>
              <w:rPr>
                <w:rFonts w:hint="eastAsia" w:eastAsia="仿宋_GB2312" w:cs="Times New Roman"/>
                <w:color w:val="000000" w:themeColor="text1"/>
                <w:kern w:val="0"/>
                <w:sz w:val="24"/>
                <w:szCs w:val="24"/>
                <w:lang w:val="en-US" w:eastAsia="zh-CN"/>
                <w14:textFill>
                  <w14:solidFill>
                    <w14:schemeClr w14:val="tx1"/>
                  </w14:solidFill>
                </w14:textFill>
              </w:rPr>
              <w:t>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w:t>
            </w:r>
            <w:r>
              <w:rPr>
                <w:rFonts w:hint="eastAsia" w:eastAsia="仿宋_GB2312" w:cs="Times New Roman"/>
                <w:color w:val="000000" w:themeColor="text1"/>
                <w:kern w:val="0"/>
                <w:sz w:val="24"/>
                <w:szCs w:val="24"/>
                <w:lang w:val="en-US" w:eastAsia="zh-CN"/>
                <w14:textFill>
                  <w14:solidFill>
                    <w14:schemeClr w14:val="tx1"/>
                  </w14:solidFill>
                </w14:textFill>
              </w:rPr>
              <w:t>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五、乡村振兴事项类别（14项）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0"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59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开展农村集体“三资”监督管理工作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运用积分制、清单制等方式开展乡村治理工作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w:t>
            </w:r>
            <w:r>
              <w:rPr>
                <w:rFonts w:hint="eastAsia" w:eastAsia="仿宋_GB2312" w:cs="Times New Roman"/>
                <w:color w:val="000000" w:themeColor="text1"/>
                <w:kern w:val="0"/>
                <w:sz w:val="24"/>
                <w:szCs w:val="24"/>
                <w:lang w:val="en-US" w:eastAsia="zh-CN"/>
                <w14:textFill>
                  <w14:solidFill>
                    <w14:schemeClr w14:val="tx1"/>
                  </w14:solidFill>
                </w14:textFill>
              </w:rPr>
              <w:t>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w:t>
            </w:r>
            <w:r>
              <w:rPr>
                <w:rFonts w:hint="eastAsia" w:eastAsia="仿宋_GB2312" w:cs="Times New Roman"/>
                <w:color w:val="000000" w:themeColor="text1"/>
                <w:kern w:val="0"/>
                <w:sz w:val="24"/>
                <w:szCs w:val="24"/>
                <w:lang w:val="en-US" w:eastAsia="zh-CN"/>
                <w14:textFill>
                  <w14:solidFill>
                    <w14:schemeClr w14:val="tx1"/>
                  </w14:solidFill>
                </w14:textFill>
              </w:rPr>
              <w:t>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6</w:t>
            </w:r>
            <w:r>
              <w:rPr>
                <w:rFonts w:hint="eastAsia" w:eastAsia="仿宋_GB2312" w:cs="Times New Roman"/>
                <w:color w:val="000000" w:themeColor="text1"/>
                <w:kern w:val="0"/>
                <w:sz w:val="24"/>
                <w:szCs w:val="24"/>
                <w:lang w:val="en-US" w:eastAsia="zh-CN"/>
                <w14:textFill>
                  <w14:solidFill>
                    <w14:schemeClr w14:val="tx1"/>
                  </w14:solidFill>
                </w14:textFill>
              </w:rPr>
              <w:t>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70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w:t>
            </w:r>
            <w:r>
              <w:rPr>
                <w:rFonts w:hint="eastAsia" w:eastAsia="仿宋_GB2312" w:cs="Times New Roman"/>
                <w:color w:val="000000" w:themeColor="text1"/>
                <w:kern w:val="0"/>
                <w:sz w:val="24"/>
                <w:szCs w:val="24"/>
                <w:lang w:val="en-US" w:eastAsia="zh-CN"/>
                <w14:textFill>
                  <w14:solidFill>
                    <w14:schemeClr w14:val="tx1"/>
                  </w14:solidFill>
                </w14:textFill>
              </w:rPr>
              <w:t>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w:t>
            </w:r>
            <w:r>
              <w:rPr>
                <w:rFonts w:hint="eastAsia" w:eastAsia="仿宋_GB2312" w:cs="Times New Roman"/>
                <w:color w:val="000000" w:themeColor="text1"/>
                <w:kern w:val="0"/>
                <w:sz w:val="24"/>
                <w:szCs w:val="24"/>
                <w:lang w:val="en-US" w:eastAsia="zh-CN"/>
                <w14:textFill>
                  <w14:solidFill>
                    <w14:schemeClr w14:val="tx1"/>
                  </w14:solidFill>
                </w14:textFill>
              </w:rPr>
              <w:t>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w:t>
            </w:r>
            <w:r>
              <w:rPr>
                <w:rFonts w:hint="eastAsia" w:eastAsia="仿宋_GB2312" w:cs="Times New Roman"/>
                <w:color w:val="000000" w:themeColor="text1"/>
                <w:kern w:val="0"/>
                <w:sz w:val="24"/>
                <w:szCs w:val="24"/>
                <w:lang w:val="en-US" w:eastAsia="zh-CN"/>
                <w14:textFill>
                  <w14:solidFill>
                    <w14:schemeClr w14:val="tx1"/>
                  </w14:solidFill>
                </w14:textFill>
              </w:rPr>
              <w:t>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79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8</w:t>
            </w:r>
            <w:r>
              <w:rPr>
                <w:rFonts w:hint="eastAsia" w:eastAsia="仿宋_GB2312" w:cs="Times New Roman"/>
                <w:color w:val="000000" w:themeColor="text1"/>
                <w:kern w:val="0"/>
                <w:sz w:val="24"/>
                <w:szCs w:val="24"/>
                <w:lang w:val="en-US" w:eastAsia="zh-CN"/>
                <w14:textFill>
                  <w14:solidFill>
                    <w14:schemeClr w14:val="tx1"/>
                  </w14:solidFill>
                </w14:textFill>
              </w:rPr>
              <w:t>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八、文化和旅游事项类别（5项）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89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开展老还童彩调艺术非遗文化传承推广工作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发展“知青城”特色文旅产业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5000" w:type="pct"/>
            <w:gridSpan w:val="2"/>
            <w:noWrap w:val="0"/>
            <w:vAlign w:val="center"/>
          </w:tcPr>
          <w:p>
            <w:pPr>
              <w:tabs>
                <w:tab w:val="left" w:pos="663"/>
              </w:tabs>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97</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98</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99</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100</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101</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102</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103</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104</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shd w:val="clear" w:color="auto" w:fill="auto"/>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105</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80" w:type="pct"/>
            <w:noWrap w:val="0"/>
            <w:vAlign w:val="center"/>
          </w:tcPr>
          <w:p>
            <w:pPr>
              <w:adjustRightInd w:val="0"/>
              <w:snapToGrid w:val="0"/>
              <w:spacing w:line="320" w:lineRule="exact"/>
              <w:jc w:val="center"/>
              <w:textAlignment w:val="center"/>
              <w:rPr>
                <w:rFonts w:hint="default" w:eastAsia="仿宋_GB2312" w:cs="Times New Roman"/>
                <w:color w:val="000000" w:themeColor="text1"/>
                <w:kern w:val="0"/>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14:textFill>
                  <w14:solidFill>
                    <w14:schemeClr w14:val="tx1"/>
                  </w14:solidFill>
                </w14:textFill>
              </w:rPr>
              <w:t>106</w:t>
            </w:r>
          </w:p>
        </w:tc>
        <w:tc>
          <w:tcPr>
            <w:tcW w:w="4819" w:type="pct"/>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开展村（社区）财务审计和村（社区）“两委”班子成员任期经济责任审计工作</w:t>
            </w:r>
          </w:p>
        </w:tc>
      </w:tr>
    </w:tbl>
    <w:p>
      <w:pPr>
        <w:spacing w:line="570" w:lineRule="exact"/>
        <w:jc w:val="center"/>
        <w:rPr>
          <w:rFonts w:ascii="方正小标宋_GBK" w:hAnsi="宋体" w:eastAsia="方正小标宋_GBK"/>
          <w:color w:val="000000" w:themeColor="text1"/>
          <w:sz w:val="44"/>
          <w:szCs w:val="44"/>
          <w14:textFill>
            <w14:solidFill>
              <w14:schemeClr w14:val="tx1"/>
            </w14:solidFill>
          </w14:textFill>
        </w:rPr>
      </w:pPr>
      <w:r>
        <w:rPr>
          <w:rFonts w:ascii="方正仿宋_GBK" w:hAnsi="宋体"/>
          <w:color w:val="000000" w:themeColor="text1"/>
          <w14:textFill>
            <w14:solidFill>
              <w14:schemeClr w14:val="tx1"/>
            </w14:solidFill>
          </w14:textFill>
        </w:rPr>
        <w:br w:type="page"/>
      </w:r>
    </w:p>
    <w:p>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2" w:name="_Toc5739"/>
      <w:bookmarkStart w:id="3" w:name="_Toc12624"/>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配合履职事项清单</w:t>
      </w:r>
      <w:bookmarkEnd w:id="2"/>
    </w:p>
    <w:tbl>
      <w:tblPr>
        <w:tblStyle w:val="15"/>
        <w:tblW w:w="4990" w:type="pct"/>
        <w:jc w:val="center"/>
        <w:tblLayout w:type="autofit"/>
        <w:tblCellMar>
          <w:top w:w="28" w:type="dxa"/>
          <w:left w:w="57" w:type="dxa"/>
          <w:bottom w:w="28" w:type="dxa"/>
          <w:right w:w="57" w:type="dxa"/>
        </w:tblCellMar>
      </w:tblPr>
      <w:tblGrid>
        <w:gridCol w:w="606"/>
        <w:gridCol w:w="2590"/>
        <w:gridCol w:w="3137"/>
        <w:gridCol w:w="9263"/>
        <w:gridCol w:w="5436"/>
        <w:gridCol w:w="17"/>
      </w:tblGrid>
      <w:tr>
        <w:tblPrEx>
          <w:tblCellMar>
            <w:top w:w="28" w:type="dxa"/>
            <w:left w:w="57" w:type="dxa"/>
            <w:bottom w:w="28" w:type="dxa"/>
            <w:right w:w="57" w:type="dxa"/>
          </w:tblCellMar>
        </w:tblPrEx>
        <w:trPr>
          <w:cantSplit/>
          <w:trHeight w:val="567" w:hRule="atLeast"/>
          <w:tblHeader/>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序号</w:t>
            </w:r>
          </w:p>
        </w:tc>
        <w:tc>
          <w:tcPr>
            <w:tcW w:w="615"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kern w:val="0"/>
                <w:sz w:val="28"/>
                <w:szCs w:val="28"/>
                <w:lang w:bidi="ar"/>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事项名称</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对应上级部门</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eastAsia="zh-CN" w:bidi="ar"/>
                <w14:textFill>
                  <w14:solidFill>
                    <w14:schemeClr w14:val="tx1"/>
                  </w14:solidFill>
                </w14:textFill>
              </w:rPr>
              <w:t>上级部门</w:t>
            </w:r>
            <w:r>
              <w:rPr>
                <w:rFonts w:hint="eastAsia" w:ascii="黑体" w:hAnsi="黑体" w:eastAsia="黑体" w:cs="黑体"/>
                <w:color w:val="000000" w:themeColor="text1"/>
                <w:kern w:val="0"/>
                <w:sz w:val="28"/>
                <w:szCs w:val="28"/>
                <w:lang w:bidi="ar"/>
                <w14:textFill>
                  <w14:solidFill>
                    <w14:schemeClr w14:val="tx1"/>
                  </w14:solidFill>
                </w14:textFill>
              </w:rPr>
              <w:t>职责</w:t>
            </w:r>
          </w:p>
        </w:tc>
        <w:tc>
          <w:tcPr>
            <w:tcW w:w="1294"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kern w:val="0"/>
                <w:sz w:val="28"/>
                <w:szCs w:val="28"/>
                <w:lang w:bidi="ar"/>
                <w14:textFill>
                  <w14:solidFill>
                    <w14:schemeClr w14:val="tx1"/>
                  </w14:solidFill>
                </w14:textFill>
              </w:rPr>
              <w:t>镇配合职责</w:t>
            </w:r>
          </w:p>
        </w:tc>
      </w:tr>
      <w:tr>
        <w:tblPrEx>
          <w:tblCellMar>
            <w:top w:w="28" w:type="dxa"/>
            <w:left w:w="57" w:type="dxa"/>
            <w:bottom w:w="28" w:type="dxa"/>
            <w:right w:w="57" w:type="dxa"/>
          </w:tblCellMar>
        </w:tblPrEx>
        <w:trPr>
          <w:gridAfter w:val="1"/>
          <w:wAfter w:w="4" w:type="pct"/>
          <w:cantSplit/>
          <w:trHeight w:val="516"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一、党的建设事项类别（11项）</w:t>
            </w:r>
          </w:p>
        </w:tc>
      </w:tr>
      <w:tr>
        <w:tblPrEx>
          <w:tblCellMar>
            <w:top w:w="28" w:type="dxa"/>
            <w:left w:w="57" w:type="dxa"/>
            <w:bottom w:w="28" w:type="dxa"/>
            <w:right w:w="57" w:type="dxa"/>
          </w:tblCellMar>
        </w:tblPrEx>
        <w:trPr>
          <w:gridAfter w:val="1"/>
          <w:wAfter w:w="4" w:type="pct"/>
          <w:cantSplit/>
          <w:trHeight w:val="3489"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1</w:t>
            </w:r>
          </w:p>
        </w:tc>
        <w:tc>
          <w:tcPr>
            <w:tcW w:w="61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开展县级以上党内表彰和先进典型选树工作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县委组织部、县委宣传部，县总工会、团县委、县妇联等相关部门</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开展“两优一先”等党内表彰激励工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作；（2）负责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颁发“光荣在党50年”纪念章工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作；（3）宣传表彰优秀农村基层干部先进典型；（4）收集、汇总、向上级</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推选“最美公务员”、“人民满意的公务员”、“人民满意的公务员集体”等先进典型。</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委宣传</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加强对“最美公务员”、“人民满意的公务员”、“人民满意的公务员集体”等先进典型的宣传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总工会：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统筹开展劳动模范和先进生产工作者评选、表彰、培养和管理。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妇联：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组织开展三八红旗手（集体）等先进典型的评选、表彰、宣传、培养和管理。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团县委：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组织开展五四红旗团组织等评选活动。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组织开展各自领域先进典型评选活动。</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（1）挖掘宣传党员、干部、群众的先进事迹，培育选树典型，充分挖掘各行各业典型人物；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（2）推荐合适人选单位参与各领域先进集体和先进个人评选表彰，收集、审核、上报材料；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（3）做好先进典型宣传工作。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组织推荐、选举县级及以上“两代表一委员”</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县委组织部、县委统战部，县人大机关、县政协机关</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负责组织开展县级党代表推选工作，做好县级以上党代表人选推荐、选举工作。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委统战部：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负责组织开展县级政协委员推选工作，做好县级以上政协委员人选推荐、选举工作。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人大机关：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负责组织开展县级人大代表推选工作，做好县级以上人大代表人选推荐、选举工作。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政协机关：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按职责配合做好县级政协委员人选把关工作。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（1）根据分配的人选名额提出初步人选建议；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（2）根据组织委托，对人选进行考察；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开展领导班子管理、干部推荐及人事档案管理工作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县委组织部，县人力资源社会保障局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按职责负责事业单位干部人事档案的日常管理、审核、指导和监督检查等工作。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（1）配合上级做好对领导班子和领导干部及干部队伍考核考察、交流调整、日常管理等工作；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（2）向上级推荐优秀年轻干部、女干部、党外干部、少数民族干部；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（3）负责干部人事档案的转递、零散材料的收集归档。</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开展公务员、选调生招录和事业单位工作人员招聘工作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县委组织部，县人力资源社会保障局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（1）按职责指导或组织开展事业单位工作人员公开招聘工作；（2）按程序办理事业单位工作人员聘用手续。</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（1）上报公务员、选调生、事业单位人员年度招录计划；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（2）配合完成拟录（聘）用人选考察、入职等工作。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做好驻村工作队员管理工作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县组织部，县农业农村局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（1）落实伙食、交通、通信补贴等组织保障，督促派驻单位每年</w:t>
            </w:r>
            <w:r>
              <w:rPr>
                <w:rFonts w:hint="eastAsia" w:eastAsia="仿宋_GB2312" w:cs="Times New Roman"/>
                <w:color w:val="000000" w:themeColor="text1"/>
                <w:kern w:val="0"/>
                <w:sz w:val="24"/>
                <w:szCs w:val="24"/>
                <w:lang w:val="en-US" w:eastAsia="zh-CN" w:bidi="ar"/>
                <w14:textFill>
                  <w14:solidFill>
                    <w14:schemeClr w14:val="tx1"/>
                  </w14:solidFill>
                </w14:textFill>
              </w:rPr>
              <w:t>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履行全面推进乡村振兴业务主管部门职责，牵头指导驻村</w:t>
            </w:r>
            <w:r>
              <w:rPr>
                <w:rFonts w:hint="eastAsia" w:eastAsia="仿宋_GB2312" w:cs="Times New Roman"/>
                <w:color w:val="000000" w:themeColor="text1"/>
                <w:kern w:val="0"/>
                <w:sz w:val="24"/>
                <w:szCs w:val="24"/>
                <w:lang w:val="en-US" w:eastAsia="zh-CN" w:bidi="ar"/>
                <w14:textFill>
                  <w14:solidFill>
                    <w14:schemeClr w14:val="tx1"/>
                  </w14:solidFill>
                </w14:textFill>
              </w:rPr>
              <w:t>工作队员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统筹推进强村富民各项工作，开展相关技术培训。</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（1）督促派驻单位落实驻村工作队员交通补贴等待遇政策；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（2）协助开展驻村工作队员季度考核、年度考核和轮换考核等工作；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（3）落实驻村工作队考勤、请销假管理和教育培训等制度；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（4）做好优秀驻村队员推荐等工作。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建好管好村级组织活动场所</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县委组织部、县委社会工作部，县发展改革局、县财政局、县自然资源和规划局、县住房城乡建设局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负责乡村基层党组织场所标准制定，并建立村级组织活动场所维护修缮新建机制。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委社会工作部：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负责基层党组织活动场所牌匾的清理和规范管理。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负责指导项目立项工作。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落实经费保障。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负责落实用地规划选址、用地报批、供地等工作。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负责项目设计和质量监督。 </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（1）负责村（社区）党群服务中心运行维护；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（2）指导督促做好村级组织活动场所的建设、管理、使用；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（3）指导督促做好基层党组织活动场所的建设、管理、使用。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落实村级组织运转经费和党组织活动经费等保障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县委组织部，县财政局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委组织部：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（1）负责统筹协调相关部门做好专项经费的使用管理；（2）按规定落实基层党组织活动经费；（3）负责村、社</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区“两委”正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常离任干部信息复核；（4）建立健全相关经费正常增长机制。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（1）负责村级组织运转经费日常监管；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（2）负责享受报酬待遇的村干部认定，做好村级组织运转经费核算；</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（3）负责其他领域基层党组织党建工作经费的日常监管。</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开展纪检监察联动协作工作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县纪委监委机关</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（1）建立健全片区协作、交叉检查和案件审理工作机制；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（2）统筹县乡两级监督力量，开展监督检查工作；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（3）统筹县乡两级开展案件查办。</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（1）参与片区协作，配合开展重要专项工作、重点监督检查、重要信访件办理、重要线索初核或立案审查调查；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（2）配合开展案件查办工作。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开展巡视保障和巡察工作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县委巡察办</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（1）统筹、协调、指导、保障巡视巡察工作开展；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（2）负责巡视巡察整改和成果运用的统筹协调、跟踪督促、汇总报告；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（3）协调有关机关、部门协助、支持巡视巡察工作。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（1）配合上级开展巡视巡察工作，提供必要的工作条件；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（2）配合巡视巡察期间人员谈话、实地调研等工作；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（3）做好巡视巡察问题整改。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做好党史、地方志（年鉴）编纂工作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县史志办公室</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（1）制定党史、地方志、年鉴编纂的长期规划与年度计划，明确编纂目标、任务、进度和质量标准；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（2）对收集的资料进行分类、整理、鉴别和筛选，确保资料的真实性、准确性和完整性；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（3）制定编纂工作的规范和标准，对资料收集、内容编写、体例编排、审核出版等环节进行指导，统一编纂要求；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（4）做好党史、地方志、年鉴的出版工作，确保出版物的质量，并负责发行和推广。</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收集、整理、撰写党史</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地方志年鉴编纂所需文字材料，提供有关图片。</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11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组织县人大代表（大埔团）参加县人民代表大会及开展调研、视察、实践等工作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县人大机关</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（1）依法做好县人大代表的换届选举工作；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（2）根据届内县人大代表的出缺情况，依法在出缺的选区补选县人大代表；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（3）收集县人大代表议案建议，转交县人民政府办理；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（4）制定调研、视察、实践活动方案并开展具体业务指导。</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（1）组织实施具体的换届选举和补选工作；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（2）会前组织代表提出议案建议并上报；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（3）做好大会期间</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大埔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团的会务和联络工作；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4</w:t>
            </w:r>
            <w:r>
              <w:rPr>
                <w:rFonts w:hint="eastAsia" w:eastAsia="仿宋_GB2312" w:cs="Times New Roman"/>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组织县人大代表（</w:t>
            </w:r>
            <w:r>
              <w:rPr>
                <w:rFonts w:hint="eastAsia"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大埔</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团）调研视察等工作。</w:t>
            </w:r>
          </w:p>
        </w:tc>
      </w:tr>
      <w:tr>
        <w:tblPrEx>
          <w:tblCellMar>
            <w:top w:w="28" w:type="dxa"/>
            <w:left w:w="57" w:type="dxa"/>
            <w:bottom w:w="28" w:type="dxa"/>
            <w:right w:w="57" w:type="dxa"/>
          </w:tblCellMar>
        </w:tblPrEx>
        <w:trPr>
          <w:gridAfter w:val="1"/>
          <w:wAfter w:w="4" w:type="pct"/>
          <w:cantSplit/>
          <w:trHeight w:val="497"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二、平安法治事项类别（2项）</w:t>
            </w:r>
          </w:p>
        </w:tc>
      </w:tr>
      <w:tr>
        <w:tblPrEx>
          <w:tblCellMar>
            <w:top w:w="28" w:type="dxa"/>
            <w:left w:w="57" w:type="dxa"/>
            <w:bottom w:w="28" w:type="dxa"/>
            <w:right w:w="57" w:type="dxa"/>
          </w:tblCellMar>
        </w:tblPrEx>
        <w:trPr>
          <w:gridAfter w:val="1"/>
          <w:wAfter w:w="4" w:type="pct"/>
          <w:cantSplit/>
          <w:trHeight w:val="1572"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开展非法种植毒品原植物排查处置工作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（1）负责宣传禁种铲毒法律法规和知识；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（2）建立种植毒品原植物的信息档案，全面掌握毒品原植物种植情况；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（3）对非法种植毒品原植物案件侦办，依法处理，建立查处案件台账</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定期进行检查。</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方正公文仿宋" w:hAnsi="Times New Roman" w:eastAsia="方正公文仿宋" w:cs="Times New Roman"/>
                <w:color w:val="000000" w:themeColor="text1"/>
                <w:kern w:val="2"/>
                <w:sz w:val="32"/>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（1）开展禁种铲毒宣传教育；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（2）配合上级有关部门开展排查，发现非法种植毒品原植物的，向当地公安机关报告。</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开展基层法律服务工作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color w:val="000000" w:themeColor="text1"/>
                <w:kern w:val="0"/>
                <w:sz w:val="24"/>
                <w:szCs w:val="24"/>
                <w:lang w:val="en-US" w:eastAsia="zh-CN" w:bidi="ar"/>
                <w14:textFill>
                  <w14:solidFill>
                    <w14:schemeClr w14:val="tx1"/>
                  </w14:solidFill>
                </w14:textFill>
              </w:rPr>
              <w:t>乡镇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提供法律服务；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（3）为村（社区）聘请法律顾问，推动法律顾问律师到村（社区）开展法律服务；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（4）负责组织实施法律援助工作，受理、审查法律援助申请，指派律师、基层法律服务工作者、法律援助志愿者等法律援助人员提供法律援助，支付法律援助补贴。</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（1）依托司法所设立公共法律服务工作站、法律援助站，推动公共法律服务工作站规范化建设；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（2）配合开展一村一法律顾问工作；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（3）配合开展法律顾问（含内部选任及外聘的法律顾问）服务情况统计及公职律师日常管理工作；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（4）协助开展法律援助工作，收集法律援助相关材料。</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三、乡村振兴事项类别（7项）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开展就业帮扶车间建设管理工作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县人力资源社会保障局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）开展就业帮扶车间审核认定；</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）建立就业帮扶车间专员联系制度；</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）指导监督乡镇</w:t>
            </w:r>
            <w:bookmarkStart w:id="4" w:name="_GoBack"/>
            <w:bookmarkEnd w:id="4"/>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对就业帮扶车间的建设与管理、奖补发放以及帮扶工作。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）宣传就业帮扶车间政策，指导市场主体申报认定，并对申报材料进行初审；</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）落实就业帮扶车间专员联系制度，为就业帮扶车间提供政策补贴申领、用工、培训等专项服务；</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仿宋_GB2312"/>
                <w:color w:val="000000" w:themeColor="text1"/>
                <w:kern w:val="0"/>
                <w:sz w:val="24"/>
                <w:szCs w:val="24"/>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）跟踪帮扶就业帮扶车间的经营情况，动态更新就业帮扶车间吸纳脱贫人口名册，落实帮扶措施。</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做好动物疫病预防控制工作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（1）负责辖区内动物疫病预防控制；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（2）负责指导养殖企业和个人做好动物疫病预防控制；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（3）负责开展强制免疫工作；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（4）对违反动物疫病控制行为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（1）协助做好动物疫病防控宣传；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（2）动员本辖区饲养动物的单位和个人做好强制免疫；</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（3）收集、报告疫情信息，配合落实各项应急处置措施。</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做好农村供水用水管理工作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（3）会同相关部门单位落实农村饮用水工程安全运行管理措施；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（5）对全县农村饮水安全实行动态排查监测。</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（1）做好本镇农村供水工程建设及运行管护工作；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（2）组织编制农村供水应急预案；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（3）发生水源污染等供水突发事件时，启动应急预案，做好应急供水保障工作；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开展基层科普工作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科协</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（1）负责全民科学素质行动实施；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（2）负责组织开展群众性、社会性和经常性的科普活动；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（3）支持有关组织和企业事业单位开展科普活动。</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（1）动员群众参加农村适用技术培训、科普进乡村等活动；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（2）协助做好科普宣传。</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开展农机管理服务工作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（2）负责各项农机化补贴资金的分配、使用与管理；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（3）负责农机惠民政策的实施；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（4）负责农业机械、农机驾驶员安全监督管理和执法检查工作。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（1）开展政策宣传，组织农民参与培训；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（2）配合开展农机补贴核验、公示等工作；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（3）配合开展农业机械车辆调查核实。</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19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开展农业保险工作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（1）负责农业保险推进、管理的相关工作；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（2）采取多种形式，加强对农业保险的宣传，提高农民和农业生产经营组织的保险意识；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（3）组织引导农民和农业生产经营组织积极参加农业保险。</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（2）负责落实本地政策性农业保险各项政策措施；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（3）填报各投保农户的种植面积及农户各项信息。</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做好农村产权流转交易服务工作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（1）负责收集汇总并发布本行政区域的农村产权流转交易信息；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（2）受理交易咨询和申请、协助产权查询、组织流转交易、出具产权流转交易鉴证书；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（3）办理产权变更登记和资金结算手续、政策咨询及宣传推广等；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（4）组建乡镇和村级农村产权经纪人队伍，并为经纪人队伍提供专业培训。</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（1）负责农村产权流转交易的汇总、核实、上报；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（2）负责农村产权流转交易政策宣传和咨询服务。</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四、社会管理事项类别（15项）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流动人口服务管理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委政法委，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委政法委：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（1）负责流动人口的居住登记、居住证发放和治安管理工作，依法保护流动人口的合法权益；（2）负责针对出租</w:t>
            </w:r>
            <w:r>
              <w:rPr>
                <w:rFonts w:hint="eastAsia" w:eastAsia="仿宋_GB2312" w:cs="Times New Roman"/>
                <w:color w:val="000000" w:themeColor="text1"/>
                <w:kern w:val="0"/>
                <w:sz w:val="24"/>
                <w:szCs w:val="24"/>
                <w:lang w:val="en-US" w:eastAsia="zh-CN" w:bidi="ar"/>
                <w14:textFill>
                  <w14:solidFill>
                    <w14:schemeClr w14:val="tx1"/>
                  </w14:solidFill>
                </w14:textFill>
              </w:rPr>
              <w:t>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屋的治安检查工作，及时查处和打击违规出租房屋、出租房屋中相关违法犯罪活动。</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（1）指导、督促村（社区）组织配合做好流动人口信息采集等服务管理工作；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（2）做好出租房屋管理工作；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（3）协助做好流动人口管理政策法规宣传。</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开展殡葬管理工作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（1）负责殡葬服务、监督管理工作；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（2）负责农村公益性墓地管理审批；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违反殡葬管理规定行为的处</w:t>
            </w:r>
            <w:r>
              <w:rPr>
                <w:rFonts w:hint="eastAsia" w:eastAsia="仿宋_GB2312" w:cs="Times New Roman"/>
                <w:color w:val="000000" w:themeColor="text1"/>
                <w:kern w:val="0"/>
                <w:sz w:val="24"/>
                <w:szCs w:val="24"/>
                <w:lang w:val="en-US" w:eastAsia="zh-CN" w:bidi="ar"/>
                <w14:textFill>
                  <w14:solidFill>
                    <w14:schemeClr w14:val="tx1"/>
                  </w14:solidFill>
                </w14:textFill>
              </w:rPr>
              <w:t>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（1）开展殡葬管理政策法规宣传；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（2）开展农村公益性墓地的初审；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（3）参与开展殡葬监督管理工作。</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行政复议</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（1）办理本级行政复议案件；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（2）统计辖区内行政复议与行政诉讼案件数据；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（3）指导法律顾问工作。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（2）上报行政复议与行政诉讼案件数据；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（3）明确法律顾问，负责本</w:t>
            </w:r>
            <w:r>
              <w:rPr>
                <w:rFonts w:hint="eastAsia" w:eastAsia="仿宋_GB2312" w:cs="Times New Roman"/>
                <w:color w:val="000000" w:themeColor="text1"/>
                <w:kern w:val="0"/>
                <w:sz w:val="24"/>
                <w:szCs w:val="24"/>
                <w:lang w:val="en-US" w:eastAsia="zh-CN" w:bidi="ar"/>
                <w14:textFill>
                  <w14:solidFill>
                    <w14:schemeClr w14:val="tx1"/>
                  </w14:solidFill>
                </w14:textFill>
              </w:rPr>
              <w:t>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法律事务，并指导村（社区）处理涉及群众切身利益的涉法事务。</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落实审计监督工作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（2）提供与审计业务开展有关资料报送的培训。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w:t>
            </w:r>
            <w:r>
              <w:rPr>
                <w:rFonts w:hint="eastAsia" w:eastAsia="仿宋_GB2312" w:cs="Times New Roman"/>
                <w:color w:val="000000" w:themeColor="text1"/>
                <w:kern w:val="0"/>
                <w:sz w:val="24"/>
                <w:szCs w:val="24"/>
                <w:lang w:val="en-US" w:eastAsia="zh-CN" w:bidi="ar"/>
                <w14:textFill>
                  <w14:solidFill>
                    <w14:schemeClr w14:val="tx1"/>
                  </w14:solidFill>
                </w14:textFill>
              </w:rPr>
              <w:t>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审计机关要求提供涉及审计事项的财务、会计以及与财政收支、财务收支有关的业务、管理等资料；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（2）提供现场审计必要的办公条件，办公场所、落实专人配合审计机关工作等。</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开展社会保险经办服务</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税务局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人力资源社会保障局：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color w:val="000000" w:themeColor="text1"/>
                <w:kern w:val="0"/>
                <w:sz w:val="24"/>
                <w:szCs w:val="24"/>
                <w:lang w:val="en-US" w:eastAsia="zh-CN" w:bidi="ar"/>
                <w14:textFill>
                  <w14:solidFill>
                    <w14:schemeClr w14:val="tx1"/>
                  </w14:solidFill>
                </w14:textFill>
              </w:rPr>
              <w:t>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其生存及服刑情况，杜绝违规领取情况发生，并做好违规领取追款工作。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税务局：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做好社会保险费征缴工作。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（1）做好参保登记、管理和社会保险政策宣传工作；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（2）做好领取社会保险待遇人员资格认证工作；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（3）核查退休人员和供养待遇人员生存、服刑情况，并定期上报；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（4）配合对违规领取人员进行追款；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（5）开展社会保障卡数据采集、申领、宣传工作；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（6）开展社会保险费征缴争议摸排工作，发现问题及时上报；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（7）配合处理社会保险费征缴争议；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（8）配合做好社会保险费征缴工作。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开展劳动保障和人事争议调解工作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（2）对工伤</w:t>
            </w:r>
            <w:r>
              <w:rPr>
                <w:rFonts w:hint="eastAsia" w:eastAsia="仿宋_GB2312" w:cs="Times New Roman"/>
                <w:color w:val="000000" w:themeColor="text1"/>
                <w:kern w:val="0"/>
                <w:sz w:val="24"/>
                <w:szCs w:val="24"/>
                <w:lang w:val="en-US" w:eastAsia="zh-CN" w:bidi="ar"/>
                <w14:textFill>
                  <w14:solidFill>
                    <w14:schemeClr w14:val="tx1"/>
                  </w14:solidFill>
                </w14:textFill>
              </w:rPr>
              <w:t>认定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相关</w:t>
            </w:r>
            <w:r>
              <w:rPr>
                <w:rFonts w:hint="eastAsia" w:eastAsia="仿宋_GB2312" w:cs="Times New Roman"/>
                <w:color w:val="000000" w:themeColor="text1"/>
                <w:kern w:val="0"/>
                <w:sz w:val="24"/>
                <w:szCs w:val="24"/>
                <w:lang w:val="en-US" w:eastAsia="zh-CN" w:bidi="ar"/>
                <w14:textFill>
                  <w14:solidFill>
                    <w14:schemeClr w14:val="tx1"/>
                  </w14:solidFill>
                </w14:textFill>
              </w:rPr>
              <w:t>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（3）组织协调处理跨地区、有影响的重大劳动人事争议，负责仲裁员的管理、培训等工作。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（1）配合调解用人单位劳动人事争议纠纷，做好矛盾</w:t>
            </w:r>
            <w:r>
              <w:rPr>
                <w:rFonts w:hint="eastAsia" w:eastAsia="仿宋_GB2312" w:cs="Times New Roman"/>
                <w:color w:val="000000" w:themeColor="text1"/>
                <w:kern w:val="0"/>
                <w:sz w:val="24"/>
                <w:szCs w:val="24"/>
                <w:lang w:val="en-US" w:eastAsia="zh-CN" w:bidi="ar"/>
                <w14:textFill>
                  <w14:solidFill>
                    <w14:schemeClr w14:val="tx1"/>
                  </w14:solidFill>
                </w14:textFill>
              </w:rPr>
              <w:t>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排查和调处</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防范和化解</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，重点</w:t>
            </w:r>
            <w:r>
              <w:rPr>
                <w:rFonts w:hint="eastAsia" w:eastAsia="仿宋_GB2312" w:cs="Times New Roman"/>
                <w:color w:val="000000" w:themeColor="text1"/>
                <w:kern w:val="0"/>
                <w:sz w:val="24"/>
                <w:szCs w:val="24"/>
                <w:lang w:val="en-US" w:eastAsia="zh-CN" w:bidi="ar"/>
                <w14:textFill>
                  <w14:solidFill>
                    <w14:schemeClr w14:val="tx1"/>
                  </w14:solidFill>
                </w14:textFill>
              </w:rPr>
              <w:t>关注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和预防可能引发群体性或突发性事件的纠纷；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（2）督促用人单位按时完成书面审查，联系相关用人单位、相关责任人配合协调、调查、取证、送达；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（3）联系涉及工伤认定用人单位、相关责任人配合协调调查、取证、送达；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（4）开展劳动法律法规和规章宣传，提升用人单位和劳动者遵法守法意识。</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开展卫星地面接收设施管理工作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（1）负责安装和使用卫星地面接收设施的日常监管；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（2）负责对</w:t>
            </w:r>
            <w:r>
              <w:rPr>
                <w:rFonts w:hint="eastAsia" w:eastAsia="仿宋_GB2312" w:cs="Times New Roman"/>
                <w:color w:val="000000" w:themeColor="text1"/>
                <w:kern w:val="0"/>
                <w:sz w:val="24"/>
                <w:szCs w:val="24"/>
                <w:lang w:val="en-US" w:eastAsia="zh-CN" w:bidi="ar"/>
                <w14:textFill>
                  <w14:solidFill>
                    <w14:schemeClr w14:val="tx1"/>
                  </w14:solidFill>
                </w14:textFill>
              </w:rPr>
              <w:t>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安装和使用卫星地面接收设施的行为进行处罚。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（1）做好非法生产、销售、安装使用卫星地面接收设施摸排工作，及时上报问题线索；</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（2）配合相关部门对非法生产、销售、安装、使用卫星地面接收设施进行拆除。</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开展物业监督管理工作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（1）研究制定物业管理相关政策措施；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（2）对物业服务企业实施分类监管，加强对物业服务质量</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（3）对物业服务人及其从业人员、业主大会筹备组成员、业主委员会委员进行业务指导、培训和监督管理；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（4）指导监督物业管理招投标活动；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（5）对物业承接查验、物业服务人退出交接活动进行指导和监督；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（7）处理物业管理活动中的投诉、举报；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（8）对物业专项维修资金交存、管理和使用情况以及公共收益收支情况进行监督管理；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（9）对物业服务人及其从业人员开展信用评价管理。</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（1）配合有关主管部门开展物业管理区域的划分、调整工作；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lang w:val="en-US" w:eastAsia="zh-CN" w:bidi="ar"/>
                <w14:textFill>
                  <w14:solidFill>
                    <w14:schemeClr w14:val="tx1"/>
                  </w14:solidFill>
                </w14:textFill>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（3）完善物业管理纠纷调解、投诉、举报处理机制；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（4）指导和监督物业服务人履行法定的义务。</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29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开展烈士纪念设施管理和维护工作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退役军人局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（1）负责烈士纪念设施管护修缮；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（2）负责烈士纪念设施管护人员队伍建设。</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（1）开展烈士纪念设施保护宣传；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（2）参与烈士纪念设施巡查清理、维护祭扫等工作。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开展行政执法监督工作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司法局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（1）宣传贯彻有关行政执法监督工作法律、法规、规章和其他规范性文件；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（2）拟定行政执法监督的有关制度；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（3）拟定行政执法监督年度工作计划，报本级人民政府批准后组织实施；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（4）协调本级人民政府所属行政执法机关的行政执法工作；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（5）依法处理执法监督中发现的问题，重大问题报本级人民政府；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（6）培训行政执法人员和行政执法监督人员。</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（1）开展有关行政执法监督工作法律、法规、规章和其他规范性文件宣传；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（2）整理行政执法案卷上交县级评审；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（3）积极做好行政执法评议工作；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（4）落实行政执法责任制，并报告年度行政执法情况；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开展适龄儿童、少年因身体状况延缓入学或者休学审批工作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（1）组织开展适龄儿童、少年因身体状况需要延缓入学</w:t>
            </w:r>
            <w:r>
              <w:rPr>
                <w:rFonts w:hint="eastAsia" w:eastAsia="仿宋_GB2312" w:cs="Times New Roman"/>
                <w:color w:val="000000" w:themeColor="text1"/>
                <w:kern w:val="0"/>
                <w:sz w:val="24"/>
                <w:szCs w:val="24"/>
                <w:lang w:val="en-US" w:eastAsia="zh-CN" w:bidi="ar"/>
                <w14:textFill>
                  <w14:solidFill>
                    <w14:schemeClr w14:val="tx1"/>
                  </w14:solidFill>
                </w14:textFill>
              </w:rPr>
              <w:t>、休学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的情况调查；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（2）指导需要为子女办理延缓入学、休学的家长按审批要求到县、乡镇审批部门办理延缓入学、休学审批业务；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（3）组织对有争议的延缓入学、休学申请进行评估，审批延缓入学、休学申请。</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（1）配合做好适龄儿童、少年因身体状况需要延缓入学或者休学的情况排查工作；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（2）协助县级部门开展评估工作；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（3）配合做好审批工作。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开展油气长输管道保护相关工作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（1）协调处理本行政区域油气长输管道保护的重大问题；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（2）指导、监督有关单位履行油气长输管道保护义务；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（3）排除油气长输管道的重大外部安全隐患。</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（1）协调解决涉及本镇管道保护和安全隐患整治的重大问题；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（2）开展油气长输管道周边</w:t>
            </w:r>
            <w:r>
              <w:rPr>
                <w:rFonts w:hint="eastAsia" w:eastAsia="仿宋_GB2312" w:cs="Times New Roman"/>
                <w:color w:val="000000" w:themeColor="text1"/>
                <w:kern w:val="0"/>
                <w:sz w:val="24"/>
                <w:szCs w:val="24"/>
                <w:lang w:val="en-US" w:eastAsia="zh-CN" w:bidi="ar"/>
                <w14:textFill>
                  <w14:solidFill>
                    <w14:schemeClr w14:val="tx1"/>
                  </w14:solidFill>
                </w14:textFill>
              </w:rPr>
              <w:t>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综合治理</w:t>
            </w:r>
            <w:r>
              <w:rPr>
                <w:rFonts w:hint="eastAsia" w:eastAsia="仿宋_GB2312" w:cs="Times New Roman"/>
                <w:color w:val="000000" w:themeColor="text1"/>
                <w:kern w:val="0"/>
                <w:sz w:val="24"/>
                <w:szCs w:val="24"/>
                <w:lang w:val="en-US" w:eastAsia="zh-CN" w:bidi="ar"/>
                <w14:textFill>
                  <w14:solidFill>
                    <w14:schemeClr w14:val="tx1"/>
                  </w14:solidFill>
                </w14:textFill>
              </w:rPr>
              <w:t>，消除安全隐患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开展应急广播、广播电视设施的管理和维护工作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（1）负责管理各乡镇应急广播终端设施，并加强对上岗人员管理，确保应急广播终端安全高效运行；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（2）保障广播电视节目的覆盖面，实施广电惠民服务工程。</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（1）落实应急广播</w:t>
            </w:r>
            <w:r>
              <w:rPr>
                <w:rFonts w:hint="eastAsia" w:eastAsia="仿宋_GB2312" w:cs="Times New Roman"/>
                <w:color w:val="000000" w:themeColor="text1"/>
                <w:kern w:val="0"/>
                <w:sz w:val="24"/>
                <w:szCs w:val="24"/>
                <w:lang w:val="en-US" w:eastAsia="zh-CN" w:bidi="ar"/>
                <w14:textFill>
                  <w14:solidFill>
                    <w14:schemeClr w14:val="tx1"/>
                  </w14:solidFill>
                </w14:textFill>
              </w:rPr>
              <w:t>设施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管理和维护工作；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（2）管理各种文化体育广播电视设施和设备，提高使用效率和服务质量。</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敬老院运营管理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（1）建立健全敬老院各项管理制度并组织实施；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（2）编制敬老院运行经费预算并执行；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（3）统筹管理全县敬老院运营工作；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（4）负责全县敬老院的生产安全、消防安全、食品安全及疾病预防等各项安全生产工作；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（5）做好辖区内敬老院工作人员培训和教育。</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（1）落实敬老院管理各项制度；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（2）协助做好本镇敬老院日常运营工作；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（3）对敬老院安全隐患进行排查，发现问题及时进行前期处置并上报县级主管部门。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畜牧水产养殖兽医技术推广工作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（1）制定全县畜牧水产</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兽医技术推广规划与项目方案，确定推广重点技术与品种；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（2）培训畜牧水产兽医技术人员，提升其专业知识与服务技能；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（3）及时发布畜牧水产养殖信息与技术指导意见。</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（1）落实县级畜牧水产兽医技术推广政策与信息，组织养殖户参加技术培训、讲座与现场观摩活动；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（2）对本镇养殖户进行技术指导与服务，了解</w:t>
            </w:r>
            <w:r>
              <w:rPr>
                <w:rFonts w:hint="eastAsia" w:eastAsia="仿宋_GB2312" w:cs="Times New Roman"/>
                <w:color w:val="000000" w:themeColor="text1"/>
                <w:kern w:val="0"/>
                <w:sz w:val="24"/>
                <w:szCs w:val="24"/>
                <w:lang w:val="en-US" w:eastAsia="zh-CN" w:bidi="ar"/>
                <w14:textFill>
                  <w14:solidFill>
                    <w14:schemeClr w14:val="tx1"/>
                  </w14:solidFill>
                </w14:textFill>
              </w:rPr>
              <w:t>养殖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情况，解决实际技术问题；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（3）负责统计上报畜牧、水产养殖种质资源情况。</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五、社会保障事项类别（9项）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做好无障碍环境设施建设工作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残联，</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残联：</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推进残疾人家庭无障碍设施改造。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（1）开展无障碍环境保护宣传；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（2）对无障碍环境设施进行日常巡查保护，发现破坏行为及时阻止，有损坏的及时上报；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（3）负责残疾人家庭无障碍设施改造申请初审；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（4）参与无障碍环境设施建设的评估和验收。</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抓好学前教育发展和管理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（1）负责指导幼儿园党建工作；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（2）负责制定学前教育发展规划；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（3）负责学前教育监管。</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（1）开展适龄儿童摸底调查，配合做好适龄儿童入学工作；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（2）配合开展学前教育发展规划和监管工作；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（3）支持办好辖区各类幼儿园，在土地划拨等方面对幼儿园予以支持。</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开展慈善捐赠款物分配送达、信息统计等工作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（1）制定捐赠款物分配方案，确定分配比例与数量；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（2）建立捐赠款物运输调配机制，确定运输方式和路线；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（3）明确信息统计标准与口径，规范捐赠数据的记录、分类、汇总；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（4）制定慈善捐赠监督管理制度，明确监督内容、程序和责任追究机制。</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shd w:val="clear" w:color="auto" w:fill="auto"/>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t>（1）对辖区内的受灾</w:t>
            </w:r>
            <w:r>
              <w:rPr>
                <w:rFonts w:hint="eastAsia"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t>等</w:t>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t>情况进行详细统计和评估，及时向上级报送需求信息；</w:t>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t xml:space="preserve">    （2）按照县级制定的分配方案，负责将分配到本镇的捐赠款物具体发放给村（社区）和受助对象；</w:t>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highlight w:val="none"/>
                <w:shd w:val="clear" w:color="auto" w:fill="auto"/>
                <w:lang w:val="en-US" w:eastAsia="zh-CN" w:bidi="ar"/>
                <w14:textFill>
                  <w14:solidFill>
                    <w14:schemeClr w14:val="tx1"/>
                  </w14:solidFill>
                </w14:textFill>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39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开展追回违规领取救助金工作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（1）负责追回</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（2）对违法违规人员进行批评教育与警告</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达到处罚条件</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，依法给予处罚，构成违反治安管理行为的，移交公安部门。</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（1）开展对</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社会救助资金、</w:t>
            </w:r>
            <w:r>
              <w:rPr>
                <w:rFonts w:hint="eastAsia" w:eastAsia="仿宋_GB2312" w:cs="Times New Roman"/>
                <w:color w:val="000000" w:themeColor="text1"/>
                <w:kern w:val="0"/>
                <w:sz w:val="24"/>
                <w:szCs w:val="24"/>
                <w:lang w:val="en-US" w:eastAsia="zh-CN" w:bidi="ar"/>
                <w14:textFill>
                  <w14:solidFill>
                    <w14:schemeClr w14:val="tx1"/>
                  </w14:solidFill>
                </w14:textFill>
              </w:rPr>
              <w:t>违规领取的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最低生活保障金及物资等</w:t>
            </w:r>
            <w:r>
              <w:rPr>
                <w:rFonts w:hint="eastAsia" w:eastAsia="仿宋_GB2312" w:cs="Times New Roman"/>
                <w:color w:val="000000" w:themeColor="text1"/>
                <w:kern w:val="0"/>
                <w:sz w:val="24"/>
                <w:szCs w:val="24"/>
                <w:lang w:val="en-US" w:eastAsia="zh-CN" w:bidi="ar"/>
                <w14:textFill>
                  <w14:solidFill>
                    <w14:schemeClr w14:val="tx1"/>
                  </w14:solidFill>
                </w14:textFill>
              </w:rPr>
              <w:t>违法违规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人员的信息核实；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（2）配合开展追回工作。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推进特殊困难老年人家庭适老化改造工作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（1）制定特殊困难老年人家庭适老化改造工作方案并组织实施；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（2）对乡镇报送的材料进行审核；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（4）组织村（社区）、乡镇、相关部门、专业力量等进行完工验收；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（5）加强过程监督，跟进工作进展，对改造工作进度和成效进行抽查；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（6）积极向老年人家庭宣传适老化改造工作。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（1）做好宣传、排查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配合入户开展相关工作；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（3）做好回访工作。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做好被征地农民参加基本养老保险工作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人力资源社会保障局、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征地拆迁和房屋征收补偿中心</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财政局：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负责落实被征地农民养老保险补贴资金，加强资金监管，统筹被征地农民社会保障工作经费。</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人力资源社会保障局：</w:t>
            </w:r>
            <w:r>
              <w:rPr>
                <w:rFonts w:hint="eastAsia" w:ascii="仿宋_GB2312" w:hAnsi="仿宋_GB2312" w:eastAsia="仿宋_GB2312" w:cs="仿宋_GB2312"/>
                <w:b w:val="0"/>
                <w:bCs w:val="0"/>
                <w:color w:val="000000" w:themeColor="text1"/>
                <w:kern w:val="0"/>
                <w:sz w:val="24"/>
                <w:szCs w:val="24"/>
                <w:lang w:val="en-US" w:eastAsia="zh-CN" w:bidi="ar"/>
                <w14:textFill>
                  <w14:solidFill>
                    <w14:schemeClr w14:val="tx1"/>
                  </w14:solidFill>
                </w14:textFill>
              </w:rPr>
              <w:t>负责</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自然资源和规划局：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负责土地征收的合法性、被征地农民失地面积审核。</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农业农村局：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负责被征地农民家庭承包土地耕地面积界定、核实，以及具有农村集体土地承包权人员资格核实。</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征地拆迁和房屋征收补偿中心：</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负责组织村（居）民委员会开展被征地农民基本信息采集，提供符合被征地农民养老保险人员名单等相关材料。</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（1）负责被征地农民信息收集、汇总、公示、上报；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（2）负责政策宣传。</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落实惠农财政补贴审批发放</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（1）负责按规定标准分配、审核拨付资金；（2）负责惠</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农惠民“一卡通”系统管理维护。</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（1）开展惠农补贴发放等工作；（2）组织核实资金支持对象的资格条件，督促检查工作任务完成情况。</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（2）组织补贴申报、审核、公示、汇总上报；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（3）配合做好联合审核（包括现场抽核）、批复公告、资金发放等工作。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农村特困人员供养对象集中供养</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（1）负责对农村特困人员供养对象异地集中供养的申请进行审核确认；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（2）符合条件的组织集中供养；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（3）负责管理和分配特困人员救助供养资金，对特困人员的认定和供养情况进行动态管理，及时调整供养金发放金额，并根据核查情况做出继续供养或终止供养的决定。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（1）负责排查农村特困人员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情况</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、受理</w:t>
            </w:r>
            <w:r>
              <w:rPr>
                <w:rFonts w:hint="eastAsia" w:eastAsia="仿宋_GB2312" w:cs="Times New Roman"/>
                <w:color w:val="000000" w:themeColor="text1"/>
                <w:kern w:val="0"/>
                <w:sz w:val="24"/>
                <w:szCs w:val="24"/>
                <w:lang w:val="en-US" w:eastAsia="zh-CN" w:bidi="ar"/>
                <w14:textFill>
                  <w14:solidFill>
                    <w14:schemeClr w14:val="tx1"/>
                  </w14:solidFill>
                </w14:textFill>
              </w:rPr>
              <w:t>其供养申请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和</w:t>
            </w:r>
            <w:r>
              <w:rPr>
                <w:rFonts w:hint="eastAsia" w:eastAsia="仿宋_GB2312" w:cs="Times New Roman"/>
                <w:color w:val="000000" w:themeColor="text1"/>
                <w:kern w:val="0"/>
                <w:sz w:val="24"/>
                <w:szCs w:val="24"/>
                <w:lang w:val="en-US" w:eastAsia="zh-CN" w:bidi="ar"/>
                <w14:textFill>
                  <w14:solidFill>
                    <w14:schemeClr w14:val="tx1"/>
                  </w14:solidFill>
                </w14:textFill>
              </w:rPr>
              <w:t>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初审工作；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向上级部门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报送农村特困人员</w:t>
            </w:r>
            <w:r>
              <w:rPr>
                <w:rFonts w:hint="eastAsia" w:eastAsia="仿宋_GB2312" w:cs="Times New Roman"/>
                <w:color w:val="000000" w:themeColor="text1"/>
                <w:kern w:val="0"/>
                <w:sz w:val="24"/>
                <w:szCs w:val="24"/>
                <w:lang w:val="en-US" w:eastAsia="zh-CN" w:bidi="ar"/>
                <w14:textFill>
                  <w14:solidFill>
                    <w14:schemeClr w14:val="tx1"/>
                  </w14:solidFill>
                </w14:textFill>
              </w:rPr>
              <w:t>供养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申请材料；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（3）协助开展入户核查等工作。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开展水库移民后期扶持工作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（1）制定工作方案，规划</w:t>
            </w:r>
            <w:r>
              <w:rPr>
                <w:rFonts w:hint="eastAsia" w:eastAsia="仿宋_GB2312" w:cs="Times New Roman"/>
                <w:color w:val="000000" w:themeColor="text1"/>
                <w:kern w:val="0"/>
                <w:sz w:val="24"/>
                <w:szCs w:val="24"/>
                <w:lang w:val="en-US" w:eastAsia="zh-CN" w:bidi="ar"/>
                <w14:textFill>
                  <w14:solidFill>
                    <w14:schemeClr w14:val="tx1"/>
                  </w14:solidFill>
                </w14:textFill>
              </w:rPr>
              <w:t>水库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移民项目建设；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（2）对村民小组提出的、并经</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镇人民政府审核的后期扶持方式进行审查，报县人民政府审批，并将审批结果报上级移民管理机构备案；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（3）发放移民补贴，开展移民项目建设。</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（1）建立本镇</w:t>
            </w:r>
            <w:r>
              <w:rPr>
                <w:rFonts w:hint="eastAsia" w:eastAsia="仿宋_GB2312" w:cs="Times New Roman"/>
                <w:color w:val="000000" w:themeColor="text1"/>
                <w:kern w:val="0"/>
                <w:sz w:val="24"/>
                <w:szCs w:val="24"/>
                <w:lang w:val="en-US" w:eastAsia="zh-CN" w:bidi="ar"/>
                <w14:textFill>
                  <w14:solidFill>
                    <w14:schemeClr w14:val="tx1"/>
                  </w14:solidFill>
                </w14:textFill>
              </w:rPr>
              <w:t>水库移民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（2）对村民小组提出的后期扶持方式进行审核；</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（3）组织各村民小组做好后期扶持人口自然减员管理工作，指导核查上报后期扶持人口自然减员名单；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（4）配合做好水库移民项目的申报和项目实施过程中出现各种问题的协调处理；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（5）负责组织水库移民对象参加免费技能培训工作。</w:t>
            </w:r>
          </w:p>
        </w:tc>
      </w:tr>
      <w:tr>
        <w:tblPrEx>
          <w:tblCellMar>
            <w:top w:w="28" w:type="dxa"/>
            <w:left w:w="57" w:type="dxa"/>
            <w:bottom w:w="28" w:type="dxa"/>
            <w:right w:w="57" w:type="dxa"/>
          </w:tblCellMar>
        </w:tblPrEx>
        <w:trPr>
          <w:gridAfter w:val="1"/>
          <w:wAfter w:w="4" w:type="pct"/>
          <w:cantSplit/>
          <w:trHeight w:val="74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六、自然资源事项类别（5项）</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开展土地综合整治及后期管护工作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制定土地综合整治实施方案并组织</w:t>
            </w:r>
            <w:r>
              <w:rPr>
                <w:rFonts w:hint="eastAsia" w:eastAsia="仿宋_GB2312" w:cs="Times New Roman"/>
                <w:color w:val="000000" w:themeColor="text1"/>
                <w:kern w:val="0"/>
                <w:sz w:val="24"/>
                <w:szCs w:val="24"/>
                <w:lang w:val="en-US" w:eastAsia="zh-CN" w:bidi="ar"/>
                <w14:textFill>
                  <w14:solidFill>
                    <w14:schemeClr w14:val="tx1"/>
                  </w14:solidFill>
                </w14:textFill>
              </w:rPr>
              <w:t>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（2）开展日常管理维护；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（3）提升土地综合整治项目使用效力；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（5）协调施工方、项目业主加快项目施工进度、拨款</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土地综合整治</w:t>
            </w:r>
            <w:r>
              <w:rPr>
                <w:rFonts w:hint="eastAsia" w:eastAsia="仿宋_GB2312" w:cs="Times New Roman"/>
                <w:color w:val="000000" w:themeColor="text1"/>
                <w:kern w:val="0"/>
                <w:sz w:val="24"/>
                <w:szCs w:val="24"/>
                <w:lang w:val="en-US" w:eastAsia="zh-CN" w:bidi="ar"/>
                <w14:textFill>
                  <w14:solidFill>
                    <w14:schemeClr w14:val="tx1"/>
                  </w14:solidFill>
                </w14:textFill>
              </w:rPr>
              <w:t>项目建立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后期</w:t>
            </w:r>
            <w:r>
              <w:rPr>
                <w:rFonts w:hint="eastAsia" w:eastAsia="仿宋_GB2312" w:cs="Times New Roman"/>
                <w:color w:val="000000" w:themeColor="text1"/>
                <w:kern w:val="0"/>
                <w:sz w:val="24"/>
                <w:szCs w:val="24"/>
                <w:lang w:val="en-US" w:eastAsia="zh-CN" w:bidi="ar"/>
                <w14:textFill>
                  <w14:solidFill>
                    <w14:schemeClr w14:val="tx1"/>
                  </w14:solidFill>
                </w14:textFill>
              </w:rPr>
              <w:t>长效监管制度，定期开展检查工作并做好管护工作。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（1）做好群众动员工作；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（2）做好土地综合整治项目施工过程中纠纷协调解决工作；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（3）存在问题上报县自然资源和规划局，配合做好后期管护。</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开展矿产资源保护和监管工作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（1）维护国有矿山企业和其他矿山企业矿区范围内的正常秩序；</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（3）负责上级自然资源部门委托的普通建筑材料用砂石土采矿权出让、登记。</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（1）对矿产资源开发活动开展日常巡查；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配合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对发现和收到的违法线索进行初步核实、劝告制止及上报；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（3）协助采矿权出让前期相关工作。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开展水利工程建设管理和运行维护工作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（1）规划编制相关水利工程方案，组织水利工程项目申报；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（2）开展水库、堤防、大中型灌区、中小河流治理等相关水利工程建设；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（3）开展水利工程项目阶段验收、竣工验收及移交，前期勘察设计、建设验收等建设工作；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（4）开展水利工程检查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排查、运行维护，水利工程项目后期运行管理指导监督等工作；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（5）做好水利工程质量和安全监督。</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（1）收集各村（社区） 水利建设或维修需求，上报上级部门；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（2）协助做好水利工程前期勘察设计、建设、验收等建设工作；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（3）负责水利工程项目申报以及项目后期运行维护管理，发现问题及时处理整改并上报；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（4）做好水库的降等与报废备案；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（5）做好政府投资</w:t>
            </w:r>
            <w:r>
              <w:rPr>
                <w:rFonts w:hint="eastAsia" w:eastAsia="仿宋_GB2312" w:cs="Times New Roman"/>
                <w:color w:val="000000" w:themeColor="text1"/>
                <w:kern w:val="0"/>
                <w:sz w:val="24"/>
                <w:szCs w:val="24"/>
                <w:lang w:val="en-US" w:eastAsia="zh-CN" w:bidi="ar"/>
                <w14:textFill>
                  <w14:solidFill>
                    <w14:schemeClr w14:val="tx1"/>
                  </w14:solidFill>
                </w14:textFill>
              </w:rPr>
              <w:t>水利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建设项目阶段验收和竣工验收工作；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（6）做好水利工程质量和安全巡查上报、安全管护等工作。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建设项目占用林地审批管理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（1）受理、审核建设项目占用林地使用申请；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（2）做好申请使用的林地用途、范围、面积等内容的公示、审批工作；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（3）做好林地使用的监管工作，督促用地单位在临时占用林地期满后恢复林业生产条件；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（4）对违法使用林地行为进行处置。</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（1）初审、上报林地使用申请；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（2）做好使用林地监管、巡查工作，发现违法使用林地时及时制止并上报。</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49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开展国土调查工作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（1）制定土地调查方案，明确工作要求；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w:t>
            </w:r>
            <w:r>
              <w:rPr>
                <w:rFonts w:hint="eastAsia" w:eastAsia="仿宋_GB2312" w:cs="Times New Roman"/>
                <w:color w:val="000000" w:themeColor="text1"/>
                <w:kern w:val="0"/>
                <w:sz w:val="24"/>
                <w:szCs w:val="24"/>
                <w:lang w:val="en-US" w:eastAsia="zh-CN" w:bidi="ar"/>
                <w14:textFill>
                  <w14:solidFill>
                    <w14:schemeClr w14:val="tx1"/>
                  </w14:solidFill>
                </w14:textFill>
              </w:rPr>
              <w:t>土地</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基础调查、专项调查和监测等工作；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（3）开展业务培训，指导各</w:t>
            </w:r>
            <w:r>
              <w:rPr>
                <w:rFonts w:hint="eastAsia" w:eastAsia="仿宋_GB2312" w:cs="Times New Roman"/>
                <w:color w:val="000000" w:themeColor="text1"/>
                <w:kern w:val="0"/>
                <w:sz w:val="24"/>
                <w:szCs w:val="24"/>
                <w:lang w:val="en-US" w:eastAsia="zh-CN" w:bidi="ar"/>
                <w14:textFill>
                  <w14:solidFill>
                    <w14:schemeClr w14:val="tx1"/>
                  </w14:solidFill>
                </w14:textFill>
              </w:rPr>
              <w:t>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镇开展土地调查工作；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（4）整理汇总国土调查结果，并负责调查结果的监督管理和信息发布。</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（1）开展国土调查宣传工作，动员群众参与；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（2）协助收集辖区内土地利用现状、规划等相关资料；</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（3）协助现</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场调查。</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七、生态环保事项类别（8项）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开展古树名木保护管理工作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自然资源和规划局、综合行政执法局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（1）负责古树名木的普查、认定以及宣传、培训等工作；（2）负责日常巡查，按照保护级别对古树名木养护情况进行定期检查、养护。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对自然资源和规划局移交的破坏古树名木行为案件依法进行处罚。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（1）开展古树名木保护巡查工作，发现异常或违法情况及时上报；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（2）对规定养护范围内的古树名木进行养护；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（3）推广应用古树名木保护科研成果，宣传普及保护知识。    </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开展野生动植物保护工作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（1）组织开展野生动植物保护法律法规宣传工作；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（2）对执法、巡查相关人员开展知识培训和业务指导；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（3）建立巡查机制，开展定期巡查，受理投诉举报并及时查证、处理；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（4）组织开展野生动植物救助工作。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（1）向辖区群众发放宣传资料，普及野生动</w:t>
            </w:r>
            <w:r>
              <w:rPr>
                <w:rFonts w:hint="eastAsia" w:eastAsia="仿宋_GB2312" w:cs="Times New Roman"/>
                <w:color w:val="000000" w:themeColor="text1"/>
                <w:kern w:val="0"/>
                <w:sz w:val="24"/>
                <w:szCs w:val="24"/>
                <w:lang w:val="en-US" w:eastAsia="zh-CN" w:bidi="ar"/>
                <w14:textFill>
                  <w14:solidFill>
                    <w14:schemeClr w14:val="tx1"/>
                  </w14:solidFill>
                </w14:textFill>
              </w:rPr>
              <w:t>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物保护知识；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（2）组织相关人员参加法律法规和专业知识培训；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（3）组织开展日常巡查，发现捕猎、偷盗野生动植物</w:t>
            </w:r>
            <w:r>
              <w:rPr>
                <w:rFonts w:hint="eastAsia" w:eastAsia="仿宋_GB2312" w:cs="Times New Roman"/>
                <w:color w:val="000000" w:themeColor="text1"/>
                <w:kern w:val="0"/>
                <w:sz w:val="24"/>
                <w:szCs w:val="24"/>
                <w:lang w:val="en-US" w:eastAsia="zh-CN" w:bidi="ar"/>
                <w14:textFill>
                  <w14:solidFill>
                    <w14:schemeClr w14:val="tx1"/>
                  </w14:solidFill>
                </w14:textFill>
              </w:rPr>
              <w:t>行为的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及时劝阻并上报行业主管部门；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（4）协助有关部门开展野生动物收容救护。</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防治农作物病虫害</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（1）负责农业植物保护事务性和技术性工作，农作物病虫害防治方案</w:t>
            </w:r>
            <w:r>
              <w:rPr>
                <w:rFonts w:hint="eastAsia" w:eastAsia="仿宋_GB2312" w:cs="Times New Roman"/>
                <w:color w:val="000000" w:themeColor="text1"/>
                <w:kern w:val="0"/>
                <w:sz w:val="24"/>
                <w:szCs w:val="24"/>
                <w:lang w:val="en-US" w:eastAsia="zh-CN" w:bidi="ar"/>
                <w14:textFill>
                  <w14:solidFill>
                    <w14:schemeClr w14:val="tx1"/>
                  </w14:solidFill>
                </w14:textFill>
              </w:rPr>
              <w:t>制定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、应急管理、综合防控技术示范推广等；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（3）负责农药安全使用，农业新技术的引进、试验、示范、推广及培训等</w:t>
            </w:r>
            <w:r>
              <w:rPr>
                <w:rFonts w:hint="eastAsia" w:eastAsia="仿宋_GB2312"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（4）组织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实施重大农作物病虫害的扑灭和预防控制</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（1）开展农作物病虫害的监测，指导农民开展农作物病虫害防治；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（2）上报农业生产及灾害调查统计情况，协助开展有害生物调查和防治工作；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w:t>
            </w:r>
            <w:r>
              <w:rPr>
                <w:rFonts w:hint="eastAsia" w:eastAsia="仿宋_GB2312" w:cs="Times New Roman"/>
                <w:color w:val="000000" w:themeColor="text1"/>
                <w:kern w:val="0"/>
                <w:sz w:val="24"/>
                <w:szCs w:val="24"/>
                <w:lang w:val="en-US" w:eastAsia="zh-CN" w:bidi="ar"/>
                <w14:textFill>
                  <w14:solidFill>
                    <w14:schemeClr w14:val="tx1"/>
                  </w14:solidFill>
                </w14:textFill>
              </w:rPr>
              <w:t>做好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重大农作物病虫害的扑灭和预防控制工作。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开展水土保持工作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（1）开展水土保持宣传工作；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（3）做好水土保持监测工作，督促做好水土流失预防和治理；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（4）开展本行政区域内水土保持工作。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（1）协助开展水土保持宣传工作；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（2）组织动员单位和个人开展植树、种草等封育保护、自然修复建设工作；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做好畜禽养殖污染防治工作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（1）负责畜禽养殖污染防治的统一监督管理；（2）对违反畜禽养殖规定行为</w:t>
            </w:r>
            <w:r>
              <w:rPr>
                <w:rFonts w:hint="eastAsia" w:eastAsia="仿宋_GB2312" w:cs="Times New Roman"/>
                <w:color w:val="000000" w:themeColor="text1"/>
                <w:kern w:val="0"/>
                <w:sz w:val="24"/>
                <w:szCs w:val="24"/>
                <w:lang w:val="en-US" w:eastAsia="zh-CN" w:bidi="ar"/>
                <w14:textFill>
                  <w14:solidFill>
                    <w14:schemeClr w14:val="tx1"/>
                  </w14:solidFill>
                </w14:textFill>
              </w:rPr>
              <w:t>予以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处罚</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跟踪整改。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（1）负责日常巡查；（2）负责畜禽养殖废弃物综合利用的指导和服务；（3）负责畜禽养殖循环经济工作的组织协调。</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（1）负责畜禽养殖污染防治法律法规宣传；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（2）发现畜禽养殖环境污染行为的，及时制止和报告。</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开展水污染防治工作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（1）对疑似水污染进行监测，组织行业管理部门进行处置；（2）督促行业主管部门负责调查评估、责任认定和整改。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（1）负责水资源保护；（2）开展水污染问题整改；（3）明确河长工作职责，建立河长制相关制度</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推进河长制各项工作任务落实；（4）</w:t>
            </w:r>
            <w:r>
              <w:rPr>
                <w:rFonts w:hint="eastAsia" w:eastAsia="仿宋_GB2312" w:cs="Times New Roman"/>
                <w:color w:val="000000" w:themeColor="text1"/>
                <w:kern w:val="0"/>
                <w:sz w:val="24"/>
                <w:szCs w:val="24"/>
                <w:lang w:val="en-US" w:eastAsia="zh-CN" w:bidi="ar"/>
                <w14:textFill>
                  <w14:solidFill>
                    <w14:schemeClr w14:val="tx1"/>
                  </w14:solidFill>
                </w14:textFill>
              </w:rPr>
              <w:t>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饮用水水源保护区或者保护范围的边界设立明确的地理界标、护栏围网和明显的警示标志、宣传标语。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（1）开展水污染防治宣传教育，引导公众依法参与水污染防治；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（2）开展非专业性排查，发现疑似水污染问题及时劝阻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（3）及时上报涉嫌水污染违法情况。</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开展噪声污染防治工作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对产生社会生活噪声的违法违规行为 ，区分情况依法予以查处。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生态环境局：</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噪声污染防治宣传教育，对工业噪声污染防治实施监督管理。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对企业生产、建筑等产生噪音的行为进行认定，对属于噪声污染扰民的违法违规行为，区分情况依法予以查处。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对交通运输部门许可的道路工程建设单位造成的噪声污染的违法违规行为，依法予以查处。</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（1）开展噪声污染防治宣传教育；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（2）统筹网格监管力量，开展日常巡查，发现或收到辖区内群众举报噪声扰民</w:t>
            </w:r>
            <w:r>
              <w:rPr>
                <w:rFonts w:hint="eastAsia" w:eastAsia="仿宋_GB2312" w:cs="Times New Roman"/>
                <w:color w:val="000000" w:themeColor="text1"/>
                <w:kern w:val="0"/>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问题及时劝告制止并上报。</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做好固体废物污染防治工作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柳城</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生态环境局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（1）负责制定固体废物污染防治宣传方案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（2）拟订固体废物以及化学品的污染防治规划，并组织实施；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（3）对固体废物污染环境工作实施统一监督管理，并对违法行为依法进行立案查处。</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（1）开展固体废物污染防治宣传工作；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（2）协助生态环境部门指导企业完成新化学污染物、一般固废（危废）等系统填报及申报备案；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（3）开展非专业性巡查，发现固体废物污染环境行为及时劝阻</w:t>
            </w:r>
            <w:r>
              <w:rPr>
                <w:rFonts w:hint="eastAsia" w:eastAsia="仿宋_GB2312" w:cs="Times New Roman"/>
                <w:color w:val="000000" w:themeColor="text1"/>
                <w:kern w:val="0"/>
                <w:sz w:val="24"/>
                <w:szCs w:val="24"/>
                <w:lang w:val="en-US" w:eastAsia="zh-CN" w:bidi="ar"/>
                <w14:textFill>
                  <w14:solidFill>
                    <w14:schemeClr w14:val="tx1"/>
                  </w14:solidFill>
                </w14:textFill>
              </w:rPr>
              <w:t>并进行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先期处置；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（4）及时上报涉嫌固体废物污染违法情况。</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八、城乡建设事项类别（12项）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开展自建房安全管理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（1）负责常态化开展自建房安全隐患排查；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（2）负责聘请专业机构对存在安全隐患的房屋进行安全鉴定；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（3）负责组织开展自建房安全专项整治工作；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（4）负责建设城镇、农村房屋管理信息平台，推进信息共享，建立健全全链条监管机制。</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（1）开展自建房安全日常宣传、非专业性巡查排查，发现问题及时上报；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（2）负责房屋管理信息平台录入工作；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（3）协助开展自建房安全整治销号。</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59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开展农村危房改造工作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负责认定农村低保户、农村分散供养特困人员、农村低保边缘家庭、农村刚性支出困难家庭。</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负责安排农村危房改造补助资金，加强资金使用监管。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负责统筹推进农村危房改造工作，组织开展房屋安全性鉴定、农房建设管理和培训等工作，组织开展危房改造项目验收。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会同有关部门负责认定因病因灾因意外事故等刚性支出较大或收入大幅缩减导致基本生活出现严重困难家庭，认定易返贫致贫户（即防止返贫监测对象）和符合条件的其他脱贫户。</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（1）开展农村危房</w:t>
            </w:r>
            <w:r>
              <w:rPr>
                <w:rFonts w:hint="eastAsia" w:eastAsia="仿宋_GB2312" w:cs="Times New Roman"/>
                <w:color w:val="000000" w:themeColor="text1"/>
                <w:kern w:val="0"/>
                <w:sz w:val="24"/>
                <w:szCs w:val="24"/>
                <w:lang w:val="en-US" w:eastAsia="zh-CN" w:bidi="ar"/>
                <w14:textFill>
                  <w14:solidFill>
                    <w14:schemeClr w14:val="tx1"/>
                  </w14:solidFill>
                </w14:textFill>
              </w:rPr>
              <w:t>改造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政策宣传、做好危房排查；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（2）负责农村危房改造项目申请初审；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（3）指导监督农村危房改造项目建设；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（4）参与农村危房改造项目验收。</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办理农用地转用审批</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（2）受理群众举报和投诉，制止和处置涉及农用地转用的各类违法违规行为，</w:t>
            </w:r>
            <w:r>
              <w:rPr>
                <w:rFonts w:hint="eastAsia" w:eastAsia="仿宋_GB2312" w:cs="Times New Roman"/>
                <w:color w:val="000000" w:themeColor="text1"/>
                <w:kern w:val="0"/>
                <w:sz w:val="24"/>
                <w:szCs w:val="24"/>
                <w:lang w:val="en-US" w:eastAsia="zh-CN" w:bidi="ar"/>
                <w14:textFill>
                  <w14:solidFill>
                    <w14:schemeClr w14:val="tx1"/>
                  </w14:solidFill>
                </w14:textFill>
              </w:rPr>
              <w:t>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止违法用地行为；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（3）负责违法用地、违法建设等行为的执法工作；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（4）负责农用地转用占用林地情况审核，出具审核意见。</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（1）收集需要建房农户办理建设用地农用地转用的材料，并初步审核地类；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（2）组织完善用地报批材料，报自然资源部门进行审查；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w:t>
            </w:r>
            <w:r>
              <w:rPr>
                <w:rFonts w:hint="eastAsia" w:eastAsia="仿宋_GB2312" w:cs="Times New Roman"/>
                <w:color w:val="000000" w:themeColor="text1"/>
                <w:kern w:val="0"/>
                <w:sz w:val="24"/>
                <w:szCs w:val="24"/>
                <w:lang w:val="en-US" w:eastAsia="zh-CN" w:bidi="ar"/>
                <w14:textFill>
                  <w14:solidFill>
                    <w14:schemeClr w14:val="tx1"/>
                  </w14:solidFill>
                </w14:textFill>
              </w:rPr>
              <w:t>获批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用地建设的跟踪服务；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（4）做好日常巡查工作，发现有非法占用情况及时上报。</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做好电力设施和电能保护</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依法查处哄抢、盗窃、破坏电力设施、非法收购废旧电力设施器材的行为和危害电力设施安全的案件。</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（1）协助做好电力设施保护宣传工作；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（2）发现危害电力设施的行为及时上报；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（3）配合做好涉及电力设施保护的纠纷调处。</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开展行政区划、界线、地名管理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（1）承担行政区划管理工作，负责乡级行政区划调整，以及乡镇人民政府驻地迁移的组织申报；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（2）负责行政区域界线的勘定和管理，指导乡级行政区域界线联检；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（3）负责地名管理工作，依法加强对地名的命名、更名、使用、文化保护的监督检查；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（4）对未使用或者未规范使用标准地名，擅自设置、拆除、移动、涂改、遮挡、损毁地名标志，故意损毁或者擅自移动界桩或者其他行政区域界线标志物等行为进行处罚。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（1）协助做好行政区划、行政区域界线和地名管理的有关政策落实；</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（2）配合做好界桩管护、变更、镇驻地迁移以及镇的设立和调处行政界线争议；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（3）定期对行政区域界线、界桩进行巡查，发现问题及时上报。</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开展农村能源建设与管理工作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（2）负责本行政区域内农村能源建设与管理工作；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（3）负责做好业务指导；</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（4）提供技术支持。</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（3）加强安全生产管理。</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实施农田水利建设和管理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（1）负责编制本行政区域农田水利建设规划，统筹管理农田水利建设工作；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（2）制定农田水利工程建设实施计划，统筹协调有关部门单位安排的与农田水利有关的各类工程项目建设；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（3）负责组织实施农田水利工程建设工作，加强对农田水利建设的监督管理；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（4）负责对破坏农田水利建设违法行为进行查处。</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（1）负责农田水利工程法规制度宣传；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（2）参与农田水利工程建设和运行维护，指导村级组织做好所属农田水利设施管护；</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（3）发现破坏农田水利设施的</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（4）协助做好农田水利工程验收。</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开展农村厕所革命</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（1）负责制定全县户厕改造实施方案</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（2）负责农村无害化卫生户厕建设、改造和复核验收；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（3）负责奖补对象审核、资金发放；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（4）负责业务指导、督导落实、抽查复核。</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农村厕所革命政策宣传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（2）开展农村厕所实地入户摸排登记、数据录入建库、问题梳理分类、台账建立完善等；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（3）开展农村户厕改造奖补申请与验收。</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预防非职业性一氧化碳中毒</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协助有关部门做好相关处置工作。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对使用燃煤取暖的建筑施工工地、民工宿舍等场所开展燃气安全隐患排查整治。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做好非职业性一氧化碳中毒事件的救治和信息报告工作，开展预防非职业性一氧化碳中毒科普宣传教育。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指导各类学校做好预防非职业性一氧化碳中毒教育和防范工作。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利用广播电视等媒体积极开展科普宣传和警示教育工作。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做好对有关生产经营单位的监管和统筹协调工作，做好事件发生后的应急救</w:t>
            </w:r>
            <w:r>
              <w:rPr>
                <w:rFonts w:hint="eastAsia" w:eastAsia="仿宋_GB2312" w:cs="Times New Roman"/>
                <w:color w:val="000000" w:themeColor="text1"/>
                <w:kern w:val="0"/>
                <w:sz w:val="24"/>
                <w:szCs w:val="24"/>
                <w:lang w:val="en-US" w:eastAsia="zh-CN" w:bidi="ar"/>
                <w14:textFill>
                  <w14:solidFill>
                    <w14:schemeClr w14:val="tx1"/>
                  </w14:solidFill>
                </w14:textFill>
              </w:rPr>
              <w:t>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工作。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负责有关产品的质量安全检查和执法打假工作，打击相关市场非法经营和销售假冒伪劣商品工作。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负责做好易引起非职业性一氧化碳中毒天气的预测预警工作，并多渠道开展防范冬春一氧化碳中毒宣传。</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（1）负责居民防范非职业性一氧化碳中毒的科普宣传教育；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（2）开展燃气安全隐患排查；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（3）开展燃气安全事故先期处置，通知医疗机构，赶赴现场</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前期救援，并上报县级部门。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开展排水与污水处理工作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（1）统筹安排城镇污水集中处理设施及配套管网建设，提高本行政区域城镇污水的收集率和处理率；</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（2）负责本行政区域内城镇排水与污水处理的监督管理工作；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（3）保障移交的农村生活污水设施的正常运行；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（4）负责开展污水排放专业性排查；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（5）负责污水处理项目申报；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（6）负责污水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项目实施和监督管理。</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（1）开展污水</w:t>
            </w:r>
            <w:r>
              <w:rPr>
                <w:rFonts w:hint="eastAsia" w:eastAsia="仿宋_GB2312" w:cs="Times New Roman"/>
                <w:color w:val="000000" w:themeColor="text1"/>
                <w:kern w:val="0"/>
                <w:sz w:val="24"/>
                <w:szCs w:val="24"/>
                <w:lang w:val="en-US" w:eastAsia="zh-CN" w:bidi="ar"/>
                <w14:textFill>
                  <w14:solidFill>
                    <w14:schemeClr w14:val="tx1"/>
                  </w14:solidFill>
                </w14:textFill>
              </w:rPr>
              <w:t>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项目</w:t>
            </w:r>
            <w:r>
              <w:rPr>
                <w:rFonts w:hint="eastAsia" w:eastAsia="仿宋_GB2312" w:cs="Times New Roman"/>
                <w:color w:val="000000" w:themeColor="text1"/>
                <w:kern w:val="0"/>
                <w:sz w:val="24"/>
                <w:szCs w:val="24"/>
                <w:lang w:val="en-US" w:eastAsia="zh-CN" w:bidi="ar"/>
                <w14:textFill>
                  <w14:solidFill>
                    <w14:schemeClr w14:val="tx1"/>
                  </w14:solidFill>
                </w14:textFill>
              </w:rPr>
              <w:t>政策宣传及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用地协调工作；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（2）开展排水、污水管网的规划建设工作；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（3）做好污水处理设施日常运行监管工作。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68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负责不动产权籍调查及登记工作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（1）做好法律法规宣传贯彻实施工作；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（2）开展全县不动产权属调查和不动产测量核实、统计工作；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（3）做好调查登记和不动产权籍证书发放工作；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（4）做好不动产权籍调查和登记信息的数据管理与服务工作。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（2）配合做好本辖区不动产权籍调查的实地核查、信息采集工作；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（3）协助做好不动产权籍登记资料收集上报、证书发放工作。</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69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开展公共租赁住房实物配租申请工作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县住房城乡建设局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）组织开展公共租赁住房补贴政策宣传；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）组织开展对申请公共租赁住房申请人情况进行核查、复审；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）将复审符合保障条件的申请人情况进行公示；对不符合申请条件的，书面通知并说明理由；</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）落实符合条件的申请人公共租赁住房补贴配租相关政策；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5</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）建立健全监督制度，确保相关公共租赁住房政策落实到位。</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）开展公共租赁住房补贴政策宣传；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）对申请公共租赁住房申请人的情况进行初审；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）经初审符合条件的，将初审意见提交县级主管部门；不符合条件的，在初审完成后告知申请人；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24"/>
                <w:szCs w:val="24"/>
                <w:lang w:val="en-US" w:eastAsia="zh-CN" w:bidi="ar"/>
                <w14:textFill>
                  <w14:solidFill>
                    <w14:schemeClr w14:val="tx1"/>
                  </w14:solidFill>
                </w14:textFill>
              </w:rPr>
              <w:t>）协助将县级复审符合条件的申请人情况予以公示，并落实公共租赁住房配租补贴相关政策。</w:t>
            </w:r>
          </w:p>
        </w:tc>
      </w:tr>
      <w:tr>
        <w:tblPrEx>
          <w:tblCellMar>
            <w:top w:w="28" w:type="dxa"/>
            <w:left w:w="57" w:type="dxa"/>
            <w:bottom w:w="28" w:type="dxa"/>
            <w:right w:w="57" w:type="dxa"/>
          </w:tblCellMar>
        </w:tblPrEx>
        <w:trPr>
          <w:gridAfter w:val="1"/>
          <w:wAfter w:w="4" w:type="pct"/>
          <w:cantSplit/>
          <w:trHeight w:val="574"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九、交通运输事项类别（2项）</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开展道路交通安全管理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（1）负责路面执法管理，优化执法措施；（2）开展道路交通安全宣传教育，对道路交通安全违法行为进行劝导、纠正和处罚。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（1）组织开展道路交通相关基础数据摸排；（2）开展安全隐患消除和保障道路安全的相关工作。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（1）按照有关安全技术标准或检验技术规范，按规定期限对农业机械进行安全技术检验；（2）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农业机械事故现场及善后处理，农业机械事故责任认定和调解处理。</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（1）开展道路交通安全宣传教育；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（2）配合开展道路交通相关基础数据收集整理；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（3）劝导道路交通安全违法行为，排查上报各类道路交通安全隐患；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（4）协助开展安全隐患消除和保障道路安全的相关工作；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开展新增农村客运班线通行条件审核工作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（1）建立新增农村客运班线联合审核机制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（2）开展农村客运班线通行条件审核工作；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（3）科学设置中途停靠站点，公布农村客运班线信息，明确配套支持政策。</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（1）调查群众的出行需求和道路交通环境；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（2）参与农村客运班线开通、停靠站点设置、安全运营管理的联合审核工作；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（3）对需途经等外公路的农村客运班线，提出限制性要求。</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914"/>
              </w:tabs>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十、商贸流通事项类别（2项）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促进农村电子商务发展</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（1）负责本行政区域内农村电子商务服务体系建设工作；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（2）负责整合资源组织开展电子商务培训、节庆推广等活动；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（3）负责培育壮大农村电子商务人才队伍；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（4）统筹建设农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村寄递物流、冷链物流、电子商务、物流支撑“四大”体系，按照应建尽建的要求，建设村级寄递物</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流综合服务站、中心乡镇寄递物流中转站。</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（1）开展本镇电商消费产品资源调查；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（2）参与农村电商服务站点建设；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（3）动员群众参加电商培训，组织开展产销对接、节庆推广等活动。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开展粮食收储工作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发展改革局、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（1）负责按时下达或核拨兑付补贴资金、办理补贴；（2）</w:t>
            </w:r>
            <w:r>
              <w:rPr>
                <w:rFonts w:hint="eastAsia" w:eastAsia="仿宋_GB2312" w:cs="Times New Roman"/>
                <w:color w:val="000000" w:themeColor="text1"/>
                <w:kern w:val="0"/>
                <w:sz w:val="24"/>
                <w:szCs w:val="24"/>
                <w:lang w:val="en-US" w:eastAsia="zh-CN" w:bidi="ar"/>
                <w14:textFill>
                  <w14:solidFill>
                    <w14:schemeClr w14:val="tx1"/>
                  </w14:solidFill>
                </w14:textFill>
              </w:rPr>
              <w:t>开展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资金结算、</w:t>
            </w:r>
            <w:r>
              <w:rPr>
                <w:rFonts w:hint="eastAsia" w:eastAsia="仿宋_GB2312" w:cs="Times New Roman"/>
                <w:color w:val="000000" w:themeColor="text1"/>
                <w:kern w:val="0"/>
                <w:sz w:val="24"/>
                <w:szCs w:val="24"/>
                <w:lang w:val="en-US" w:eastAsia="zh-CN" w:bidi="ar"/>
                <w14:textFill>
                  <w14:solidFill>
                    <w14:schemeClr w14:val="tx1"/>
                  </w14:solidFill>
                </w14:textFill>
              </w:rPr>
              <w:t>结余资金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退回自治区粮食风险基金专户，加强补贴资金安全使用。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发展改革局：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（1）督促粮食收购企业负责收购交售的粮食，及时兑付售粮款；（2）负责审核粮食收购企业名单和粮食收购企</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业在“一卡通”管理系统上报的信息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，监督检查粮食收购工作，督促粮食收购企业根据《粮食委托收购合同》收购粮食</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负责制定粮食生产计划，组织开展粮食生产，提高粮食产量。</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（1）向群众宣传售粮补贴政策；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（2）将县级下达的粮食收购计划进行分解，按要求进行粮食收储补贴资金申报。</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十一、文化和旅游事项类别（5项）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做好对娱乐场所经营活动的监管</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（1）负责互联网上网服务营业场所经营单位设立审批；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（2）开展网吧经营场所巡查，对未经许可擅自从事互联网上网服务营业活动</w:t>
            </w:r>
            <w:r>
              <w:rPr>
                <w:rFonts w:hint="eastAsia" w:eastAsia="仿宋_GB2312" w:cs="Times New Roman"/>
                <w:color w:val="000000" w:themeColor="text1"/>
                <w:kern w:val="0"/>
                <w:sz w:val="24"/>
                <w:szCs w:val="24"/>
                <w:lang w:val="en-US" w:eastAsia="zh-CN" w:bidi="ar"/>
                <w14:textFill>
                  <w14:solidFill>
                    <w14:schemeClr w14:val="tx1"/>
                  </w14:solidFill>
                </w14:textFill>
              </w:rPr>
              <w:t>的行为进行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（3）负责营业性演出、娱乐场所设立的申请</w:t>
            </w:r>
            <w:r>
              <w:rPr>
                <w:rFonts w:hint="eastAsia" w:eastAsia="仿宋_GB2312" w:cs="Times New Roman"/>
                <w:color w:val="000000" w:themeColor="text1"/>
                <w:kern w:val="0"/>
                <w:sz w:val="24"/>
                <w:szCs w:val="24"/>
                <w:lang w:val="en-US" w:eastAsia="zh-CN" w:bidi="ar"/>
                <w14:textFill>
                  <w14:solidFill>
                    <w14:schemeClr w14:val="tx1"/>
                  </w14:solidFill>
                </w14:textFill>
              </w:rPr>
              <w:t>受理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、审批；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（4）对营业性演出</w:t>
            </w:r>
            <w:r>
              <w:rPr>
                <w:rFonts w:hint="eastAsia" w:eastAsia="仿宋_GB2312" w:cs="Times New Roman"/>
                <w:color w:val="000000" w:themeColor="text1"/>
                <w:kern w:val="0"/>
                <w:sz w:val="24"/>
                <w:szCs w:val="24"/>
                <w:lang w:val="en-US" w:eastAsia="zh-CN" w:bidi="ar"/>
                <w14:textFill>
                  <w14:solidFill>
                    <w14:schemeClr w14:val="tx1"/>
                  </w14:solidFill>
                </w14:textFill>
              </w:rPr>
              <w:t>活动进行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（5）对擅自从事娱乐场所经营活动的</w:t>
            </w:r>
            <w:r>
              <w:rPr>
                <w:rFonts w:hint="eastAsia" w:eastAsia="仿宋_GB2312" w:cs="Times New Roman"/>
                <w:color w:val="000000" w:themeColor="text1"/>
                <w:kern w:val="0"/>
                <w:sz w:val="24"/>
                <w:szCs w:val="24"/>
                <w:lang w:val="en-US" w:eastAsia="zh-CN" w:bidi="ar"/>
                <w14:textFill>
                  <w14:solidFill>
                    <w14:schemeClr w14:val="tx1"/>
                  </w14:solidFill>
                </w14:textFill>
              </w:rPr>
              <w:t>行为进行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查处。</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（1）开展网吧经营场所巡查；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（2）发现未经许可擅自从事互联网上网服务的营业场所及时报告；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（3）发现未经许可擅自从事娱乐经营活动行为的及时报告；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（4）发现擅自从事营业性演出行为及时报告。</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做好旅游业发展和监督管理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（1）统筹协调本行政区域的旅游业发展和监督管理</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（2）对酒店、旅行社经营与服务行为</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（3）组织有关部门开展本行政区域内的旅游资源普查、评估，建立旅游资源数据库，实行动态管理，协调旅游资源开发和保护工作。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（1）开展本镇旅游</w:t>
            </w:r>
            <w:r>
              <w:rPr>
                <w:rFonts w:hint="eastAsia" w:eastAsia="仿宋_GB2312" w:cs="Times New Roman"/>
                <w:color w:val="000000" w:themeColor="text1"/>
                <w:kern w:val="0"/>
                <w:sz w:val="24"/>
                <w:szCs w:val="24"/>
                <w:lang w:val="en-US" w:eastAsia="zh-CN" w:bidi="ar"/>
                <w14:textFill>
                  <w14:solidFill>
                    <w14:schemeClr w14:val="tx1"/>
                  </w14:solidFill>
                </w14:textFill>
              </w:rPr>
              <w:t>产业</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宣传；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（2）协助开展旅游资源摸底、开发、保护工作；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（3）开展本镇旅行社、酒店、景点日常巡查，发现问题督促整改，并及时报告上级部门。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委宣传部，</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委</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宣传部：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负责统筹协调“扫黄打非”工作。</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教育局：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负责校园“扫黄打非”宣传教育。</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公安局：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负责查处、收缴非法出版物，打击非法出版等违法犯罪行为。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文化体育广电旅游局：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负责对文化场所进行日常监管，发现并及时处理违规经营行为。</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eastAsia" w:ascii="仿宋_GB2312" w:hAnsi="仿宋_GB2312" w:eastAsia="仿宋_GB2312" w:cs="仿宋_GB2312"/>
                <w:b/>
                <w:bCs/>
                <w:color w:val="000000" w:themeColor="text1"/>
                <w:kern w:val="0"/>
                <w:sz w:val="24"/>
                <w:szCs w:val="24"/>
                <w:lang w:val="en-US" w:eastAsia="zh-CN" w:bidi="ar"/>
                <w14:textFill>
                  <w14:solidFill>
                    <w14:schemeClr w14:val="tx1"/>
                  </w14:solidFill>
                </w14:textFill>
              </w:rPr>
              <w:t>市场监管局：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负责监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管市场主体，打击无照经营和违法广告等行为。</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展“扫黄打非”政策知识普及和主题宣传活动；</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（2）排</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查是否销售淫秽色情、凶杀暴力、封建迷信、宣传毒品等违禁内容的图书、音像制品、电子出版物、游戏软件</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等相关情况</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，发现相关线索及时上报；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w:t>
            </w:r>
            <w:r>
              <w:rPr>
                <w:rFonts w:hint="default" w:ascii="仿宋_GB2312" w:hAnsi="仿宋_GB2312" w:eastAsia="仿宋_GB2312" w:cs="仿宋_GB2312"/>
                <w:color w:val="000000" w:themeColor="text1"/>
                <w:kern w:val="0"/>
                <w:sz w:val="24"/>
                <w:szCs w:val="24"/>
                <w:lang w:val="en-US" w:eastAsia="zh-CN" w:bidi="ar"/>
                <w14:textFill>
                  <w14:solidFill>
                    <w14:schemeClr w14:val="tx1"/>
                  </w14:solidFill>
                </w14:textFill>
              </w:rPr>
              <w:t>“扫黄打非”群防群治，发动群众参与“扫黄打非”工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作，发现问题及时举报。</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开展文物保护监督管理工作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（1）开展文物保护的宣传教育；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w:t>
            </w:r>
            <w:r>
              <w:rPr>
                <w:rFonts w:hint="eastAsia" w:eastAsia="仿宋_GB2312" w:cs="Times New Roman"/>
                <w:color w:val="000000" w:themeColor="text1"/>
                <w:kern w:val="0"/>
                <w:sz w:val="24"/>
                <w:szCs w:val="24"/>
                <w:lang w:val="en-US" w:eastAsia="zh-CN" w:bidi="ar"/>
                <w14:textFill>
                  <w14:solidFill>
                    <w14:schemeClr w14:val="tx1"/>
                  </w14:solidFill>
                </w14:textFill>
              </w:rPr>
              <w:t>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指导文物的抢救、考古调查、勘探发掘</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文物修复、征集、鉴定、登编、收藏和保管、安全等工作；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（3）统筹指导推进文物普查工作，协调解决普查中的重大问题；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（4）履行文物行政执法督查职责，依法查处本行政区域内的文物违法行为。</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（1）协助做好文物保护法律法规宣传；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（2）开展文物保护单位周边环境治理；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（3）参与文物普查工作。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非物质文化遗产保护传承</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（1）开展非物质文化遗产的保护、传承和管理工作；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（2）组织开展非物质文化遗产普查工作，对非物质文化遗产进行真实、系统和全面地记录，建立档案；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（3）负责落实非物质文化遗产代表作名录和传承人的申报工作。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（1）开展非物质文化遗产法律法规政策宣传；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（2）做好全国文化和自然遗产日非遗宣传；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（3）协助开展非物质文化遗产调查、申报和保护工作。</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37"/>
              </w:tabs>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十二、卫生健康事项类别（2项）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79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开展疾病预防及传染病防控工作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（1）制定传染病防治规划并组织实施，建立健全传染病防治的疾病预防控制、医疗救治和监督管理体系；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（2）负责职业病防治的监督管理工作，定期开展职业病预防和检测；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（4）制定并组织实施艾滋病防治行动计划，定期对艾滋病防治工作进行监督。</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（1）开展职业病、传染病等疾病预防知识宣传工作；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（2）向疾病预防控制部门提供本辖区用人单位、用人规模、单位地址等涉及职业病、传染病预防的相关信息；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（3）发现突发疾病、疫情及时上报疾控部门，做好社区防控工作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开展卫生监督工作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（1）健全卫生健康综合监督体系；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（3）负责采供血和临床用血质量的监督；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（4）对违法违规行为进行查处。</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（1）开展辖区内卫生健康法律法规宣传；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（2）发现违法问题及时上报；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十三、应急管理及消防事项类别（5项）</w:t>
            </w:r>
          </w:p>
        </w:tc>
      </w:tr>
      <w:tr>
        <w:tblPrEx>
          <w:tblCellMar>
            <w:top w:w="28" w:type="dxa"/>
            <w:left w:w="57" w:type="dxa"/>
            <w:bottom w:w="28" w:type="dxa"/>
            <w:right w:w="57" w:type="dxa"/>
          </w:tblCellMar>
        </w:tblPrEx>
        <w:trPr>
          <w:gridAfter w:val="1"/>
          <w:wAfter w:w="4" w:type="pct"/>
          <w:cantSplit/>
          <w:trHeight w:val="585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开展防汛抗旱、防台、防震、防雨雪冰冻、防地质灾害等自然灾害防范处置工作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交通运输局、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水利局、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负责地质灾害防治的组织、协调、指导和监督工作。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（1）负责建筑工地防御预警发布；（2）负责自建房屋隐患监测整治，督促检查物业小区防涝</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水利局：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（1）负责水位监测、工程调度，组织力量对河湖堤坝进行巡查；（2）负责抗旱应急水源、应急设施和基础设施建设。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负责灾害发生地区疾病预防控制、医疗救护和卫生监督执法。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交通运输局：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负责开展救灾物资、人员运输与重要通道快速修复。</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（1）负责做好气象监测和预报工作；（2）负责实施人工增雨作业。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（1）开展宣传教育，提升群众自救能力，制定应急预案和调度方案，建立辖区风险隐患点清单；</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（2）组建镇抢险救援力量，组织开展日常演练，做好人防、物防等准备工作；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（3）开展辖区内低洼易涝点、江河堤防、山塘水库、山洪和地质灾害危险区</w:t>
            </w:r>
            <w:r>
              <w:rPr>
                <w:rFonts w:hint="eastAsia" w:eastAsia="仿宋_GB2312" w:cs="Times New Roman"/>
                <w:color w:val="000000" w:themeColor="text1"/>
                <w:kern w:val="0"/>
                <w:sz w:val="24"/>
                <w:szCs w:val="24"/>
                <w:lang w:val="en-US" w:eastAsia="zh-CN" w:bidi="ar"/>
                <w14:textFill>
                  <w14:solidFill>
                    <w14:schemeClr w14:val="tx1"/>
                  </w14:solidFill>
                </w14:textFill>
              </w:rPr>
              <w:t>、易发区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等风险隐患点巡查巡护、隐患排查；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（4）做好值班值守、信息报送、转发气象预警信息；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（5）出现险情时，及时组织受灾害威胁的居民及其他人员转移到安全地带；</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（6）发生灾情时，组织转移安置受灾群众，做好受灾群众生活安排，及时发放上级下拨的救助经费和物资；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（7）组织开展灾后受灾群众的生产生活恢复工作。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开展安全生产工作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（1）负责编制突发事件应急处置预案组织开展演练；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（2）负责</w:t>
            </w:r>
            <w:r>
              <w:rPr>
                <w:rFonts w:hint="eastAsia" w:eastAsia="仿宋_GB2312" w:cs="Times New Roman"/>
                <w:color w:val="000000" w:themeColor="text1"/>
                <w:kern w:val="0"/>
                <w:sz w:val="24"/>
                <w:szCs w:val="24"/>
                <w:lang w:val="en-US" w:eastAsia="zh-CN" w:bidi="ar"/>
                <w14:textFill>
                  <w14:solidFill>
                    <w14:schemeClr w14:val="tx1"/>
                  </w14:solidFill>
                </w14:textFill>
              </w:rPr>
              <w:t>安全生产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教育、培训</w:t>
            </w:r>
            <w:r>
              <w:rPr>
                <w:rFonts w:hint="eastAsia" w:eastAsia="仿宋_GB2312" w:cs="Times New Roman"/>
                <w:color w:val="000000" w:themeColor="text1"/>
                <w:kern w:val="0"/>
                <w:sz w:val="24"/>
                <w:szCs w:val="24"/>
                <w:lang w:val="en-US" w:eastAsia="zh-CN" w:bidi="ar"/>
                <w14:textFill>
                  <w14:solidFill>
                    <w14:schemeClr w14:val="tx1"/>
                  </w14:solidFill>
                </w14:textFill>
              </w:rPr>
              <w:t>，制定安全生产工作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规划</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并组织实施，负责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安全生产综合监管工作；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（3）负责辖区各行业生产经营事故的统计上报工作；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（4）负责安全生产信用体系建设、安全生产隐患举报投诉查处工作；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（5）负责应急值守和信息报送工作。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（2）配合相关部门定期开展重点检查，着重开</w:t>
            </w:r>
            <w:r>
              <w:rPr>
                <w:rFonts w:hint="eastAsia" w:ascii="仿宋_GB2312" w:hAnsi="仿宋_GB2312" w:eastAsia="仿宋_GB2312" w:cs="仿宋_GB2312"/>
                <w:color w:val="000000" w:themeColor="text1"/>
                <w:kern w:val="0"/>
                <w:sz w:val="24"/>
                <w:szCs w:val="24"/>
                <w:lang w:val="en-US" w:eastAsia="zh-CN" w:bidi="ar"/>
                <w14:textFill>
                  <w14:solidFill>
                    <w14:schemeClr w14:val="tx1"/>
                  </w14:solidFill>
                </w14:textFill>
              </w:rPr>
              <w:t>展“九小场所”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、农家乐、经营性自建房等风险隐患排查，推动落实生产经营单位主动自查等制度，发现安全隐患及时上报并督促整改；</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（3）安全生产事故发生后，迅速启动应急预案，并组织群众疏散撤离；</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（4）指导村（居）民委员会开展安全生产相关工作。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开展森林防火灭火工作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民政局、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财政局、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应急管理局、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气象局、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应急管理局：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（1）负责综合指导森林火灾防控工作；（2）负责牵头开展火灾预警监测和信息发布；（3）负责组织指导协调火灾扑救。</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（1）负责火灾预防；（2）负责</w:t>
            </w:r>
            <w:r>
              <w:rPr>
                <w:rFonts w:hint="eastAsia" w:eastAsia="仿宋_GB2312" w:cs="Times New Roman"/>
                <w:color w:val="000000" w:themeColor="text1"/>
                <w:kern w:val="0"/>
                <w:sz w:val="24"/>
                <w:szCs w:val="24"/>
                <w:lang w:val="en-US" w:eastAsia="zh-CN" w:bidi="ar"/>
                <w14:textFill>
                  <w14:solidFill>
                    <w14:schemeClr w14:val="tx1"/>
                  </w14:solidFill>
                </w14:textFill>
              </w:rPr>
              <w:t>森森</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防火巡护、火源管理、日常检查、宣传教育、防火设施建设和火情早期处理等</w:t>
            </w:r>
            <w:r>
              <w:rPr>
                <w:rFonts w:hint="eastAsia" w:eastAsia="仿宋_GB2312" w:cs="Times New Roman"/>
                <w:color w:val="000000" w:themeColor="text1"/>
                <w:kern w:val="0"/>
                <w:sz w:val="24"/>
                <w:szCs w:val="24"/>
                <w:lang w:val="en-US" w:eastAsia="zh-CN" w:bidi="ar"/>
                <w14:textFill>
                  <w14:solidFill>
                    <w14:schemeClr w14:val="tx1"/>
                  </w14:solidFill>
                </w14:textFill>
              </w:rPr>
              <w:t>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负责火场警戒、交通疏导、治安维护、火案侦破。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民政局：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（1）负责教育、引导公民文明祭祀，加强殡仪馆、公墓等殡葬服务机构内火源管理；（2）</w:t>
            </w:r>
            <w:r>
              <w:rPr>
                <w:rFonts w:hint="eastAsia" w:eastAsia="仿宋_GB2312" w:cs="Times New Roman"/>
                <w:color w:val="000000" w:themeColor="text1"/>
                <w:kern w:val="0"/>
                <w:sz w:val="24"/>
                <w:szCs w:val="24"/>
                <w:lang w:val="en-US" w:eastAsia="zh-CN" w:bidi="ar"/>
                <w14:textFill>
                  <w14:solidFill>
                    <w14:schemeClr w14:val="tx1"/>
                  </w14:solidFill>
                </w14:textFill>
              </w:rPr>
              <w:t>负责将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财政局：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负责对森林火灾预防和扑救、增强森林防火能力所需经费给予必要保障。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气象局：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负责组织开展人工影响天气作业，降低森林火险等级。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承担森林火灾扑救任务和预防相关工作。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（1）负责森林防火的宣传，组织参加防火救火培训，执行森林防火巡查，发现问题及时上报；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（2）制定森林防灭火应急预案，开展演练，做好值班值守；</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（3）划分网格，组建护林员队伍和防火灭火力量，储备必要的灭火物资；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（4）发现火情，组织群众疏散撤离，立即上报火灾地点、火势大小以及是否有人被困等信息；</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（5）在火势较小、保证安全的前提下，先行组织进行初期扑救。</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84</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开展消防安全工作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（1）组织开展火灾隐患排查和</w:t>
            </w:r>
            <w:r>
              <w:rPr>
                <w:rFonts w:hint="eastAsia" w:eastAsia="仿宋_GB2312" w:cs="Times New Roman"/>
                <w:color w:val="000000" w:themeColor="text1"/>
                <w:kern w:val="0"/>
                <w:sz w:val="24"/>
                <w:szCs w:val="24"/>
                <w:lang w:val="en-US" w:eastAsia="zh-CN" w:bidi="ar"/>
                <w14:textFill>
                  <w14:solidFill>
                    <w14:schemeClr w14:val="tx1"/>
                  </w14:solidFill>
                </w14:textFill>
              </w:rPr>
              <w:t>消防安全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宣传教育，开展消防安全检查和专项治理；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（2）组织有关部门制定整改措施，督促限期消除</w:t>
            </w:r>
            <w:r>
              <w:rPr>
                <w:rFonts w:hint="eastAsia" w:eastAsia="仿宋_GB2312" w:cs="Times New Roman"/>
                <w:color w:val="000000" w:themeColor="text1"/>
                <w:kern w:val="0"/>
                <w:sz w:val="24"/>
                <w:szCs w:val="24"/>
                <w:lang w:val="en-US" w:eastAsia="zh-CN" w:bidi="ar"/>
                <w14:textFill>
                  <w14:solidFill>
                    <w14:schemeClr w14:val="tx1"/>
                  </w14:solidFill>
                </w14:textFill>
              </w:rPr>
              <w:t>隐患</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（3）组织灭火救援；</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（4）开展微型消防站日常管理工作。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（1）开展有针对性的消防宣传教育，预防火灾发生，发现问题并上报；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（2）按照综合应急预案，开展消防演练；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（3）对易发现、易处置的公共场所消防安全隐患开展日常排查，发现问题及时制止，并上报消防救援部门；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（4）发生火情及时组织群众疏散，协助灭火救援相关工作；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（5）指导村（居）民委员会开展群众性的消防工作；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（6）明确专员开展消防安全管理工作。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85</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开展燃气安全排查整治</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（1）负责燃气安全宣传工作；（2）建立健全燃气管理工作机制</w:t>
            </w:r>
            <w:r>
              <w:rPr>
                <w:rFonts w:hint="eastAsia" w:eastAsia="仿宋_GB2312" w:cs="Times New Roman"/>
                <w:color w:val="000000" w:themeColor="text1"/>
                <w:kern w:val="0"/>
                <w:sz w:val="24"/>
                <w:szCs w:val="24"/>
                <w:lang w:val="en-US" w:eastAsia="zh-CN" w:bidi="ar"/>
                <w14:textFill>
                  <w14:solidFill>
                    <w14:schemeClr w14:val="tx1"/>
                  </w14:solidFill>
                </w14:textFill>
              </w:rPr>
              <w:t>并执行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；（3）统筹解决燃气事业发展、加气站点等的规划布局；（4）指导督促乡镇对燃气配送网点的经营安全</w:t>
            </w:r>
            <w:r>
              <w:rPr>
                <w:rFonts w:hint="eastAsia" w:eastAsia="仿宋_GB2312" w:cs="Times New Roman"/>
                <w:color w:val="000000" w:themeColor="text1"/>
                <w:kern w:val="0"/>
                <w:sz w:val="24"/>
                <w:szCs w:val="24"/>
                <w:lang w:val="en-US" w:eastAsia="zh-CN" w:bidi="ar"/>
                <w14:textFill>
                  <w14:solidFill>
                    <w14:schemeClr w14:val="tx1"/>
                  </w14:solidFill>
                </w14:textFill>
              </w:rPr>
              <w:t>进行</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监督管理</w:t>
            </w:r>
            <w:r>
              <w:rPr>
                <w:rFonts w:hint="eastAsia" w:eastAsia="仿宋_GB2312" w:cs="Times New Roman"/>
                <w:color w:val="000000" w:themeColor="text1"/>
                <w:kern w:val="0"/>
                <w:sz w:val="24"/>
                <w:szCs w:val="24"/>
                <w:lang w:val="en-US" w:eastAsia="zh-CN" w:bidi="ar"/>
                <w14:textFill>
                  <w14:solidFill>
                    <w14:schemeClr w14:val="tx1"/>
                  </w14:solidFill>
                </w14:textFill>
              </w:rPr>
              <w:t>。排查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餐饮行业、居民用户使用燃气安全的隐患</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整改等。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组织开展联合执法，打击非法运输、经营、储存黑气等违法违规行为。</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（1）协助做好燃气安全宣传工作；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（2）协调村（居）民委员会和物业服务等相关单位配合燃气经营企业入户安全检查；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（4）配合开展打击非法存储、充装、运输、经营燃气等各类专项整治行动。</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2664"/>
              </w:tabs>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十四、市场监管事项类别（7项）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86</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开展农药、种子、肥料监督管理工作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自然资源和规划局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（1）负责建立健全农药安全、合理使用制度</w:t>
            </w:r>
            <w:r>
              <w:rPr>
                <w:rFonts w:hint="eastAsia" w:eastAsia="仿宋_GB2312" w:cs="Times New Roman"/>
                <w:color w:val="000000" w:themeColor="text1"/>
                <w:kern w:val="0"/>
                <w:sz w:val="24"/>
                <w:szCs w:val="24"/>
                <w:lang w:val="en-US" w:eastAsia="zh-CN" w:bidi="ar"/>
                <w14:textFill>
                  <w14:solidFill>
                    <w14:schemeClr w14:val="tx1"/>
                  </w14:solidFill>
                </w14:textFill>
              </w:rPr>
              <w:t>并组织实施</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；（2）组织推广农药科学使用技术；（3）对辖区内的肥料生产、经营和使用单位的肥料进行监督检查，对质量不合格的产品，</w:t>
            </w:r>
            <w:r>
              <w:rPr>
                <w:rFonts w:hint="eastAsia" w:eastAsia="仿宋_GB2312" w:cs="Times New Roman"/>
                <w:color w:val="000000" w:themeColor="text1"/>
                <w:kern w:val="0"/>
                <w:sz w:val="24"/>
                <w:szCs w:val="24"/>
                <w:lang w:val="en-US" w:eastAsia="zh-CN" w:bidi="ar"/>
                <w14:textFill>
                  <w14:solidFill>
                    <w14:schemeClr w14:val="tx1"/>
                  </w14:solidFill>
                </w14:textFill>
              </w:rPr>
              <w:t>要求</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其限期改正；（4）负责农作物种子质量监督检查，严厉打击违法生产经营行为，依法查处违法违规问题；（5）</w:t>
            </w:r>
            <w:r>
              <w:rPr>
                <w:rFonts w:hint="eastAsia" w:eastAsia="仿宋_GB2312" w:cs="Times New Roman"/>
                <w:color w:val="000000" w:themeColor="text1"/>
                <w:kern w:val="0"/>
                <w:sz w:val="24"/>
                <w:szCs w:val="24"/>
                <w:lang w:val="en-US" w:eastAsia="zh-CN" w:bidi="ar"/>
                <w14:textFill>
                  <w14:solidFill>
                    <w14:schemeClr w14:val="tx1"/>
                  </w14:solidFill>
                </w14:textFill>
              </w:rPr>
              <w:t>负责农作物、种子质量监督管理，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开展现场调查取证，对种子进行取样测试、试验或者检验，得到结果后出具相关的报告。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协同自然资源和规划局、农业农村局依法打击生产经营假、劣种子</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化肥</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农药的违法行为。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自然资源和规划局：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（2）在相关抽检工作中，需要驻地其他单位配合的，予以协调；</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（3）受理农作物（林木）种子、肥料等假劣农资投诉举报并及时上报上级主管部门；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（4）发放宣传材料，定期组织农户参加县</w:t>
            </w:r>
            <w:r>
              <w:rPr>
                <w:rFonts w:hint="eastAsia" w:eastAsia="仿宋_GB2312" w:cs="Times New Roman"/>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87</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开展农产品质量安全监管工作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农业农村局、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农业农村局：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color w:val="000000" w:themeColor="text1"/>
                <w:kern w:val="0"/>
                <w:sz w:val="24"/>
                <w:szCs w:val="24"/>
                <w:lang w:val="en-US" w:eastAsia="zh-CN" w:bidi="ar"/>
                <w14:textFill>
                  <w14:solidFill>
                    <w14:schemeClr w14:val="tx1"/>
                  </w14:solidFill>
                </w14:textFill>
              </w:rPr>
              <w:t>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的处理、处罚工作。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（1）开展农产品质量安全知识宣传；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（2）开展农产品质量安全快速检测；</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（3）开展农产品质量安全日常巡查监管工作，发现问题及时上报处理；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（4）配合开展农产品种植环节监管；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（5）对发生农产品安全事故进行初步处置并上报；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88</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开展农贸市场监督管理工作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科技工贸信息化局、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科技工贸信息化局：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w:t>
            </w:r>
            <w:r>
              <w:rPr>
                <w:rFonts w:hint="eastAsia" w:eastAsia="仿宋_GB2312" w:cs="Times New Roman"/>
                <w:color w:val="000000" w:themeColor="text1"/>
                <w:kern w:val="0"/>
                <w:sz w:val="24"/>
                <w:szCs w:val="24"/>
                <w:lang w:val="en-US" w:eastAsia="zh-CN" w:bidi="ar"/>
                <w14:textFill>
                  <w14:solidFill>
                    <w14:schemeClr w14:val="tx1"/>
                  </w14:solidFill>
                </w14:textFill>
              </w:rPr>
              <w:t>商品交易</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市场开发规划、建设；（2）负责商品交易市场商品流通的监督管理。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负责农贸市场周边环境卫生的日常监督管理和市容环境整治工作。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（1）协助做好农贸市场的规划、建设和管理工作；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（2）配合维护市场秩序；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gridAfter w:val="1"/>
          <w:wAfter w:w="4" w:type="pct"/>
          <w:cantSplit/>
          <w:trHeight w:val="1178"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89</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开展消费者权益保护工作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部门</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color w:val="000000" w:themeColor="text1"/>
                <w:kern w:val="0"/>
                <w:sz w:val="24"/>
                <w:szCs w:val="24"/>
                <w:lang w:val="en-US" w:eastAsia="zh-CN" w:bidi="ar"/>
                <w14:textFill>
                  <w14:solidFill>
                    <w14:schemeClr w14:val="tx1"/>
                  </w14:solidFill>
                </w14:textFill>
              </w:rPr>
              <w:t>并</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县级相关</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在各自职责范围内配合做好消费者权益保护工作。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（1）开展消费者权益保护相关的法律法规和政策宣传工作；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（2）发现危害消费者权益情况及时上报，协助上级部门化解纠纷；</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（3）协助处置市场监督领域投诉举报案件。</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90</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开展食品安全监督管理工作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（3）做好农村聚餐（50人以上）现场卫生、菜肴、厨师健康、原料等检查工作；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（4）负责食品小作坊、小餐饮和食品摊贩登记备案，对违法经营行为进行处罚。</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（1）加强食品安全的宣传教育，普及食品安全知识；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（2）协助开展食品安全监督管理工作；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（3）协助对农村集体聚餐（50人以上）现场卫生等检查工作；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（4）开展食品摊贩集中经营区域（路段）、时段的规划工作；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（5）组织镇领导干部对C级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主体开展包保工作，督促村（社区）干部对D级</w:t>
            </w:r>
            <w:r>
              <w:rPr>
                <w:rFonts w:hint="eastAsia" w:eastAsia="仿宋_GB2312" w:cs="Times New Roman"/>
                <w:color w:val="000000" w:themeColor="text1"/>
                <w:kern w:val="0"/>
                <w:sz w:val="24"/>
                <w:szCs w:val="24"/>
                <w:lang w:val="en-US" w:eastAsia="zh-CN" w:bidi="ar"/>
                <w14:textFill>
                  <w14:solidFill>
                    <w14:schemeClr w14:val="tx1"/>
                  </w14:solidFill>
                </w14:textFill>
              </w:rPr>
              <w:t>食品生产经营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主体开展包保工作。</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91</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开展校外托管机构和校外培训机构监督管理</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教育局、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公安局、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文化体育广电旅游局、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卫生健康局、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消防救援大队等相关部门</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教育局：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w:t>
            </w:r>
            <w:r>
              <w:rPr>
                <w:rFonts w:hint="eastAsia" w:eastAsia="仿宋_GB2312" w:cs="Times New Roman"/>
                <w:color w:val="000000" w:themeColor="text1"/>
                <w:kern w:val="0"/>
                <w:sz w:val="24"/>
                <w:szCs w:val="24"/>
                <w:lang w:val="en-US" w:eastAsia="zh-CN" w:bidi="ar"/>
                <w14:textFill>
                  <w14:solidFill>
                    <w14:schemeClr w14:val="tx1"/>
                  </w14:solidFill>
                </w14:textFill>
              </w:rPr>
              <w:t>校外</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培训机构准入、日常监管等工作，负责指导中小学校掌握学生参加校外托管的情况，加强对学生的安全教育。</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公安局：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负责对校外托管、校外培训机构的安防管理进行监管，维护场所周边治安。</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文化体育广电旅游局：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负责对文化艺术类、体育类校外培训机构设施生产安全、从业人员、培训内容、审核登记、资金使用方面进行监管。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卫生健康局：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负责对校外托管、校外培训机构的生活饮用水卫生、传染病防控进行监管。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负责对校外托管、校外培训机构的房屋安全进行监管。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负责依法为登记经营主体的校外托管机构核发营业执照和小餐饮登记证</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做好校外培训机构收费、广告宣传等方面的监管工作</w:t>
            </w:r>
            <w:r>
              <w:rPr>
                <w:rFonts w:hint="eastAsia" w:eastAsia="仿宋_GB2312"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对校外托管、校外培训机构的食品安全进行监督管理。</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消防救援大队：</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负责对校外托管、校外培训机构的消防安全进行监管。</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县</w:t>
            </w:r>
            <w:r>
              <w:rPr>
                <w:rFonts w:hint="eastAsia" w:eastAsia="仿宋_GB2312" w:cs="Times New Roman"/>
                <w:b/>
                <w:bCs/>
                <w:color w:val="000000" w:themeColor="text1"/>
                <w:kern w:val="0"/>
                <w:sz w:val="24"/>
                <w:szCs w:val="24"/>
                <w:lang w:val="en-US" w:eastAsia="zh-CN" w:bidi="ar"/>
                <w14:textFill>
                  <w14:solidFill>
                    <w14:schemeClr w14:val="tx1"/>
                  </w14:solidFill>
                </w14:textFill>
              </w:rPr>
              <w:t>级</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相关部门：</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在各自职责范围内配合做好校外托管、校外培训机构的监管工作。</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（1）对校外托管、校外培训机构进行摸排；</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（2）配合开展政策宣传；</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（3）开展安全生产检查；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（4）发现问题及时向县有关部门汇报。</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92</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开展对商铺和流动摊点占道经营行为的监管</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市场监管局、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住房城乡建设局、</w:t>
            </w: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综合行政执法局</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市场监管局：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（1）指导乡镇在非主要街道规划设置临时便民摊点；（2）指导乡镇做好摊点经营管理工作。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住房城乡建设局：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制定乡镇集贸市场规划，并组织实施建设。</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 xml:space="preserve"> </w:t>
            </w:r>
            <w:r>
              <w:rPr>
                <w:rFonts w:hint="eastAsia" w:eastAsia="仿宋_GB2312" w:cs="Times New Roman"/>
                <w:b/>
                <w:bCs/>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综合行政执法局：</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负责流动摊点占道经营的监管执法。</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（1）配合对辖区内商铺和流动摊点经营情况进行日常巡查；</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（2）发现占道经营等非法经营行为及时劝告制止，并及时上报相关部门予以查处。</w:t>
            </w:r>
          </w:p>
        </w:tc>
      </w:tr>
      <w:tr>
        <w:tblPrEx>
          <w:tblCellMar>
            <w:top w:w="28" w:type="dxa"/>
            <w:left w:w="57" w:type="dxa"/>
            <w:bottom w:w="28" w:type="dxa"/>
            <w:right w:w="57" w:type="dxa"/>
          </w:tblCellMar>
        </w:tblPrEx>
        <w:trPr>
          <w:gridAfter w:val="1"/>
          <w:wAfter w:w="4" w:type="pct"/>
          <w:cantSplit/>
          <w:trHeight w:val="801" w:hRule="atLeast"/>
          <w:jc w:val="center"/>
        </w:trPr>
        <w:tc>
          <w:tcPr>
            <w:tcW w:w="499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eastAsia" w:ascii="黑体" w:hAnsi="黑体" w:eastAsia="黑体" w:cs="黑体"/>
                <w:color w:val="000000" w:themeColor="text1"/>
                <w:kern w:val="0"/>
                <w:sz w:val="24"/>
                <w:szCs w:val="24"/>
                <w:lang w:val="en-US" w:eastAsia="zh-CN" w:bidi="ar"/>
                <w14:textFill>
                  <w14:solidFill>
                    <w14:schemeClr w14:val="tx1"/>
                  </w14:solidFill>
                </w14:textFill>
              </w:rPr>
              <w:t>十五、投资促进事项类别（1项）</w:t>
            </w:r>
          </w:p>
        </w:tc>
      </w:tr>
      <w:tr>
        <w:tblPrEx>
          <w:tblCellMar>
            <w:top w:w="28" w:type="dxa"/>
            <w:left w:w="57" w:type="dxa"/>
            <w:bottom w:w="28" w:type="dxa"/>
            <w:right w:w="57" w:type="dxa"/>
          </w:tblCellMar>
        </w:tblPrEx>
        <w:trPr>
          <w:gridAfter w:val="1"/>
          <w:wAfter w:w="4" w:type="pct"/>
          <w:cantSplit/>
          <w:trHeight w:val="801" w:hRule="atLeast"/>
          <w:jc w:val="center"/>
        </w:trPr>
        <w:tc>
          <w:tcPr>
            <w:tcW w:w="1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sz w:val="24"/>
                <w:szCs w:val="24"/>
                <w:lang w:val="en-US" w:eastAsia="zh-CN"/>
                <w14:textFill>
                  <w14:solidFill>
                    <w14:schemeClr w14:val="tx1"/>
                  </w14:solidFill>
                </w14:textFill>
              </w:rPr>
              <w:t>93</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做好招商引资工作</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eastAsia="仿宋_GB2312" w:cs="Times New Roman"/>
                <w:color w:val="000000" w:themeColor="text1"/>
                <w:kern w:val="0"/>
                <w:sz w:val="24"/>
                <w:szCs w:val="24"/>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投资促进中心</w:t>
            </w:r>
          </w:p>
        </w:tc>
        <w:tc>
          <w:tcPr>
            <w:tcW w:w="22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（1）统筹协调和组织推进招商引资工作；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（2）指导做好项目编制及对接洽谈工作；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（3）做好项目评审及签约和到位资金统计工作；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（4）负责招商引资项目动态管理，收集、整理、汇总招商引资工作信息，完成招商引资工作目标。</w:t>
            </w:r>
          </w:p>
        </w:tc>
        <w:tc>
          <w:tcPr>
            <w:tcW w:w="1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（1）做好本辖区招商引资宣传服务工作；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（2）参与涉及本辖区的招商引资项目洽谈工作；</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br w:type="textWrapping"/>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（3）落实招商引资项目落地后期服务工作。</w:t>
            </w:r>
          </w:p>
        </w:tc>
      </w:tr>
      <w:bookmarkEnd w:id="3"/>
    </w:tbl>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pStyle w:val="3"/>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pStyle w:val="3"/>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pStyle w:val="3"/>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pStyle w:val="3"/>
        <w:rPr>
          <w:rFonts w:hint="eastAsia" w:ascii="方正仿宋_GBK" w:hAnsi="宋体"/>
          <w:color w:val="000000" w:themeColor="text1"/>
          <w14:textFill>
            <w14:solidFill>
              <w14:schemeClr w14:val="tx1"/>
            </w14:solidFill>
          </w14:textFill>
        </w:rPr>
      </w:pPr>
    </w:p>
    <w:p>
      <w:pPr>
        <w:rPr>
          <w:rFonts w:hint="eastAsia" w:ascii="方正仿宋_GBK" w:hAnsi="宋体"/>
          <w:color w:val="000000" w:themeColor="text1"/>
          <w14:textFill>
            <w14:solidFill>
              <w14:schemeClr w14:val="tx1"/>
            </w14:solidFill>
          </w14:textFill>
        </w:rPr>
      </w:pPr>
    </w:p>
    <w:p>
      <w:pPr>
        <w:pStyle w:val="2"/>
        <w:rPr>
          <w:rFonts w:hint="eastAsia" w:ascii="方正仿宋_GBK" w:hAnsi="宋体"/>
          <w:color w:val="000000" w:themeColor="text1"/>
          <w14:textFill>
            <w14:solidFill>
              <w14:schemeClr w14:val="tx1"/>
            </w14:solidFill>
          </w14:textFill>
        </w:rPr>
      </w:pPr>
    </w:p>
    <w:p>
      <w:pPr>
        <w:pStyle w:val="4"/>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pStyle w:val="3"/>
        <w:rPr>
          <w:rFonts w:hint="eastAsia"/>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2B570E-5F7A-4351-9C63-2C5B41AA64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FCA690D-4C80-4448-9B60-01A0C7A85AF3}"/>
  </w:font>
  <w:font w:name="方正仿宋_GBK">
    <w:panose1 w:val="03000509000000000000"/>
    <w:charset w:val="86"/>
    <w:family w:val="script"/>
    <w:pitch w:val="default"/>
    <w:sig w:usb0="00000001" w:usb1="080E0000" w:usb2="00000000" w:usb3="00000000" w:csb0="00040000" w:csb1="00000000"/>
    <w:embedRegular r:id="rId3" w:fontKey="{F038810A-2082-402B-85D9-08AC599951FA}"/>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公文仿宋">
    <w:altName w:val="仿宋"/>
    <w:panose1 w:val="02000500000000000000"/>
    <w:charset w:val="86"/>
    <w:family w:val="auto"/>
    <w:pitch w:val="default"/>
    <w:sig w:usb0="00000000" w:usb1="00000000" w:usb2="00000000" w:usb3="00000000" w:csb0="00000000" w:csb1="00000000"/>
    <w:embedRegular r:id="rId4" w:fontKey="{D2B2D238-83E2-4BB4-BB9B-CDD0195FBD88}"/>
  </w:font>
  <w:font w:name="仿宋_GB2312">
    <w:panose1 w:val="02010609030101010101"/>
    <w:charset w:val="86"/>
    <w:family w:val="modern"/>
    <w:pitch w:val="default"/>
    <w:sig w:usb0="00000001" w:usb1="080E0000" w:usb2="00000000" w:usb3="00000000" w:csb0="00040000" w:csb1="00000000"/>
    <w:embedRegular r:id="rId5" w:fontKey="{08117A2A-FB3C-42A9-83BB-BAA9DAE425B6}"/>
  </w:font>
  <w:font w:name="方正书宋_GBK">
    <w:altName w:val="微软雅黑"/>
    <w:panose1 w:val="03000509000000000000"/>
    <w:charset w:val="86"/>
    <w:family w:val="script"/>
    <w:pitch w:val="default"/>
    <w:sig w:usb0="00000000" w:usb1="00000000" w:usb2="00000000" w:usb3="00000000" w:csb0="00040000" w:csb1="00000000"/>
    <w:embedRegular r:id="rId6" w:fontKey="{D217A3CB-7E54-4E8D-82B0-6020751F0DD1}"/>
  </w:font>
  <w:font w:name="方正小标宋简体">
    <w:panose1 w:val="03000509000000000000"/>
    <w:charset w:val="86"/>
    <w:family w:val="auto"/>
    <w:pitch w:val="default"/>
    <w:sig w:usb0="00000001" w:usb1="080E0000" w:usb2="00000000" w:usb3="00000000" w:csb0="00040000" w:csb1="00000000"/>
    <w:embedRegular r:id="rId7" w:fontKey="{FD82C3BD-A82D-48F1-9B6C-4443B4DA7FC3}"/>
  </w:font>
  <w:font w:name="方正小标宋_GBK">
    <w:panose1 w:val="03000509000000000000"/>
    <w:charset w:val="86"/>
    <w:family w:val="script"/>
    <w:pitch w:val="default"/>
    <w:sig w:usb0="00000001" w:usb1="080E0000" w:usb2="00000000" w:usb3="00000000" w:csb0="00040000" w:csb1="00000000"/>
    <w:embedRegular r:id="rId8" w:fontKey="{1EBC1295-E4E0-4786-96C5-5871096B1E8D}"/>
  </w:font>
  <w:font w:name="方正黑体_GBK">
    <w:panose1 w:val="03000509000000000000"/>
    <w:charset w:val="86"/>
    <w:family w:val="script"/>
    <w:pitch w:val="default"/>
    <w:sig w:usb0="00000001" w:usb1="080E0000" w:usb2="00000000" w:usb3="00000000" w:csb0="00040000" w:csb1="00000000"/>
    <w:embedRegular r:id="rId9" w:fontKey="{319293AC-8456-441A-8970-0AC2F1ABFB3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1AF378A"/>
    <w:rsid w:val="02AC5CA5"/>
    <w:rsid w:val="04612561"/>
    <w:rsid w:val="06615AFB"/>
    <w:rsid w:val="06684974"/>
    <w:rsid w:val="07AF28F0"/>
    <w:rsid w:val="07C62017"/>
    <w:rsid w:val="08715707"/>
    <w:rsid w:val="08E2548A"/>
    <w:rsid w:val="0991524E"/>
    <w:rsid w:val="099A6590"/>
    <w:rsid w:val="0A37479C"/>
    <w:rsid w:val="0B371F90"/>
    <w:rsid w:val="0C2328E7"/>
    <w:rsid w:val="0C330C30"/>
    <w:rsid w:val="0DE57669"/>
    <w:rsid w:val="0E2952D0"/>
    <w:rsid w:val="10426253"/>
    <w:rsid w:val="10685E7C"/>
    <w:rsid w:val="1101640A"/>
    <w:rsid w:val="12353A7E"/>
    <w:rsid w:val="1341283F"/>
    <w:rsid w:val="13D71101"/>
    <w:rsid w:val="17427E1C"/>
    <w:rsid w:val="193F38D7"/>
    <w:rsid w:val="1AB64811"/>
    <w:rsid w:val="1C1E6EE4"/>
    <w:rsid w:val="1C914272"/>
    <w:rsid w:val="1CB27F0C"/>
    <w:rsid w:val="1CBA3CA0"/>
    <w:rsid w:val="1D080FCA"/>
    <w:rsid w:val="1F562440"/>
    <w:rsid w:val="1FB35E56"/>
    <w:rsid w:val="1FFF6377"/>
    <w:rsid w:val="200A3C42"/>
    <w:rsid w:val="22954237"/>
    <w:rsid w:val="22B3289D"/>
    <w:rsid w:val="240B0194"/>
    <w:rsid w:val="24D2635B"/>
    <w:rsid w:val="2509296B"/>
    <w:rsid w:val="254A56FE"/>
    <w:rsid w:val="267C2351"/>
    <w:rsid w:val="27B90EE7"/>
    <w:rsid w:val="28D15C6E"/>
    <w:rsid w:val="2A6515D4"/>
    <w:rsid w:val="2A8C6608"/>
    <w:rsid w:val="2BE848BF"/>
    <w:rsid w:val="2C5A7701"/>
    <w:rsid w:val="2C746220"/>
    <w:rsid w:val="2C750443"/>
    <w:rsid w:val="2F307282"/>
    <w:rsid w:val="2FBE01D2"/>
    <w:rsid w:val="305775A2"/>
    <w:rsid w:val="3255116D"/>
    <w:rsid w:val="32E6502A"/>
    <w:rsid w:val="33F72338"/>
    <w:rsid w:val="33FE6F74"/>
    <w:rsid w:val="341279F6"/>
    <w:rsid w:val="347B653D"/>
    <w:rsid w:val="34BC06A1"/>
    <w:rsid w:val="34DD48F5"/>
    <w:rsid w:val="351221B8"/>
    <w:rsid w:val="35750BBE"/>
    <w:rsid w:val="35A671FD"/>
    <w:rsid w:val="378C11DB"/>
    <w:rsid w:val="3793014E"/>
    <w:rsid w:val="38F019DA"/>
    <w:rsid w:val="3B4E2DB3"/>
    <w:rsid w:val="3C764958"/>
    <w:rsid w:val="3D645F3F"/>
    <w:rsid w:val="3E07099A"/>
    <w:rsid w:val="3EDB6348"/>
    <w:rsid w:val="3F093208"/>
    <w:rsid w:val="3FD55F2F"/>
    <w:rsid w:val="401C434D"/>
    <w:rsid w:val="40DB6D9D"/>
    <w:rsid w:val="40E03086"/>
    <w:rsid w:val="42755950"/>
    <w:rsid w:val="42D02D81"/>
    <w:rsid w:val="42F5161C"/>
    <w:rsid w:val="43A8467F"/>
    <w:rsid w:val="44513734"/>
    <w:rsid w:val="45B67B3B"/>
    <w:rsid w:val="46497182"/>
    <w:rsid w:val="46B104FE"/>
    <w:rsid w:val="47761C0B"/>
    <w:rsid w:val="47F94D65"/>
    <w:rsid w:val="4BCB2734"/>
    <w:rsid w:val="4BEB2EE5"/>
    <w:rsid w:val="4C16381A"/>
    <w:rsid w:val="4C7F5310"/>
    <w:rsid w:val="4D16315D"/>
    <w:rsid w:val="4E7000E8"/>
    <w:rsid w:val="4EC42AE8"/>
    <w:rsid w:val="501B02E3"/>
    <w:rsid w:val="50402BD9"/>
    <w:rsid w:val="50A827A2"/>
    <w:rsid w:val="50EE5833"/>
    <w:rsid w:val="510D62C7"/>
    <w:rsid w:val="52670CA3"/>
    <w:rsid w:val="538B662A"/>
    <w:rsid w:val="55D13ADC"/>
    <w:rsid w:val="560B325F"/>
    <w:rsid w:val="560D2AD1"/>
    <w:rsid w:val="562345E4"/>
    <w:rsid w:val="57A77A33"/>
    <w:rsid w:val="57FA5840"/>
    <w:rsid w:val="58444A15"/>
    <w:rsid w:val="59486EC0"/>
    <w:rsid w:val="59C24EF1"/>
    <w:rsid w:val="59CC565B"/>
    <w:rsid w:val="59F25603"/>
    <w:rsid w:val="5A022408"/>
    <w:rsid w:val="5A1C28CD"/>
    <w:rsid w:val="5A580817"/>
    <w:rsid w:val="5B897622"/>
    <w:rsid w:val="5C7255B7"/>
    <w:rsid w:val="5ED37C57"/>
    <w:rsid w:val="60AF0D84"/>
    <w:rsid w:val="619500A0"/>
    <w:rsid w:val="62DE7122"/>
    <w:rsid w:val="65453DB0"/>
    <w:rsid w:val="67170D9C"/>
    <w:rsid w:val="67D17238"/>
    <w:rsid w:val="684465DA"/>
    <w:rsid w:val="6921594E"/>
    <w:rsid w:val="69363027"/>
    <w:rsid w:val="6A002E19"/>
    <w:rsid w:val="6B0B0C23"/>
    <w:rsid w:val="6DB65C80"/>
    <w:rsid w:val="6E1265C9"/>
    <w:rsid w:val="6E6304A3"/>
    <w:rsid w:val="6F462E9E"/>
    <w:rsid w:val="71EA0CF1"/>
    <w:rsid w:val="73085254"/>
    <w:rsid w:val="73846643"/>
    <w:rsid w:val="73CF4E54"/>
    <w:rsid w:val="748D4913"/>
    <w:rsid w:val="750F245F"/>
    <w:rsid w:val="75FB3F30"/>
    <w:rsid w:val="784214E7"/>
    <w:rsid w:val="78983000"/>
    <w:rsid w:val="79A4194C"/>
    <w:rsid w:val="79BA2043"/>
    <w:rsid w:val="7BA6249C"/>
    <w:rsid w:val="7CD872AF"/>
    <w:rsid w:val="7CE27F0F"/>
    <w:rsid w:val="7D731839"/>
    <w:rsid w:val="7D9F76B1"/>
    <w:rsid w:val="7DFF7036"/>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4"/>
      <w:szCs w:val="24"/>
      <w:lang w:val="zh-CN" w:bidi="zh-CN"/>
    </w:rPr>
  </w:style>
  <w:style w:type="paragraph" w:styleId="3">
    <w:name w:val="Title"/>
    <w:basedOn w:val="1"/>
    <w:next w:val="1"/>
    <w:qFormat/>
    <w:uiPriority w:val="0"/>
    <w:pPr>
      <w:spacing w:before="240" w:after="60"/>
      <w:jc w:val="center"/>
      <w:outlineLvl w:val="0"/>
    </w:pPr>
    <w:rPr>
      <w:rFonts w:ascii="Cambria" w:hAnsi="Cambria" w:eastAsia="宋体"/>
      <w:b/>
      <w:bCs/>
      <w:szCs w:val="32"/>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35">
    <w:name w:val="font11"/>
    <w:basedOn w:val="1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28</Pages>
  <Words>119</Words>
  <Characters>131</Characters>
  <Lines>1552</Lines>
  <Paragraphs>437</Paragraphs>
  <TotalTime>1</TotalTime>
  <ScaleCrop>false</ScaleCrop>
  <LinksUpToDate>false</LinksUpToDate>
  <CharactersWithSpaces>149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2025-07-30T07:29:19Z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F160B2E4F7594AEF8DF2A9567D3EEC15_13</vt:lpwstr>
  </property>
  <property fmtid="{D5CDD505-2E9C-101B-9397-08002B2CF9AE}" pid="3" name="KSOProductBuildVer">
    <vt:lpwstr>2052-11.8.2.10154</vt:lpwstr>
  </property>
  <property fmtid="{D5CDD505-2E9C-101B-9397-08002B2CF9AE}" pid="4" name="KSOTemplateDocerSaveRecord">
    <vt:lpwstr>eyJoZGlkIjoiMmM2M2NhNTI0MDViOTdlZTVjZjFhY2RmNWVhZTY0MmEiLCJ1c2VySWQiOiI3OTYzNTY4NDUifQ==</vt:lpwstr>
  </property>
</Properties>
</file>