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3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柳城县2020年经济运行平稳较快增长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面对突如其来的新冠肺炎疫情和经济运行一度近乎停摆的严峻形势，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、县政府始终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人民群众生命安全和身体健康放在第一位，快速反应、迅速行动、精准施策，以实际行动在两场硬仗中践行初心使命、展现担当作为，围绕“一产强优势、二产扩规模、三产增活力”的产业发展思路，扎实做好“六稳”“六保”工作，统筹推进疫情防控、民生保障、重大项目建设、城镇化发展、生态环保等各项重点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实现县域经济稳中有进，社会大局稳定和谐的良好局面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初步核算，2020年全县生产总值（GDP）175.3亿元，按可比价格计算，比上年增长8.3%。分产业看，第一产业增加值52.3亿元，增长3.9%；第二产业增加值56亿元，增长14.9%；第三产业增加值67亿元，增长6.5%。三次产业结构为29.8:32:38.2。</w:t>
      </w:r>
    </w:p>
    <w:p>
      <w:pPr>
        <w:ind w:right="210" w:rightChars="100" w:firstLine="768" w:firstLineChars="2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其他主要经济指标完成情况：农林牧渔业总产值82亿元，比上年增长4%。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规模以上工业总产值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110.1亿元，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比上年增长1.9%，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规模以上工业增加值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42.2亿元，增长1.5%。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全年固定资产投资（不含农户）比上年增长21.1%。全县财政总收入11.34亿元，比上年增长2.1%。其中，一般公共预算收入8.46亿元,增长2.2%。社会消费品零售总额比上年增长0.6%。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居民人均可支配收入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25257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民人均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可支配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%；城镇居民人均可支配收入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36243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0" w:afterAutospacing="0" w:line="520" w:lineRule="atLeast"/>
        <w:ind w:left="0" w:right="0" w:firstLine="480"/>
        <w:jc w:val="left"/>
      </w:pPr>
      <w:r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注释：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400" w:lineRule="atLeast"/>
        <w:ind w:left="0" w:right="0" w:firstLine="44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fill="FFFFFF"/>
          <w:lang w:val="en-US" w:eastAsia="zh-CN" w:bidi="ar"/>
        </w:rPr>
        <w:t>地区生产总值、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农林牧渔业总产值、农林牧渔业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fill="FFFFFF"/>
          <w:lang w:val="en-US" w:eastAsia="zh-CN" w:bidi="ar"/>
        </w:rPr>
        <w:t>增加值、工业增加值及其分类项目增长速度按可比价计算，为实际增长速度；其他指标除特殊说明外，按现价计算，为名义增长速度。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ind w:right="210" w:right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A6F70"/>
    <w:rsid w:val="020566B6"/>
    <w:rsid w:val="059B106F"/>
    <w:rsid w:val="05F40510"/>
    <w:rsid w:val="075B6CAA"/>
    <w:rsid w:val="076D1E0A"/>
    <w:rsid w:val="07741484"/>
    <w:rsid w:val="07DC1717"/>
    <w:rsid w:val="0A1366E5"/>
    <w:rsid w:val="0A743348"/>
    <w:rsid w:val="0BD24475"/>
    <w:rsid w:val="0D2E1856"/>
    <w:rsid w:val="0DA063C4"/>
    <w:rsid w:val="0E1D7A21"/>
    <w:rsid w:val="0E31245C"/>
    <w:rsid w:val="0FD91F57"/>
    <w:rsid w:val="10516E3C"/>
    <w:rsid w:val="13A43DE8"/>
    <w:rsid w:val="15494CE1"/>
    <w:rsid w:val="187A7671"/>
    <w:rsid w:val="19C70EEA"/>
    <w:rsid w:val="1AD571B8"/>
    <w:rsid w:val="1B1C1F38"/>
    <w:rsid w:val="1B621D39"/>
    <w:rsid w:val="1DD04A7D"/>
    <w:rsid w:val="1E46305E"/>
    <w:rsid w:val="231B148B"/>
    <w:rsid w:val="24BA6EE6"/>
    <w:rsid w:val="26430020"/>
    <w:rsid w:val="280C08B2"/>
    <w:rsid w:val="284A6F70"/>
    <w:rsid w:val="2BD368DA"/>
    <w:rsid w:val="2CEC767A"/>
    <w:rsid w:val="2F6137FF"/>
    <w:rsid w:val="30942C75"/>
    <w:rsid w:val="380315ED"/>
    <w:rsid w:val="38151FBA"/>
    <w:rsid w:val="38665DB6"/>
    <w:rsid w:val="38AA7517"/>
    <w:rsid w:val="3ABB5902"/>
    <w:rsid w:val="3B437F33"/>
    <w:rsid w:val="3E1B19AE"/>
    <w:rsid w:val="3EC61C7D"/>
    <w:rsid w:val="3FF40028"/>
    <w:rsid w:val="404030F9"/>
    <w:rsid w:val="41E50E14"/>
    <w:rsid w:val="42D21D5E"/>
    <w:rsid w:val="43C20E44"/>
    <w:rsid w:val="45176864"/>
    <w:rsid w:val="47AC1E97"/>
    <w:rsid w:val="47C06561"/>
    <w:rsid w:val="49D77636"/>
    <w:rsid w:val="4A7C3641"/>
    <w:rsid w:val="4A962E5B"/>
    <w:rsid w:val="4C4405F8"/>
    <w:rsid w:val="4D2D2BF1"/>
    <w:rsid w:val="4EC45B77"/>
    <w:rsid w:val="4F0966F1"/>
    <w:rsid w:val="4FA071CD"/>
    <w:rsid w:val="519825EC"/>
    <w:rsid w:val="533D5199"/>
    <w:rsid w:val="546C340A"/>
    <w:rsid w:val="587149AB"/>
    <w:rsid w:val="5914729C"/>
    <w:rsid w:val="5A3A163D"/>
    <w:rsid w:val="5D874B06"/>
    <w:rsid w:val="5DD52470"/>
    <w:rsid w:val="61BB1D7B"/>
    <w:rsid w:val="625C4440"/>
    <w:rsid w:val="654F17BD"/>
    <w:rsid w:val="68BE53D9"/>
    <w:rsid w:val="6B4C7ADA"/>
    <w:rsid w:val="6D5A594F"/>
    <w:rsid w:val="6DD86EA5"/>
    <w:rsid w:val="6ECC7F3F"/>
    <w:rsid w:val="6ED4750D"/>
    <w:rsid w:val="70E57240"/>
    <w:rsid w:val="72C5728A"/>
    <w:rsid w:val="73437495"/>
    <w:rsid w:val="762C0078"/>
    <w:rsid w:val="7A3C52C6"/>
    <w:rsid w:val="7A896460"/>
    <w:rsid w:val="7C7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XiaoBiaoSong-B05" w:hAnsi="FZXiaoBiaoSong-B05" w:eastAsia="FZXiaoBiaoSong-B05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城中区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2020-02-03T07:45:00Z</dcterms:created>
  <dc:creator>黄毅功</dc:creator>
  <cp:lastModifiedBy>统计局</cp:lastModifiedBy>
  <dcterms:modified xsi:type="dcterms:W3CDTF">2021-02-19T00:51:41Z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