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4921"/>
      <w:r>
        <w:rPr>
          <w:rFonts w:hint="eastAsia" w:ascii="方正小标宋_GBK" w:hAnsi="方正小标宋_GBK" w:eastAsia="方正小标宋_GBK"/>
          <w:b w:val="0"/>
          <w:bCs w:val="0"/>
          <w:sz w:val="30"/>
          <w:lang w:val="en-US" w:eastAsia="zh-CN"/>
        </w:rPr>
        <w:t>2022年</w:t>
      </w:r>
      <w:r>
        <w:rPr>
          <w:rFonts w:hint="eastAsia" w:ascii="方正小标宋_GBK" w:hAnsi="方正小标宋_GBK" w:eastAsia="方正小标宋_GBK"/>
          <w:b w:val="0"/>
          <w:bCs w:val="0"/>
          <w:sz w:val="30"/>
        </w:rPr>
        <w:t>国土空间规划领域基层政务公开标准目录</w:t>
      </w:r>
      <w:bookmarkEnd w:id="0"/>
    </w:p>
    <w:tbl>
      <w:tblPr>
        <w:tblStyle w:val="3"/>
        <w:tblW w:w="16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720"/>
        <w:gridCol w:w="839"/>
        <w:gridCol w:w="2116"/>
        <w:gridCol w:w="2070"/>
        <w:gridCol w:w="1440"/>
        <w:gridCol w:w="1305"/>
        <w:gridCol w:w="2595"/>
        <w:gridCol w:w="645"/>
        <w:gridCol w:w="750"/>
        <w:gridCol w:w="720"/>
        <w:gridCol w:w="795"/>
        <w:gridCol w:w="6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7" w:type="dxa"/>
            <w:vMerge w:val="restart"/>
            <w:vAlign w:val="center"/>
          </w:tcPr>
          <w:p>
            <w:pPr>
              <w:widowControl/>
              <w:jc w:val="center"/>
              <w:rPr>
                <w:rFonts w:ascii="Times New Roman" w:hAnsi="Times New Roman"/>
                <w:color w:val="000000"/>
                <w:kern w:val="0"/>
                <w:sz w:val="22"/>
                <w:highlight w:val="none"/>
              </w:rPr>
            </w:pPr>
            <w:r>
              <w:rPr>
                <w:rFonts w:ascii="Times New Roman" w:hAnsi="宋体"/>
                <w:color w:val="000000"/>
                <w:kern w:val="0"/>
                <w:sz w:val="22"/>
                <w:highlight w:val="none"/>
              </w:rPr>
              <w:t>序号</w:t>
            </w:r>
          </w:p>
        </w:tc>
        <w:tc>
          <w:tcPr>
            <w:tcW w:w="1559"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公开事项</w:t>
            </w:r>
          </w:p>
        </w:tc>
        <w:tc>
          <w:tcPr>
            <w:tcW w:w="2116"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公开内容（要素）</w:t>
            </w:r>
          </w:p>
        </w:tc>
        <w:tc>
          <w:tcPr>
            <w:tcW w:w="2070"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公开依据</w:t>
            </w:r>
          </w:p>
        </w:tc>
        <w:tc>
          <w:tcPr>
            <w:tcW w:w="1440"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公开时限</w:t>
            </w:r>
          </w:p>
        </w:tc>
        <w:tc>
          <w:tcPr>
            <w:tcW w:w="1305"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公开主体</w:t>
            </w:r>
          </w:p>
        </w:tc>
        <w:tc>
          <w:tcPr>
            <w:tcW w:w="2595"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公开渠道和载体</w:t>
            </w:r>
          </w:p>
        </w:tc>
        <w:tc>
          <w:tcPr>
            <w:tcW w:w="1395"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公开对象</w:t>
            </w:r>
          </w:p>
        </w:tc>
        <w:tc>
          <w:tcPr>
            <w:tcW w:w="1515"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公开方式</w:t>
            </w:r>
          </w:p>
        </w:tc>
        <w:tc>
          <w:tcPr>
            <w:tcW w:w="1425"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Merge w:val="continue"/>
            <w:vAlign w:val="center"/>
          </w:tcPr>
          <w:p>
            <w:pPr>
              <w:widowControl/>
              <w:jc w:val="left"/>
              <w:rPr>
                <w:rFonts w:ascii="Times New Roman" w:hAnsi="Times New Roman"/>
                <w:color w:val="000000"/>
                <w:kern w:val="0"/>
                <w:sz w:val="22"/>
                <w:highlight w:val="none"/>
              </w:rPr>
            </w:pP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一级事项</w:t>
            </w:r>
          </w:p>
        </w:tc>
        <w:tc>
          <w:tcPr>
            <w:tcW w:w="839"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二级事项</w:t>
            </w:r>
          </w:p>
        </w:tc>
        <w:tc>
          <w:tcPr>
            <w:tcW w:w="2116" w:type="dxa"/>
            <w:vMerge w:val="continue"/>
            <w:vAlign w:val="center"/>
          </w:tcPr>
          <w:p>
            <w:pPr>
              <w:widowControl/>
              <w:jc w:val="left"/>
              <w:rPr>
                <w:rFonts w:ascii="黑体" w:hAnsi="宋体" w:eastAsia="黑体" w:cs="宋体"/>
                <w:color w:val="000000"/>
                <w:kern w:val="0"/>
                <w:sz w:val="22"/>
                <w:highlight w:val="none"/>
              </w:rPr>
            </w:pPr>
          </w:p>
        </w:tc>
        <w:tc>
          <w:tcPr>
            <w:tcW w:w="2070" w:type="dxa"/>
            <w:vMerge w:val="continue"/>
            <w:vAlign w:val="center"/>
          </w:tcPr>
          <w:p>
            <w:pPr>
              <w:widowControl/>
              <w:jc w:val="left"/>
              <w:rPr>
                <w:rFonts w:ascii="黑体" w:hAnsi="宋体" w:eastAsia="黑体" w:cs="宋体"/>
                <w:color w:val="000000"/>
                <w:kern w:val="0"/>
                <w:sz w:val="22"/>
                <w:highlight w:val="none"/>
              </w:rPr>
            </w:pPr>
          </w:p>
        </w:tc>
        <w:tc>
          <w:tcPr>
            <w:tcW w:w="1440" w:type="dxa"/>
            <w:vMerge w:val="continue"/>
            <w:vAlign w:val="center"/>
          </w:tcPr>
          <w:p>
            <w:pPr>
              <w:widowControl/>
              <w:jc w:val="left"/>
              <w:rPr>
                <w:rFonts w:ascii="黑体" w:hAnsi="宋体" w:eastAsia="黑体" w:cs="宋体"/>
                <w:color w:val="000000"/>
                <w:kern w:val="0"/>
                <w:sz w:val="22"/>
                <w:highlight w:val="none"/>
              </w:rPr>
            </w:pPr>
          </w:p>
        </w:tc>
        <w:tc>
          <w:tcPr>
            <w:tcW w:w="1305" w:type="dxa"/>
            <w:vMerge w:val="continue"/>
            <w:vAlign w:val="center"/>
          </w:tcPr>
          <w:p>
            <w:pPr>
              <w:widowControl/>
              <w:jc w:val="left"/>
              <w:rPr>
                <w:rFonts w:ascii="黑体" w:hAnsi="宋体" w:eastAsia="黑体" w:cs="宋体"/>
                <w:color w:val="000000"/>
                <w:kern w:val="0"/>
                <w:sz w:val="22"/>
                <w:highlight w:val="none"/>
              </w:rPr>
            </w:pPr>
          </w:p>
        </w:tc>
        <w:tc>
          <w:tcPr>
            <w:tcW w:w="2595" w:type="dxa"/>
            <w:vMerge w:val="continue"/>
            <w:vAlign w:val="center"/>
          </w:tcPr>
          <w:p>
            <w:pPr>
              <w:widowControl/>
              <w:jc w:val="left"/>
              <w:rPr>
                <w:rFonts w:ascii="黑体" w:hAnsi="宋体" w:eastAsia="黑体" w:cs="宋体"/>
                <w:kern w:val="0"/>
                <w:sz w:val="22"/>
                <w:highlight w:val="none"/>
              </w:rPr>
            </w:pPr>
          </w:p>
        </w:tc>
        <w:tc>
          <w:tcPr>
            <w:tcW w:w="64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全社会</w:t>
            </w:r>
          </w:p>
        </w:tc>
        <w:tc>
          <w:tcPr>
            <w:tcW w:w="75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特定群众</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主动</w:t>
            </w:r>
          </w:p>
        </w:tc>
        <w:tc>
          <w:tcPr>
            <w:tcW w:w="79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依申请公开</w:t>
            </w:r>
          </w:p>
        </w:tc>
        <w:tc>
          <w:tcPr>
            <w:tcW w:w="66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县级</w:t>
            </w:r>
          </w:p>
        </w:tc>
        <w:tc>
          <w:tcPr>
            <w:tcW w:w="76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1</w:t>
            </w:r>
          </w:p>
        </w:tc>
        <w:tc>
          <w:tcPr>
            <w:tcW w:w="720" w:type="dxa"/>
            <w:vMerge w:val="restart"/>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公共</w:t>
            </w:r>
          </w:p>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服务</w:t>
            </w:r>
          </w:p>
        </w:tc>
        <w:tc>
          <w:tcPr>
            <w:tcW w:w="839"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法规文件</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城乡规划领域相关法律、法规、规章、规范性文件</w:t>
            </w:r>
          </w:p>
        </w:tc>
        <w:tc>
          <w:tcPr>
            <w:tcW w:w="207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p>
        </w:tc>
        <w:tc>
          <w:tcPr>
            <w:tcW w:w="144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信息形成或者变更之日起20个工作日内</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■纸质载体</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■公开查阅点</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■政府服务中心    </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2</w:t>
            </w:r>
          </w:p>
        </w:tc>
        <w:tc>
          <w:tcPr>
            <w:tcW w:w="720" w:type="dxa"/>
            <w:vMerge w:val="continue"/>
            <w:vAlign w:val="center"/>
          </w:tcPr>
          <w:p>
            <w:pPr>
              <w:jc w:val="left"/>
              <w:rPr>
                <w:rFonts w:ascii="仿宋_GB2312" w:hAnsi="宋体" w:eastAsia="仿宋_GB2312"/>
                <w:color w:val="000000"/>
                <w:sz w:val="18"/>
                <w:szCs w:val="18"/>
                <w:highlight w:val="none"/>
              </w:rPr>
            </w:pPr>
          </w:p>
        </w:tc>
        <w:tc>
          <w:tcPr>
            <w:tcW w:w="839"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政民互动</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城乡规划事项的意见征集、咨询、信访等</w:t>
            </w:r>
          </w:p>
        </w:tc>
        <w:tc>
          <w:tcPr>
            <w:tcW w:w="207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《政府信息公开条例》</w:t>
            </w:r>
          </w:p>
        </w:tc>
        <w:tc>
          <w:tcPr>
            <w:tcW w:w="144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实时公开</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■政府服务中心  </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3</w:t>
            </w:r>
          </w:p>
        </w:tc>
        <w:tc>
          <w:tcPr>
            <w:tcW w:w="720" w:type="dxa"/>
            <w:vMerge w:val="continue"/>
            <w:vAlign w:val="center"/>
          </w:tcPr>
          <w:p>
            <w:pPr>
              <w:widowControl/>
              <w:jc w:val="left"/>
              <w:rPr>
                <w:rFonts w:ascii="仿宋_GB2312" w:hAnsi="宋体" w:eastAsia="仿宋_GB2312"/>
                <w:color w:val="000000"/>
                <w:sz w:val="18"/>
                <w:szCs w:val="18"/>
                <w:highlight w:val="none"/>
              </w:rPr>
            </w:pPr>
          </w:p>
        </w:tc>
        <w:tc>
          <w:tcPr>
            <w:tcW w:w="839"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办事服务</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行政许可的事项、依据、条件、数量、程序、期限以及申请行政许可需要提交的全部材料目录</w:t>
            </w:r>
          </w:p>
        </w:tc>
        <w:tc>
          <w:tcPr>
            <w:tcW w:w="207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《政府信息公开条例》</w:t>
            </w:r>
          </w:p>
        </w:tc>
        <w:tc>
          <w:tcPr>
            <w:tcW w:w="144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实时公开</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■公开查阅点</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■政府服务中心 </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4</w:t>
            </w:r>
          </w:p>
        </w:tc>
        <w:tc>
          <w:tcPr>
            <w:tcW w:w="720" w:type="dxa"/>
            <w:vMerge w:val="restart"/>
            <w:vAlign w:val="center"/>
          </w:tcPr>
          <w:p>
            <w:pPr>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规划编制</w:t>
            </w:r>
          </w:p>
        </w:tc>
        <w:tc>
          <w:tcPr>
            <w:tcW w:w="839"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县级国土空间总体规划、乡镇级国土空间总体规划</w:t>
            </w:r>
          </w:p>
        </w:tc>
        <w:tc>
          <w:tcPr>
            <w:tcW w:w="2116" w:type="dxa"/>
            <w:vAlign w:val="center"/>
          </w:tcPr>
          <w:p>
            <w:pPr>
              <w:widowControl/>
              <w:jc w:val="left"/>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规划批准文件、脱密后的文本及图纸等</w:t>
            </w:r>
          </w:p>
        </w:tc>
        <w:tc>
          <w:tcPr>
            <w:tcW w:w="2070"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lang w:eastAsia="zh-CN"/>
              </w:rPr>
              <w:t>《中华人民共和国土地管理法》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p>
        </w:tc>
        <w:tc>
          <w:tcPr>
            <w:tcW w:w="144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信息形成或者变更之日起20个工作日内</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■政府网站</w:t>
            </w:r>
          </w:p>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■公开查阅点</w:t>
            </w:r>
            <w:r>
              <w:rPr>
                <w:rFonts w:hint="eastAsia" w:ascii="仿宋_GB2312" w:hAnsi="宋体" w:eastAsia="仿宋_GB2312"/>
                <w:color w:val="000000"/>
                <w:sz w:val="18"/>
                <w:szCs w:val="18"/>
                <w:highlight w:val="none"/>
              </w:rPr>
              <w:br w:type="textWrapping"/>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5</w:t>
            </w:r>
          </w:p>
        </w:tc>
        <w:tc>
          <w:tcPr>
            <w:tcW w:w="720" w:type="dxa"/>
            <w:vMerge w:val="continue"/>
            <w:vAlign w:val="center"/>
          </w:tcPr>
          <w:p>
            <w:pPr>
              <w:jc w:val="center"/>
              <w:rPr>
                <w:rFonts w:ascii="仿宋_GB2312" w:hAnsi="宋体" w:eastAsia="仿宋_GB2312"/>
                <w:color w:val="000000"/>
                <w:sz w:val="18"/>
                <w:szCs w:val="18"/>
                <w:highlight w:val="none"/>
              </w:rPr>
            </w:pPr>
          </w:p>
        </w:tc>
        <w:tc>
          <w:tcPr>
            <w:tcW w:w="839"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自然资源领域专项规划</w:t>
            </w:r>
          </w:p>
        </w:tc>
        <w:tc>
          <w:tcPr>
            <w:tcW w:w="2116" w:type="dxa"/>
            <w:vAlign w:val="center"/>
          </w:tcPr>
          <w:p>
            <w:pPr>
              <w:widowControl/>
              <w:jc w:val="left"/>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规划批准文件、脱密后的文本及图纸等</w:t>
            </w:r>
          </w:p>
        </w:tc>
        <w:tc>
          <w:tcPr>
            <w:tcW w:w="2070"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lang w:eastAsia="zh-CN"/>
              </w:rPr>
              <w:t>《中华人民共和国土地管理法》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p>
        </w:tc>
        <w:tc>
          <w:tcPr>
            <w:tcW w:w="144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信息形成或者变更之日起20个工作日内</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■公开查阅点</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6</w:t>
            </w:r>
          </w:p>
        </w:tc>
        <w:tc>
          <w:tcPr>
            <w:tcW w:w="720" w:type="dxa"/>
            <w:vMerge w:val="continue"/>
            <w:vAlign w:val="center"/>
          </w:tcPr>
          <w:p>
            <w:pPr>
              <w:widowControl/>
              <w:jc w:val="center"/>
              <w:rPr>
                <w:rFonts w:ascii="仿宋_GB2312" w:hAnsi="宋体" w:eastAsia="仿宋_GB2312"/>
                <w:color w:val="000000"/>
                <w:sz w:val="18"/>
                <w:szCs w:val="18"/>
                <w:highlight w:val="none"/>
              </w:rPr>
            </w:pPr>
          </w:p>
        </w:tc>
        <w:tc>
          <w:tcPr>
            <w:tcW w:w="839"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县城控制性详细规划、乡镇集镇区控制性详细规划、重点区域修建性详细规划</w:t>
            </w:r>
          </w:p>
        </w:tc>
        <w:tc>
          <w:tcPr>
            <w:tcW w:w="2116" w:type="dxa"/>
            <w:vAlign w:val="center"/>
          </w:tcPr>
          <w:p>
            <w:pPr>
              <w:widowControl/>
              <w:jc w:val="left"/>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规划批准文件、脱密后的文本及图纸等</w:t>
            </w:r>
          </w:p>
        </w:tc>
        <w:tc>
          <w:tcPr>
            <w:tcW w:w="207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p>
        </w:tc>
        <w:tc>
          <w:tcPr>
            <w:tcW w:w="144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信息形成或者变更之日起20个工作日内</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■政府网站</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■公开查阅点</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7</w:t>
            </w: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规划编制</w:t>
            </w:r>
          </w:p>
        </w:tc>
        <w:tc>
          <w:tcPr>
            <w:tcW w:w="839"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村庄规划</w:t>
            </w:r>
          </w:p>
        </w:tc>
        <w:tc>
          <w:tcPr>
            <w:tcW w:w="2116" w:type="dxa"/>
            <w:vAlign w:val="center"/>
          </w:tcPr>
          <w:p>
            <w:pPr>
              <w:widowControl/>
              <w:jc w:val="left"/>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规划批准文件、脱密后的文本及图纸等</w:t>
            </w:r>
          </w:p>
        </w:tc>
        <w:tc>
          <w:tcPr>
            <w:tcW w:w="2070"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lang w:eastAsia="zh-CN"/>
              </w:rPr>
              <w:t>《中华人民共和国土地管理法》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rPr>
              <w:t>、《国土资源部关于有序开展村土地利用规划编制工作的指导意见》</w:t>
            </w:r>
          </w:p>
        </w:tc>
        <w:tc>
          <w:tcPr>
            <w:tcW w:w="144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信息形成或者变更之日起20个工作日内</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■政府网站</w:t>
            </w:r>
          </w:p>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■公开查阅点</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8</w:t>
            </w:r>
          </w:p>
        </w:tc>
        <w:tc>
          <w:tcPr>
            <w:tcW w:w="720" w:type="dxa"/>
            <w:vMerge w:val="restart"/>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规划许可</w:t>
            </w:r>
          </w:p>
        </w:tc>
        <w:tc>
          <w:tcPr>
            <w:tcW w:w="839"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建设项目选址意见书</w:t>
            </w:r>
          </w:p>
        </w:tc>
        <w:tc>
          <w:tcPr>
            <w:tcW w:w="2116"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新办、变更、延续、补证、注销的办理情况</w:t>
            </w:r>
            <w:r>
              <w:rPr>
                <w:rFonts w:hint="eastAsia" w:ascii="仿宋_GB2312" w:hAnsi="宋体" w:eastAsia="仿宋_GB2312"/>
                <w:color w:val="000000"/>
                <w:sz w:val="18"/>
                <w:szCs w:val="18"/>
                <w:highlight w:val="none"/>
              </w:rPr>
              <w:t>（涉密项目除外）</w:t>
            </w:r>
          </w:p>
        </w:tc>
        <w:tc>
          <w:tcPr>
            <w:tcW w:w="2070" w:type="dxa"/>
            <w:vAlign w:val="center"/>
          </w:tcPr>
          <w:p>
            <w:pPr>
              <w:widowControl/>
              <w:spacing w:line="260" w:lineRule="exact"/>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p>
        </w:tc>
        <w:tc>
          <w:tcPr>
            <w:tcW w:w="144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信息形成或者变更之日起20个工作日内</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■政府网站</w:t>
            </w:r>
          </w:p>
          <w:p>
            <w:pPr>
              <w:widowControl/>
              <w:rPr>
                <w:rFonts w:ascii="仿宋_GB2312" w:hAnsi="宋体" w:eastAsia="仿宋_GB2312"/>
                <w:color w:val="000000"/>
                <w:sz w:val="18"/>
                <w:szCs w:val="18"/>
                <w:highlight w:val="none"/>
              </w:rPr>
            </w:pP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9</w:t>
            </w:r>
          </w:p>
        </w:tc>
        <w:tc>
          <w:tcPr>
            <w:tcW w:w="720" w:type="dxa"/>
            <w:vMerge w:val="continue"/>
            <w:vAlign w:val="center"/>
          </w:tcPr>
          <w:p>
            <w:pPr>
              <w:widowControl/>
              <w:jc w:val="center"/>
              <w:rPr>
                <w:rFonts w:ascii="仿宋_GB2312" w:hAnsi="宋体" w:eastAsia="仿宋_GB2312"/>
                <w:color w:val="000000"/>
                <w:sz w:val="18"/>
                <w:szCs w:val="18"/>
                <w:highlight w:val="none"/>
              </w:rPr>
            </w:pPr>
          </w:p>
        </w:tc>
        <w:tc>
          <w:tcPr>
            <w:tcW w:w="839"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建设用地、临时建设用地规划许可</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新办、变更、延续、补证、注销的办理情况</w:t>
            </w:r>
            <w:r>
              <w:rPr>
                <w:rFonts w:hint="eastAsia" w:ascii="仿宋_GB2312" w:hAnsi="宋体" w:eastAsia="仿宋_GB2312"/>
                <w:color w:val="000000"/>
                <w:sz w:val="18"/>
                <w:szCs w:val="18"/>
                <w:highlight w:val="none"/>
              </w:rPr>
              <w:t>（涉密项目除外）</w:t>
            </w:r>
          </w:p>
        </w:tc>
        <w:tc>
          <w:tcPr>
            <w:tcW w:w="2070"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《中华人民共和国城乡规划法》</w:t>
            </w:r>
            <w:r>
              <w:rPr>
                <w:rFonts w:hint="eastAsia" w:ascii="仿宋_GB2312" w:hAnsi="宋体" w:eastAsia="仿宋_GB2312"/>
                <w:color w:val="000000"/>
                <w:sz w:val="18"/>
                <w:szCs w:val="18"/>
                <w:highlight w:val="none"/>
                <w:lang w:eastAsia="zh-CN"/>
              </w:rPr>
              <w:t>、</w:t>
            </w:r>
            <w:r>
              <w:rPr>
                <w:rFonts w:hint="eastAsia" w:ascii="仿宋_GB2312" w:hAnsi="宋体" w:eastAsia="仿宋_GB2312"/>
                <w:color w:val="000000"/>
                <w:sz w:val="18"/>
                <w:szCs w:val="18"/>
                <w:highlight w:val="none"/>
              </w:rPr>
              <w:t>《广西壮族自治区实施〈中华人民共和国城乡规划法〉办法》、</w:t>
            </w:r>
            <w:r>
              <w:rPr>
                <w:rFonts w:ascii="仿宋_GB2312" w:hAnsi="宋体" w:eastAsia="仿宋_GB2312"/>
                <w:color w:val="000000"/>
                <w:sz w:val="18"/>
                <w:szCs w:val="18"/>
                <w:highlight w:val="none"/>
              </w:rPr>
              <w:t>《政府信息公开条例》</w:t>
            </w:r>
          </w:p>
        </w:tc>
        <w:tc>
          <w:tcPr>
            <w:tcW w:w="1440" w:type="dxa"/>
            <w:vAlign w:val="center"/>
          </w:tcPr>
          <w:p>
            <w:pPr>
              <w:widowControl/>
              <w:rPr>
                <w:rFonts w:hint="eastAsia" w:ascii="仿宋_GB2312" w:hAnsi="宋体" w:eastAsia="仿宋_GB2312"/>
                <w:color w:val="000000"/>
                <w:sz w:val="18"/>
                <w:szCs w:val="18"/>
                <w:highlight w:val="none"/>
                <w:lang w:eastAsia="zh-CN"/>
              </w:rPr>
            </w:pPr>
            <w:r>
              <w:rPr>
                <w:rFonts w:ascii="仿宋_GB2312" w:hAnsi="宋体" w:eastAsia="仿宋_GB2312"/>
                <w:color w:val="000000"/>
                <w:sz w:val="18"/>
                <w:szCs w:val="18"/>
                <w:highlight w:val="none"/>
              </w:rPr>
              <w:t>信息形成或者变更之日起20个工作日内</w:t>
            </w:r>
            <w:r>
              <w:rPr>
                <w:rFonts w:hint="eastAsia" w:ascii="仿宋_GB2312" w:hAnsi="宋体" w:eastAsia="仿宋_GB2312"/>
                <w:color w:val="000000"/>
                <w:sz w:val="18"/>
                <w:szCs w:val="18"/>
                <w:highlight w:val="none"/>
                <w:lang w:eastAsia="zh-CN"/>
              </w:rPr>
              <w:t>，其中</w:t>
            </w:r>
            <w:r>
              <w:rPr>
                <w:rFonts w:hint="eastAsia" w:ascii="仿宋_GB2312" w:hAnsi="Times New Roman" w:eastAsia="仿宋_GB2312"/>
                <w:color w:val="auto"/>
                <w:sz w:val="18"/>
                <w:szCs w:val="18"/>
                <w:highlight w:val="none"/>
              </w:rPr>
              <w:t>行政许可事项应自作出行政决定之日起7个工作日内公示</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spacing w:line="260" w:lineRule="exac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■政府网站</w:t>
            </w:r>
          </w:p>
          <w:p>
            <w:pPr>
              <w:widowControl/>
              <w:spacing w:line="260" w:lineRule="exact"/>
              <w:rPr>
                <w:rFonts w:ascii="仿宋_GB2312" w:hAnsi="宋体" w:eastAsia="仿宋_GB2312"/>
                <w:color w:val="000000"/>
                <w:sz w:val="18"/>
                <w:szCs w:val="18"/>
                <w:highlight w:val="none"/>
              </w:rPr>
            </w:pP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10</w:t>
            </w:r>
          </w:p>
        </w:tc>
        <w:tc>
          <w:tcPr>
            <w:tcW w:w="720" w:type="dxa"/>
            <w:vMerge w:val="continue"/>
            <w:vAlign w:val="center"/>
          </w:tcPr>
          <w:p>
            <w:pPr>
              <w:widowControl/>
              <w:jc w:val="center"/>
              <w:rPr>
                <w:rFonts w:ascii="仿宋_GB2312" w:hAnsi="宋体" w:eastAsia="仿宋_GB2312"/>
                <w:color w:val="000000"/>
                <w:sz w:val="18"/>
                <w:szCs w:val="18"/>
                <w:highlight w:val="none"/>
              </w:rPr>
            </w:pPr>
          </w:p>
        </w:tc>
        <w:tc>
          <w:tcPr>
            <w:tcW w:w="839" w:type="dxa"/>
            <w:vAlign w:val="center"/>
          </w:tcPr>
          <w:p>
            <w:pPr>
              <w:widowControl/>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建设工程、临时建设工程规划许可</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新办、变更、延续、补证、注销的办理情况</w:t>
            </w:r>
            <w:r>
              <w:rPr>
                <w:rFonts w:hint="eastAsia" w:ascii="仿宋_GB2312" w:hAnsi="宋体" w:eastAsia="仿宋_GB2312"/>
                <w:color w:val="000000"/>
                <w:sz w:val="18"/>
                <w:szCs w:val="18"/>
                <w:highlight w:val="none"/>
              </w:rPr>
              <w:t>（涉密项目除外）</w:t>
            </w:r>
          </w:p>
        </w:tc>
        <w:tc>
          <w:tcPr>
            <w:tcW w:w="2070" w:type="dxa"/>
            <w:vAlign w:val="center"/>
          </w:tcPr>
          <w:p>
            <w:pPr>
              <w:widowControl/>
              <w:spacing w:line="240" w:lineRule="exact"/>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《中华人民共和国城乡规划法》</w:t>
            </w:r>
            <w:r>
              <w:rPr>
                <w:rFonts w:hint="eastAsia" w:ascii="仿宋_GB2312" w:hAnsi="宋体" w:eastAsia="仿宋_GB2312"/>
                <w:color w:val="000000"/>
                <w:sz w:val="18"/>
                <w:szCs w:val="18"/>
                <w:highlight w:val="none"/>
                <w:lang w:eastAsia="zh-CN"/>
              </w:rPr>
              <w:t>、</w:t>
            </w:r>
            <w:r>
              <w:rPr>
                <w:rFonts w:hint="eastAsia" w:ascii="仿宋_GB2312" w:hAnsi="宋体" w:eastAsia="仿宋_GB2312"/>
                <w:color w:val="000000"/>
                <w:sz w:val="18"/>
                <w:szCs w:val="18"/>
                <w:highlight w:val="none"/>
              </w:rPr>
              <w:t>《广西壮族自治区实施〈中华人民共和国城乡规划法〉办法》、</w:t>
            </w:r>
            <w:r>
              <w:rPr>
                <w:rFonts w:ascii="仿宋_GB2312" w:hAnsi="宋体" w:eastAsia="仿宋_GB2312"/>
                <w:color w:val="000000"/>
                <w:sz w:val="18"/>
                <w:szCs w:val="18"/>
                <w:highlight w:val="none"/>
              </w:rPr>
              <w:t>《政府信息公开条例》</w:t>
            </w:r>
          </w:p>
        </w:tc>
        <w:tc>
          <w:tcPr>
            <w:tcW w:w="1440" w:type="dxa"/>
            <w:vAlign w:val="center"/>
          </w:tcPr>
          <w:p>
            <w:pPr>
              <w:widowControl/>
              <w:rPr>
                <w:rFonts w:hint="eastAsia" w:ascii="仿宋_GB2312" w:hAnsi="宋体" w:eastAsia="仿宋_GB2312"/>
                <w:color w:val="000000"/>
                <w:sz w:val="18"/>
                <w:szCs w:val="18"/>
                <w:highlight w:val="none"/>
                <w:lang w:eastAsia="zh-CN"/>
              </w:rPr>
            </w:pPr>
            <w:r>
              <w:rPr>
                <w:rFonts w:ascii="仿宋_GB2312" w:hAnsi="宋体" w:eastAsia="仿宋_GB2312"/>
                <w:color w:val="000000"/>
                <w:sz w:val="18"/>
                <w:szCs w:val="18"/>
                <w:highlight w:val="none"/>
              </w:rPr>
              <w:t>信息形成或者变更之日起20个工作日内</w:t>
            </w:r>
            <w:r>
              <w:rPr>
                <w:rFonts w:hint="eastAsia" w:ascii="仿宋_GB2312" w:hAnsi="宋体"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spacing w:line="260" w:lineRule="exac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p>
            <w:pPr>
              <w:widowControl/>
              <w:spacing w:line="260" w:lineRule="exact"/>
              <w:rPr>
                <w:rFonts w:ascii="仿宋_GB2312" w:hAnsi="宋体" w:eastAsia="仿宋_GB2312"/>
                <w:color w:val="000000"/>
                <w:sz w:val="18"/>
                <w:szCs w:val="18"/>
                <w:highlight w:val="none"/>
              </w:rPr>
            </w:pP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11</w:t>
            </w: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规划许可</w:t>
            </w:r>
          </w:p>
        </w:tc>
        <w:tc>
          <w:tcPr>
            <w:tcW w:w="839"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乡村建设规划许可</w:t>
            </w:r>
          </w:p>
        </w:tc>
        <w:tc>
          <w:tcPr>
            <w:tcW w:w="2116" w:type="dxa"/>
            <w:vAlign w:val="center"/>
          </w:tcPr>
          <w:p>
            <w:pPr>
              <w:widowControl/>
              <w:spacing w:line="260" w:lineRule="exact"/>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新办、变更、延续、补证、注销的办理情况</w:t>
            </w:r>
          </w:p>
        </w:tc>
        <w:tc>
          <w:tcPr>
            <w:tcW w:w="2070" w:type="dxa"/>
            <w:vAlign w:val="center"/>
          </w:tcPr>
          <w:p>
            <w:pPr>
              <w:widowControl/>
              <w:spacing w:line="260" w:lineRule="exact"/>
              <w:jc w:val="left"/>
              <w:rPr>
                <w:rFonts w:hint="eastAsia" w:ascii="仿宋_GB2312" w:hAnsi="宋体" w:eastAsia="仿宋_GB2312"/>
                <w:color w:val="000000"/>
                <w:sz w:val="18"/>
                <w:szCs w:val="18"/>
                <w:highlight w:val="none"/>
                <w:lang w:eastAsia="zh-CN"/>
              </w:rPr>
            </w:pPr>
            <w:r>
              <w:rPr>
                <w:rFonts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lang w:eastAsia="zh-CN"/>
              </w:rPr>
              <w:t>、《中华人民共和国城乡规划法》、《广西壮族自治区实施〈中华人民共和国城乡规划法〉办法》</w:t>
            </w:r>
          </w:p>
          <w:p>
            <w:pPr>
              <w:widowControl/>
              <w:spacing w:line="260" w:lineRule="exact"/>
              <w:jc w:val="left"/>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《广西壮族自治区乡村规划建设管理条例》</w:t>
            </w:r>
          </w:p>
        </w:tc>
        <w:tc>
          <w:tcPr>
            <w:tcW w:w="1440" w:type="dxa"/>
            <w:vAlign w:val="center"/>
          </w:tcPr>
          <w:p>
            <w:pPr>
              <w:widowControl/>
              <w:rPr>
                <w:rFonts w:hint="eastAsia" w:ascii="仿宋_GB2312" w:hAnsi="宋体" w:eastAsia="仿宋_GB2312"/>
                <w:color w:val="000000"/>
                <w:sz w:val="18"/>
                <w:szCs w:val="18"/>
                <w:highlight w:val="none"/>
                <w:lang w:eastAsia="zh-CN"/>
              </w:rPr>
            </w:pPr>
            <w:r>
              <w:rPr>
                <w:rFonts w:ascii="仿宋_GB2312" w:hAnsi="宋体" w:eastAsia="仿宋_GB2312"/>
                <w:color w:val="000000"/>
                <w:sz w:val="18"/>
                <w:szCs w:val="18"/>
                <w:highlight w:val="none"/>
              </w:rPr>
              <w:t>信息形成或者变更之日起20个工作日内</w:t>
            </w:r>
            <w:r>
              <w:rPr>
                <w:rFonts w:hint="eastAsia" w:ascii="仿宋_GB2312" w:hAnsi="宋体"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柳城县自然资源和规划局、各乡镇人民政府</w:t>
            </w:r>
          </w:p>
        </w:tc>
        <w:tc>
          <w:tcPr>
            <w:tcW w:w="2595" w:type="dxa"/>
            <w:vAlign w:val="center"/>
          </w:tcPr>
          <w:p>
            <w:pPr>
              <w:widowControl/>
              <w:spacing w:line="260" w:lineRule="exac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p>
            <w:pPr>
              <w:widowControl/>
              <w:rPr>
                <w:rFonts w:ascii="仿宋_GB2312" w:hAnsi="宋体" w:eastAsia="仿宋_GB2312"/>
                <w:color w:val="000000"/>
                <w:sz w:val="18"/>
                <w:szCs w:val="18"/>
                <w:highlight w:val="none"/>
              </w:rPr>
            </w:pP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12</w:t>
            </w:r>
          </w:p>
        </w:tc>
        <w:tc>
          <w:tcPr>
            <w:tcW w:w="720" w:type="dxa"/>
            <w:vAlign w:val="center"/>
          </w:tcPr>
          <w:p>
            <w:pPr>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行政处罚</w:t>
            </w:r>
          </w:p>
        </w:tc>
        <w:tc>
          <w:tcPr>
            <w:tcW w:w="839"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行政处罚基本信息</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执法主体、执法人员姓名及证件编号、职责、权限、查处依据、工作程序、救济渠道和随机抽查事项清单等信息</w:t>
            </w:r>
          </w:p>
        </w:tc>
        <w:tc>
          <w:tcPr>
            <w:tcW w:w="207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《关于全面推行行政执法公示制度执法全过程记录制度重大执法决定法制审核制度的指导意见》</w:t>
            </w:r>
          </w:p>
        </w:tc>
        <w:tc>
          <w:tcPr>
            <w:tcW w:w="1440" w:type="dxa"/>
            <w:vAlign w:val="center"/>
          </w:tcPr>
          <w:p>
            <w:pPr>
              <w:widowControl/>
              <w:rPr>
                <w:rFonts w:hint="eastAsia" w:ascii="仿宋_GB2312" w:hAnsi="宋体" w:eastAsia="仿宋_GB2312"/>
                <w:color w:val="000000"/>
                <w:sz w:val="18"/>
                <w:szCs w:val="18"/>
                <w:highlight w:val="none"/>
                <w:lang w:eastAsia="zh-CN"/>
              </w:rPr>
            </w:pPr>
            <w:r>
              <w:rPr>
                <w:rFonts w:ascii="仿宋_GB2312" w:hAnsi="宋体" w:eastAsia="仿宋_GB2312"/>
                <w:color w:val="000000"/>
                <w:sz w:val="18"/>
                <w:szCs w:val="18"/>
                <w:highlight w:val="none"/>
              </w:rPr>
              <w:t>信息形成或者变更之日起20个工作日内</w:t>
            </w:r>
            <w:r>
              <w:rPr>
                <w:rFonts w:hint="eastAsia" w:ascii="仿宋_GB2312" w:hAnsi="宋体"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其行政处罚事项应自作出行政决定之日起7个工作日内公示</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spacing w:line="260" w:lineRule="exac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7" w:type="dxa"/>
            <w:vAlign w:val="center"/>
          </w:tcPr>
          <w:p>
            <w:pPr>
              <w:widowControl/>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13</w:t>
            </w: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行政处罚</w:t>
            </w:r>
          </w:p>
        </w:tc>
        <w:tc>
          <w:tcPr>
            <w:tcW w:w="839"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事后公开</w:t>
            </w:r>
          </w:p>
        </w:tc>
        <w:tc>
          <w:tcPr>
            <w:tcW w:w="2116" w:type="dxa"/>
            <w:vAlign w:val="center"/>
          </w:tcPr>
          <w:p>
            <w:pPr>
              <w:widowControl/>
              <w:jc w:val="lef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作出的行政处罚决定信息（法律、行政法规另有规定的除外）</w:t>
            </w:r>
          </w:p>
        </w:tc>
        <w:tc>
          <w:tcPr>
            <w:tcW w:w="2070" w:type="dxa"/>
            <w:vAlign w:val="center"/>
          </w:tcPr>
          <w:p>
            <w:pPr>
              <w:widowControl/>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《城乡规划法》</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rPr>
              <w:t>、</w:t>
            </w:r>
            <w:r>
              <w:rPr>
                <w:rFonts w:ascii="仿宋_GB2312" w:hAnsi="宋体" w:eastAsia="仿宋_GB2312"/>
                <w:color w:val="000000"/>
                <w:sz w:val="18"/>
                <w:szCs w:val="18"/>
                <w:highlight w:val="none"/>
              </w:rPr>
              <w:t>《关于全面推行行政执法公示制度执法全过程记录制度重大执法决定法制审核制度的指导意见》</w:t>
            </w:r>
          </w:p>
        </w:tc>
        <w:tc>
          <w:tcPr>
            <w:tcW w:w="1440" w:type="dxa"/>
            <w:vAlign w:val="center"/>
          </w:tcPr>
          <w:p>
            <w:pPr>
              <w:widowControl/>
              <w:jc w:val="center"/>
              <w:rPr>
                <w:rFonts w:hint="eastAsia" w:ascii="仿宋_GB2312" w:hAnsi="宋体" w:eastAsia="仿宋_GB2312"/>
                <w:color w:val="000000"/>
                <w:sz w:val="18"/>
                <w:szCs w:val="18"/>
                <w:highlight w:val="none"/>
                <w:lang w:eastAsia="zh-CN"/>
              </w:rPr>
            </w:pPr>
            <w:r>
              <w:rPr>
                <w:rFonts w:hint="eastAsia" w:ascii="仿宋_GB2312" w:hAnsi="Times New Roman" w:eastAsia="仿宋_GB2312"/>
                <w:color w:val="auto"/>
                <w:sz w:val="18"/>
                <w:szCs w:val="18"/>
                <w:highlight w:val="none"/>
              </w:rPr>
              <w:t>行政处罚事项应自作出行政决定之日起</w:t>
            </w:r>
            <w:r>
              <w:rPr>
                <w:rFonts w:ascii="仿宋_GB2312" w:hAnsi="宋体" w:eastAsia="仿宋_GB2312"/>
                <w:color w:val="000000"/>
                <w:sz w:val="18"/>
                <w:szCs w:val="18"/>
                <w:highlight w:val="none"/>
              </w:rPr>
              <w:t>7个工作日</w:t>
            </w:r>
            <w:r>
              <w:rPr>
                <w:rFonts w:hint="eastAsia" w:ascii="仿宋_GB2312" w:hAnsi="宋体" w:eastAsia="仿宋_GB2312"/>
                <w:color w:val="000000"/>
                <w:sz w:val="18"/>
                <w:szCs w:val="18"/>
                <w:highlight w:val="none"/>
                <w:lang w:eastAsia="zh-CN"/>
              </w:rPr>
              <w:t>内公示</w:t>
            </w:r>
          </w:p>
        </w:tc>
        <w:tc>
          <w:tcPr>
            <w:tcW w:w="1305" w:type="dxa"/>
            <w:vAlign w:val="center"/>
          </w:tcPr>
          <w:p>
            <w:pPr>
              <w:widowControl/>
              <w:jc w:val="center"/>
              <w:rPr>
                <w:rFonts w:ascii="仿宋_GB2312" w:hAnsi="宋体" w:eastAsia="仿宋_GB2312"/>
                <w:color w:val="000000"/>
                <w:sz w:val="18"/>
                <w:szCs w:val="18"/>
                <w:highlight w:val="none"/>
              </w:rPr>
            </w:pPr>
            <w:r>
              <w:rPr>
                <w:rFonts w:hint="eastAsia" w:ascii="仿宋_GB2312" w:hAnsi="Times New Roman" w:eastAsia="仿宋_GB2312"/>
                <w:sz w:val="18"/>
                <w:szCs w:val="18"/>
                <w:highlight w:val="none"/>
              </w:rPr>
              <w:t>柳城县自然资源和规划局</w:t>
            </w:r>
          </w:p>
        </w:tc>
        <w:tc>
          <w:tcPr>
            <w:tcW w:w="2595" w:type="dxa"/>
            <w:vAlign w:val="center"/>
          </w:tcPr>
          <w:p>
            <w:pPr>
              <w:widowControl/>
              <w:spacing w:line="260" w:lineRule="exact"/>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 xml:space="preserve">■政府网站 </w:t>
            </w:r>
          </w:p>
        </w:tc>
        <w:tc>
          <w:tcPr>
            <w:tcW w:w="645"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50" w:type="dxa"/>
            <w:vAlign w:val="center"/>
          </w:tcPr>
          <w:p>
            <w:pPr>
              <w:widowControl/>
              <w:jc w:val="center"/>
              <w:rPr>
                <w:rFonts w:ascii="仿宋_GB2312" w:hAnsi="宋体" w:eastAsia="仿宋_GB2312"/>
                <w:color w:val="000000"/>
                <w:sz w:val="18"/>
                <w:szCs w:val="18"/>
                <w:highlight w:val="none"/>
              </w:rPr>
            </w:pPr>
          </w:p>
        </w:tc>
        <w:tc>
          <w:tcPr>
            <w:tcW w:w="72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95" w:type="dxa"/>
            <w:vAlign w:val="center"/>
          </w:tcPr>
          <w:p>
            <w:pPr>
              <w:widowControl/>
              <w:jc w:val="center"/>
              <w:rPr>
                <w:rFonts w:ascii="仿宋_GB2312" w:hAnsi="宋体" w:eastAsia="仿宋_GB2312"/>
                <w:color w:val="000000"/>
                <w:sz w:val="18"/>
                <w:szCs w:val="18"/>
                <w:highlight w:val="none"/>
              </w:rPr>
            </w:pPr>
          </w:p>
        </w:tc>
        <w:tc>
          <w:tcPr>
            <w:tcW w:w="660" w:type="dxa"/>
            <w:vAlign w:val="center"/>
          </w:tcPr>
          <w:p>
            <w:pPr>
              <w:widowControl/>
              <w:jc w:val="center"/>
              <w:rPr>
                <w:rFonts w:ascii="仿宋_GB2312" w:hAnsi="宋体" w:eastAsia="仿宋_GB2312"/>
                <w:color w:val="000000"/>
                <w:sz w:val="18"/>
                <w:szCs w:val="18"/>
                <w:highlight w:val="none"/>
              </w:rPr>
            </w:pPr>
            <w:r>
              <w:rPr>
                <w:rFonts w:ascii="仿宋_GB2312" w:hAnsi="宋体" w:eastAsia="仿宋_GB2312"/>
                <w:color w:val="000000"/>
                <w:sz w:val="18"/>
                <w:szCs w:val="18"/>
                <w:highlight w:val="none"/>
              </w:rPr>
              <w:t>√</w:t>
            </w:r>
          </w:p>
        </w:tc>
        <w:tc>
          <w:tcPr>
            <w:tcW w:w="765" w:type="dxa"/>
            <w:vAlign w:val="center"/>
          </w:tcPr>
          <w:p>
            <w:pPr>
              <w:widowControl/>
              <w:jc w:val="center"/>
              <w:rPr>
                <w:rFonts w:ascii="仿宋_GB2312" w:hAnsi="宋体" w:eastAsia="仿宋_GB2312"/>
                <w:color w:val="000000"/>
                <w:sz w:val="18"/>
                <w:szCs w:val="18"/>
                <w:highlight w:val="none"/>
              </w:rPr>
            </w:pPr>
          </w:p>
        </w:tc>
      </w:tr>
    </w:tbl>
    <w:p>
      <w:pPr>
        <w:jc w:val="center"/>
        <w:rPr>
          <w:rFonts w:ascii="方正小标宋_GBK" w:hAnsi="方正小标宋_GBK" w:eastAsia="方正小标宋_GBK"/>
          <w:kern w:val="44"/>
          <w:sz w:val="30"/>
          <w:szCs w:val="44"/>
        </w:rPr>
      </w:pPr>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lYTYyNjU1OGI4MzM0NWYzNDFlNmExMmM2YmMzYzYifQ=="/>
  </w:docVars>
  <w:rsids>
    <w:rsidRoot w:val="001B7610"/>
    <w:rsid w:val="001B7610"/>
    <w:rsid w:val="00BC02E7"/>
    <w:rsid w:val="1F3A0C49"/>
    <w:rsid w:val="2653234D"/>
    <w:rsid w:val="302F4351"/>
    <w:rsid w:val="34371E35"/>
    <w:rsid w:val="48C43850"/>
    <w:rsid w:val="4AC31FF6"/>
    <w:rsid w:val="4D824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1542</Words>
  <Characters>1559</Characters>
  <Lines>12</Lines>
  <Paragraphs>3</Paragraphs>
  <TotalTime>1</TotalTime>
  <ScaleCrop>false</ScaleCrop>
  <LinksUpToDate>false</LinksUpToDate>
  <CharactersWithSpaces>1574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2023-05-08T00:08:32Z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E3D4826F1D8744AFAB4974CE59BEB505</vt:lpwstr>
  </property>
</Properties>
</file>