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ascii="方正小标宋_GBK" w:hAnsi="方正小标宋_GBK" w:eastAsia="方正小标宋_GBK"/>
          <w:b w:val="0"/>
          <w:bCs w:val="0"/>
          <w:sz w:val="30"/>
          <w:lang w:val="en-US" w:eastAsia="zh-CN"/>
        </w:rPr>
        <w:t>2022年</w:t>
      </w:r>
      <w:r>
        <w:rPr>
          <w:rFonts w:hint="eastAsia" w:ascii="方正小标宋_GBK" w:hAnsi="方正小标宋_GBK" w:eastAsia="方正小标宋_GBK"/>
          <w:b w:val="0"/>
          <w:bCs w:val="0"/>
          <w:sz w:val="30"/>
        </w:rPr>
        <w:t>市政服务领域基层政务公开标准目录</w:t>
      </w:r>
    </w:p>
    <w:tbl>
      <w:tblPr>
        <w:tblStyle w:val="3"/>
        <w:tblW w:w="14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80"/>
        <w:gridCol w:w="798"/>
        <w:gridCol w:w="1620"/>
        <w:gridCol w:w="2565"/>
        <w:gridCol w:w="1275"/>
        <w:gridCol w:w="1236"/>
        <w:gridCol w:w="1524"/>
        <w:gridCol w:w="600"/>
        <w:gridCol w:w="840"/>
        <w:gridCol w:w="615"/>
        <w:gridCol w:w="690"/>
        <w:gridCol w:w="510"/>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8" w:type="dxa"/>
            <w:vMerge w:val="restart"/>
            <w:vAlign w:val="center"/>
          </w:tcPr>
          <w:p>
            <w:pPr>
              <w:widowControl/>
              <w:jc w:val="center"/>
              <w:rPr>
                <w:rFonts w:ascii="仿宋_GB2312" w:hAnsi="Times New Roman" w:eastAsia="仿宋_GB2312"/>
                <w:color w:val="000000"/>
                <w:kern w:val="0"/>
                <w:sz w:val="18"/>
                <w:szCs w:val="18"/>
                <w:highlight w:val="none"/>
              </w:rPr>
            </w:pPr>
            <w:bookmarkStart w:id="0" w:name="_GoBack"/>
            <w:r>
              <w:rPr>
                <w:rFonts w:hint="eastAsia" w:ascii="黑体" w:hAnsi="宋体" w:eastAsia="黑体" w:cs="宋体"/>
                <w:kern w:val="0"/>
                <w:sz w:val="22"/>
                <w:highlight w:val="none"/>
              </w:rPr>
              <w:t>序号</w:t>
            </w:r>
          </w:p>
        </w:tc>
        <w:tc>
          <w:tcPr>
            <w:tcW w:w="1578" w:type="dxa"/>
            <w:gridSpan w:val="2"/>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公开事项</w:t>
            </w:r>
          </w:p>
        </w:tc>
        <w:tc>
          <w:tcPr>
            <w:tcW w:w="1620" w:type="dxa"/>
            <w:vMerge w:val="restart"/>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公开内容（要素）</w:t>
            </w:r>
          </w:p>
        </w:tc>
        <w:tc>
          <w:tcPr>
            <w:tcW w:w="2565" w:type="dxa"/>
            <w:vMerge w:val="restart"/>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公开依据</w:t>
            </w:r>
          </w:p>
        </w:tc>
        <w:tc>
          <w:tcPr>
            <w:tcW w:w="1275" w:type="dxa"/>
            <w:vMerge w:val="restart"/>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w:t>
            </w:r>
          </w:p>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时限</w:t>
            </w:r>
          </w:p>
        </w:tc>
        <w:tc>
          <w:tcPr>
            <w:tcW w:w="1236" w:type="dxa"/>
            <w:vMerge w:val="restart"/>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w:t>
            </w:r>
          </w:p>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主体</w:t>
            </w:r>
          </w:p>
        </w:tc>
        <w:tc>
          <w:tcPr>
            <w:tcW w:w="1524" w:type="dxa"/>
            <w:vMerge w:val="restart"/>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公开渠道和载体</w:t>
            </w:r>
          </w:p>
        </w:tc>
        <w:tc>
          <w:tcPr>
            <w:tcW w:w="144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公开对象</w:t>
            </w:r>
          </w:p>
        </w:tc>
        <w:tc>
          <w:tcPr>
            <w:tcW w:w="1305"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公开方式</w:t>
            </w:r>
          </w:p>
        </w:tc>
        <w:tc>
          <w:tcPr>
            <w:tcW w:w="1217"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78" w:type="dxa"/>
            <w:vMerge w:val="continue"/>
            <w:vAlign w:val="center"/>
          </w:tcPr>
          <w:p>
            <w:pPr>
              <w:widowControl/>
              <w:jc w:val="left"/>
              <w:rPr>
                <w:rFonts w:ascii="仿宋_GB2312" w:hAnsi="Times New Roman" w:eastAsia="仿宋_GB2312"/>
                <w:color w:val="000000"/>
                <w:kern w:val="0"/>
                <w:sz w:val="18"/>
                <w:szCs w:val="18"/>
                <w:highlight w:val="none"/>
              </w:rPr>
            </w:pPr>
          </w:p>
        </w:tc>
        <w:tc>
          <w:tcPr>
            <w:tcW w:w="780" w:type="dxa"/>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一级事项</w:t>
            </w:r>
          </w:p>
        </w:tc>
        <w:tc>
          <w:tcPr>
            <w:tcW w:w="798" w:type="dxa"/>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二级事项</w:t>
            </w:r>
          </w:p>
        </w:tc>
        <w:tc>
          <w:tcPr>
            <w:tcW w:w="1620" w:type="dxa"/>
            <w:vMerge w:val="continue"/>
            <w:vAlign w:val="center"/>
          </w:tcPr>
          <w:p>
            <w:pPr>
              <w:widowControl/>
              <w:jc w:val="left"/>
              <w:rPr>
                <w:rFonts w:ascii="黑体" w:hAnsi="宋体" w:eastAsia="黑体" w:cs="宋体"/>
                <w:kern w:val="0"/>
                <w:sz w:val="22"/>
                <w:highlight w:val="none"/>
              </w:rPr>
            </w:pPr>
          </w:p>
        </w:tc>
        <w:tc>
          <w:tcPr>
            <w:tcW w:w="2565" w:type="dxa"/>
            <w:vMerge w:val="continue"/>
            <w:vAlign w:val="center"/>
          </w:tcPr>
          <w:p>
            <w:pPr>
              <w:widowControl/>
              <w:jc w:val="left"/>
              <w:rPr>
                <w:rFonts w:ascii="黑体" w:hAnsi="宋体" w:eastAsia="黑体" w:cs="宋体"/>
                <w:kern w:val="0"/>
                <w:sz w:val="22"/>
                <w:highlight w:val="none"/>
              </w:rPr>
            </w:pPr>
          </w:p>
        </w:tc>
        <w:tc>
          <w:tcPr>
            <w:tcW w:w="1275" w:type="dxa"/>
            <w:vMerge w:val="continue"/>
            <w:vAlign w:val="center"/>
          </w:tcPr>
          <w:p>
            <w:pPr>
              <w:widowControl/>
              <w:jc w:val="left"/>
              <w:rPr>
                <w:rFonts w:ascii="黑体" w:hAnsi="宋体" w:eastAsia="黑体" w:cs="宋体"/>
                <w:kern w:val="0"/>
                <w:sz w:val="22"/>
                <w:highlight w:val="none"/>
              </w:rPr>
            </w:pPr>
          </w:p>
        </w:tc>
        <w:tc>
          <w:tcPr>
            <w:tcW w:w="1236" w:type="dxa"/>
            <w:vMerge w:val="continue"/>
            <w:vAlign w:val="center"/>
          </w:tcPr>
          <w:p>
            <w:pPr>
              <w:widowControl/>
              <w:jc w:val="left"/>
              <w:rPr>
                <w:rFonts w:ascii="黑体" w:hAnsi="宋体" w:eastAsia="黑体" w:cs="宋体"/>
                <w:kern w:val="0"/>
                <w:sz w:val="22"/>
                <w:highlight w:val="none"/>
              </w:rPr>
            </w:pPr>
          </w:p>
        </w:tc>
        <w:tc>
          <w:tcPr>
            <w:tcW w:w="1524" w:type="dxa"/>
            <w:vMerge w:val="continue"/>
            <w:vAlign w:val="center"/>
          </w:tcPr>
          <w:p>
            <w:pPr>
              <w:widowControl/>
              <w:jc w:val="left"/>
              <w:rPr>
                <w:rFonts w:ascii="黑体" w:hAnsi="宋体" w:eastAsia="黑体" w:cs="宋体"/>
                <w:kern w:val="0"/>
                <w:sz w:val="22"/>
                <w:highlight w:val="none"/>
              </w:rPr>
            </w:pPr>
          </w:p>
        </w:tc>
        <w:tc>
          <w:tcPr>
            <w:tcW w:w="60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全社会</w:t>
            </w:r>
          </w:p>
        </w:tc>
        <w:tc>
          <w:tcPr>
            <w:tcW w:w="84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特定</w:t>
            </w:r>
          </w:p>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群众</w:t>
            </w:r>
          </w:p>
        </w:tc>
        <w:tc>
          <w:tcPr>
            <w:tcW w:w="61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主动</w:t>
            </w:r>
          </w:p>
        </w:tc>
        <w:tc>
          <w:tcPr>
            <w:tcW w:w="69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依申请公开</w:t>
            </w:r>
          </w:p>
        </w:tc>
        <w:tc>
          <w:tcPr>
            <w:tcW w:w="51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县级</w:t>
            </w:r>
          </w:p>
        </w:tc>
        <w:tc>
          <w:tcPr>
            <w:tcW w:w="707"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1" w:hRule="atLeast"/>
          <w:jc w:val="center"/>
        </w:trPr>
        <w:tc>
          <w:tcPr>
            <w:tcW w:w="578" w:type="dxa"/>
            <w:vAlign w:val="center"/>
          </w:tcPr>
          <w:p>
            <w:pPr>
              <w:jc w:val="center"/>
              <w:rPr>
                <w:rFonts w:ascii="仿宋_GB2312" w:hAnsi="宋体" w:eastAsia="仿宋_GB2312" w:cs="宋体"/>
                <w:sz w:val="18"/>
                <w:szCs w:val="18"/>
                <w:highlight w:val="none"/>
              </w:rPr>
            </w:pPr>
            <w:r>
              <w:rPr>
                <w:rFonts w:hint="eastAsia" w:ascii="仿宋_GB2312" w:eastAsia="仿宋_GB2312"/>
                <w:sz w:val="18"/>
                <w:szCs w:val="18"/>
                <w:highlight w:val="none"/>
              </w:rPr>
              <w:t>1</w:t>
            </w:r>
          </w:p>
        </w:tc>
        <w:tc>
          <w:tcPr>
            <w:tcW w:w="780" w:type="dxa"/>
            <w:vMerge w:val="restart"/>
            <w:vAlign w:val="center"/>
          </w:tcPr>
          <w:p>
            <w:pPr>
              <w:jc w:val="center"/>
              <w:rPr>
                <w:rFonts w:ascii="仿宋_GB2312" w:hAnsi="宋体" w:eastAsia="仿宋_GB2312" w:cs="宋体"/>
                <w:sz w:val="18"/>
                <w:szCs w:val="18"/>
                <w:highlight w:val="none"/>
              </w:rPr>
            </w:pPr>
            <w:r>
              <w:rPr>
                <w:rFonts w:hint="eastAsia" w:ascii="仿宋_GB2312" w:hAnsi="宋体" w:eastAsia="仿宋_GB2312"/>
                <w:sz w:val="18"/>
                <w:szCs w:val="18"/>
                <w:highlight w:val="none"/>
              </w:rPr>
              <w:t>城镇燃气管理</w:t>
            </w:r>
          </w:p>
        </w:tc>
        <w:tc>
          <w:tcPr>
            <w:tcW w:w="798"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燃气经营许可</w:t>
            </w:r>
          </w:p>
        </w:tc>
        <w:tc>
          <w:tcPr>
            <w:tcW w:w="1620" w:type="dxa"/>
            <w:vAlign w:val="center"/>
          </w:tcPr>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申请条件、</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申请材料、</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申请流程、</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法定依据</w:t>
            </w:r>
          </w:p>
        </w:tc>
        <w:tc>
          <w:tcPr>
            <w:tcW w:w="2565"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《城镇燃气管理条例》</w:t>
            </w:r>
          </w:p>
        </w:tc>
        <w:tc>
          <w:tcPr>
            <w:tcW w:w="1275" w:type="dxa"/>
            <w:vAlign w:val="center"/>
          </w:tcPr>
          <w:p>
            <w:pPr>
              <w:jc w:val="center"/>
              <w:rPr>
                <w:rFonts w:ascii="仿宋_GB2312" w:hAnsi="宋体" w:eastAsia="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rPr>
                <w:rFonts w:hint="eastAsia" w:ascii="仿宋_GB2312" w:hAnsi="宋体" w:eastAsia="仿宋_GB2312"/>
                <w:sz w:val="18"/>
                <w:szCs w:val="18"/>
                <w:highlight w:val="none"/>
                <w:lang w:eastAsia="zh-CN"/>
              </w:rPr>
            </w:pPr>
            <w:r>
              <w:rPr>
                <w:rFonts w:hint="eastAsia" w:ascii="仿宋_GB2312" w:hAnsi="宋体" w:eastAsia="仿宋_GB2312"/>
                <w:sz w:val="18"/>
                <w:szCs w:val="18"/>
                <w:highlight w:val="none"/>
              </w:rPr>
              <w:t>柳城县</w:t>
            </w:r>
            <w:r>
              <w:rPr>
                <w:rFonts w:hint="eastAsia" w:ascii="仿宋_GB2312" w:hAnsi="宋体" w:eastAsia="仿宋_GB2312"/>
                <w:sz w:val="18"/>
                <w:szCs w:val="18"/>
                <w:highlight w:val="none"/>
                <w:lang w:eastAsia="zh-CN"/>
              </w:rPr>
              <w:t>行政审批局</w:t>
            </w:r>
          </w:p>
        </w:tc>
        <w:tc>
          <w:tcPr>
            <w:tcW w:w="1524" w:type="dxa"/>
            <w:vMerge w:val="restart"/>
            <w:vAlign w:val="center"/>
          </w:tcPr>
          <w:p>
            <w:pPr>
              <w:rPr>
                <w:rFonts w:ascii="仿宋_GB2312" w:hAnsi="宋体" w:eastAsia="仿宋_GB2312"/>
                <w:sz w:val="18"/>
                <w:szCs w:val="18"/>
                <w:highlight w:val="none"/>
              </w:rPr>
            </w:pPr>
            <w:r>
              <w:rPr>
                <w:rFonts w:ascii="仿宋_GB2312" w:hAnsi="宋体" w:eastAsia="仿宋_GB2312"/>
                <w:sz w:val="18"/>
                <w:szCs w:val="18"/>
                <w:highlight w:val="none"/>
              </w:rPr>
              <w:t></w:t>
            </w:r>
          </w:p>
          <w:p>
            <w:pPr>
              <w:rPr>
                <w:rFonts w:ascii="仿宋_GB2312" w:hAnsi="宋体" w:eastAsia="仿宋_GB2312"/>
                <w:sz w:val="18"/>
                <w:szCs w:val="18"/>
                <w:highlight w:val="none"/>
              </w:rPr>
            </w:pPr>
            <w:r>
              <w:rPr>
                <w:rFonts w:hint="eastAsia" w:ascii="仿宋_GB2312" w:hAnsi="宋体" w:eastAsia="仿宋_GB2312"/>
                <w:sz w:val="18"/>
                <w:szCs w:val="18"/>
                <w:highlight w:val="none"/>
              </w:rPr>
              <w:t>■政府门户网站</w:t>
            </w:r>
          </w:p>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■公开查询点</w:t>
            </w:r>
          </w:p>
          <w:p>
            <w:pPr>
              <w:rPr>
                <w:rFonts w:ascii="仿宋_GB2312" w:hAnsi="宋体" w:eastAsia="仿宋_GB2312"/>
                <w:sz w:val="18"/>
                <w:szCs w:val="18"/>
                <w:highlight w:val="none"/>
              </w:rPr>
            </w:pPr>
          </w:p>
        </w:tc>
        <w:tc>
          <w:tcPr>
            <w:tcW w:w="60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84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615"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9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51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07" w:type="dxa"/>
            <w:vAlign w:val="center"/>
          </w:tcPr>
          <w:p>
            <w:pPr>
              <w:jc w:val="center"/>
              <w:rPr>
                <w:rFonts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atLeast"/>
          <w:jc w:val="center"/>
        </w:trPr>
        <w:tc>
          <w:tcPr>
            <w:tcW w:w="578" w:type="dxa"/>
            <w:vAlign w:val="center"/>
          </w:tcPr>
          <w:p>
            <w:pPr>
              <w:rPr>
                <w:highlight w:val="none"/>
              </w:rPr>
            </w:pPr>
            <w:r>
              <w:rPr>
                <w:rFonts w:hint="eastAsia" w:ascii="仿宋_GB2312" w:eastAsia="仿宋_GB2312"/>
                <w:sz w:val="18"/>
                <w:szCs w:val="18"/>
                <w:highlight w:val="none"/>
              </w:rPr>
              <w:t>2</w:t>
            </w:r>
          </w:p>
        </w:tc>
        <w:tc>
          <w:tcPr>
            <w:tcW w:w="780" w:type="dxa"/>
            <w:vMerge w:val="continue"/>
            <w:vAlign w:val="center"/>
          </w:tcPr>
          <w:p>
            <w:pPr>
              <w:rPr>
                <w:highlight w:val="none"/>
              </w:rPr>
            </w:pPr>
          </w:p>
        </w:tc>
        <w:tc>
          <w:tcPr>
            <w:tcW w:w="798"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燃气经营者</w:t>
            </w:r>
            <w:r>
              <w:rPr>
                <w:rFonts w:hint="eastAsia" w:ascii="仿宋_GB2312" w:hAnsi="宋体" w:eastAsia="仿宋_GB2312"/>
                <w:sz w:val="18"/>
                <w:szCs w:val="18"/>
                <w:highlight w:val="none"/>
                <w:lang w:eastAsia="zh-CN"/>
              </w:rPr>
              <w:t>改</w:t>
            </w:r>
            <w:r>
              <w:rPr>
                <w:rFonts w:hint="eastAsia" w:ascii="仿宋_GB2312" w:hAnsi="宋体" w:eastAsia="仿宋_GB2312"/>
                <w:sz w:val="18"/>
                <w:szCs w:val="18"/>
                <w:highlight w:val="none"/>
              </w:rPr>
              <w:t xml:space="preserve"> 动市政燃气设施审批</w:t>
            </w:r>
          </w:p>
        </w:tc>
        <w:tc>
          <w:tcPr>
            <w:tcW w:w="1620" w:type="dxa"/>
            <w:vAlign w:val="center"/>
          </w:tcPr>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申请条件、</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申请材料、</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申请流程、</w:t>
            </w:r>
          </w:p>
          <w:p>
            <w:pPr>
              <w:rPr>
                <w:rFonts w:ascii="仿宋_GB2312" w:hAnsi="宋体" w:eastAsia="仿宋_GB2312"/>
                <w:sz w:val="18"/>
                <w:szCs w:val="18"/>
                <w:highlight w:val="none"/>
              </w:rPr>
            </w:pPr>
            <w:r>
              <w:rPr>
                <w:rFonts w:hint="eastAsia" w:ascii="仿宋_GB2312" w:hAnsi="宋体" w:eastAsia="仿宋_GB2312"/>
                <w:sz w:val="18"/>
                <w:szCs w:val="18"/>
                <w:highlight w:val="none"/>
              </w:rPr>
              <w:t>法定依据</w:t>
            </w:r>
          </w:p>
        </w:tc>
        <w:tc>
          <w:tcPr>
            <w:tcW w:w="256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《城镇燃气管理条例》</w:t>
            </w:r>
            <w:r>
              <w:rPr>
                <w:rFonts w:hint="eastAsia" w:ascii="仿宋_GB2312" w:hAnsi="宋体" w:eastAsia="仿宋_GB2312"/>
                <w:sz w:val="18"/>
                <w:szCs w:val="18"/>
                <w:highlight w:val="none"/>
                <w:lang w:eastAsia="zh-CN"/>
              </w:rPr>
              <w:t>、</w:t>
            </w:r>
            <w:r>
              <w:rPr>
                <w:rFonts w:hint="eastAsia" w:ascii="仿宋_GB2312" w:hAnsi="宋体" w:eastAsia="仿宋_GB2312"/>
                <w:sz w:val="18"/>
                <w:szCs w:val="18"/>
                <w:highlight w:val="none"/>
              </w:rPr>
              <w:t>《国务院关于第六批取消和调整行政审批项目的决定》（国发〔2012〕52号）</w:t>
            </w:r>
          </w:p>
        </w:tc>
        <w:tc>
          <w:tcPr>
            <w:tcW w:w="1275" w:type="dxa"/>
            <w:vAlign w:val="center"/>
          </w:tcPr>
          <w:p>
            <w:pPr>
              <w:jc w:val="center"/>
              <w:rPr>
                <w:rFonts w:ascii="仿宋_GB2312" w:hAnsi="宋体" w:eastAsia="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rPr>
                <w:rFonts w:hint="eastAsia" w:ascii="仿宋_GB2312" w:hAnsi="宋体" w:eastAsia="仿宋_GB2312"/>
                <w:sz w:val="18"/>
                <w:szCs w:val="18"/>
                <w:highlight w:val="none"/>
                <w:lang w:eastAsia="zh-CN"/>
              </w:rPr>
            </w:pPr>
            <w:r>
              <w:rPr>
                <w:rFonts w:hint="eastAsia" w:ascii="仿宋_GB2312" w:hAnsi="宋体" w:eastAsia="仿宋_GB2312"/>
                <w:sz w:val="18"/>
                <w:szCs w:val="18"/>
                <w:highlight w:val="none"/>
              </w:rPr>
              <w:t>柳城县</w:t>
            </w:r>
            <w:r>
              <w:rPr>
                <w:rFonts w:hint="eastAsia" w:ascii="仿宋_GB2312" w:hAnsi="宋体" w:eastAsia="仿宋_GB2312"/>
                <w:sz w:val="18"/>
                <w:szCs w:val="18"/>
                <w:highlight w:val="none"/>
                <w:lang w:eastAsia="zh-CN"/>
              </w:rPr>
              <w:t>行政审批局</w:t>
            </w:r>
          </w:p>
        </w:tc>
        <w:tc>
          <w:tcPr>
            <w:tcW w:w="1524" w:type="dxa"/>
            <w:vMerge w:val="continue"/>
            <w:vAlign w:val="center"/>
          </w:tcPr>
          <w:p>
            <w:pPr>
              <w:rPr>
                <w:rFonts w:ascii="仿宋_GB2312" w:hAnsi="宋体" w:eastAsia="仿宋_GB2312"/>
                <w:sz w:val="18"/>
                <w:szCs w:val="18"/>
                <w:highlight w:val="none"/>
              </w:rPr>
            </w:pPr>
          </w:p>
        </w:tc>
        <w:tc>
          <w:tcPr>
            <w:tcW w:w="60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84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615"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9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51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07" w:type="dxa"/>
            <w:vAlign w:val="center"/>
          </w:tcPr>
          <w:p>
            <w:pPr>
              <w:rPr>
                <w:rFonts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jc w:val="center"/>
        </w:trPr>
        <w:tc>
          <w:tcPr>
            <w:tcW w:w="578" w:type="dxa"/>
            <w:vAlign w:val="center"/>
          </w:tcPr>
          <w:p>
            <w:pPr>
              <w:jc w:val="center"/>
              <w:rPr>
                <w:rFonts w:ascii="仿宋_GB2312" w:eastAsia="仿宋_GB2312"/>
                <w:sz w:val="18"/>
                <w:szCs w:val="18"/>
                <w:highlight w:val="none"/>
              </w:rPr>
            </w:pPr>
            <w:r>
              <w:rPr>
                <w:rFonts w:hint="eastAsia" w:ascii="仿宋_GB2312" w:eastAsia="仿宋_GB2312"/>
                <w:sz w:val="18"/>
                <w:szCs w:val="18"/>
                <w:highlight w:val="none"/>
              </w:rPr>
              <w:t>3</w:t>
            </w:r>
          </w:p>
          <w:p>
            <w:pPr>
              <w:rPr>
                <w:rFonts w:ascii="仿宋_GB2312" w:hAnsi="宋体" w:eastAsia="仿宋_GB2312"/>
                <w:sz w:val="18"/>
                <w:szCs w:val="18"/>
                <w:highlight w:val="none"/>
              </w:rPr>
            </w:pPr>
          </w:p>
        </w:tc>
        <w:tc>
          <w:tcPr>
            <w:tcW w:w="78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市政设施建设类审批　</w:t>
            </w:r>
          </w:p>
        </w:tc>
        <w:tc>
          <w:tcPr>
            <w:tcW w:w="798"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市政设施建设类审批</w:t>
            </w:r>
          </w:p>
        </w:tc>
        <w:tc>
          <w:tcPr>
            <w:tcW w:w="1620" w:type="dxa"/>
            <w:vAlign w:val="center"/>
          </w:tcPr>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申请条件、</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申请材料、</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申请流程、</w:t>
            </w:r>
          </w:p>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法定依据</w:t>
            </w:r>
          </w:p>
        </w:tc>
        <w:tc>
          <w:tcPr>
            <w:tcW w:w="256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《城市道路管理条例》</w:t>
            </w:r>
          </w:p>
        </w:tc>
        <w:tc>
          <w:tcPr>
            <w:tcW w:w="1275" w:type="dxa"/>
            <w:vAlign w:val="center"/>
          </w:tcPr>
          <w:p>
            <w:pPr>
              <w:jc w:val="center"/>
              <w:rPr>
                <w:rFonts w:ascii="仿宋_GB2312" w:hAnsi="宋体" w:eastAsia="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rPr>
                <w:rFonts w:hint="eastAsia" w:ascii="仿宋_GB2312" w:hAnsi="宋体" w:eastAsia="仿宋_GB2312"/>
                <w:sz w:val="18"/>
                <w:szCs w:val="18"/>
                <w:highlight w:val="none"/>
                <w:lang w:eastAsia="zh-CN"/>
              </w:rPr>
            </w:pPr>
            <w:r>
              <w:rPr>
                <w:rFonts w:hint="eastAsia" w:ascii="仿宋_GB2312" w:hAnsi="宋体" w:eastAsia="仿宋_GB2312"/>
                <w:sz w:val="18"/>
                <w:szCs w:val="18"/>
                <w:highlight w:val="none"/>
              </w:rPr>
              <w:t>柳城县</w:t>
            </w:r>
            <w:r>
              <w:rPr>
                <w:rFonts w:hint="eastAsia" w:ascii="仿宋_GB2312" w:hAnsi="宋体" w:eastAsia="仿宋_GB2312"/>
                <w:sz w:val="18"/>
                <w:szCs w:val="18"/>
                <w:highlight w:val="none"/>
                <w:lang w:eastAsia="zh-CN"/>
              </w:rPr>
              <w:t>行政审批局</w:t>
            </w:r>
          </w:p>
        </w:tc>
        <w:tc>
          <w:tcPr>
            <w:tcW w:w="1524"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■政府门户网站</w:t>
            </w:r>
          </w:p>
          <w:p>
            <w:pPr>
              <w:rPr>
                <w:rFonts w:ascii="仿宋_GB2312" w:hAnsi="宋体" w:eastAsia="仿宋_GB2312"/>
                <w:sz w:val="18"/>
                <w:szCs w:val="18"/>
                <w:highlight w:val="none"/>
              </w:rPr>
            </w:pPr>
            <w:r>
              <w:rPr>
                <w:rFonts w:hint="eastAsia" w:ascii="仿宋_GB2312" w:hAnsi="宋体" w:eastAsia="仿宋_GB2312"/>
                <w:sz w:val="18"/>
                <w:szCs w:val="18"/>
                <w:highlight w:val="none"/>
              </w:rPr>
              <w:t>■公开查询点</w:t>
            </w:r>
          </w:p>
        </w:tc>
        <w:tc>
          <w:tcPr>
            <w:tcW w:w="60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84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615"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9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51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07" w:type="dxa"/>
            <w:vAlign w:val="center"/>
          </w:tcPr>
          <w:p>
            <w:pPr>
              <w:jc w:val="center"/>
              <w:rPr>
                <w:rFonts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6" w:hRule="atLeast"/>
          <w:jc w:val="center"/>
        </w:trPr>
        <w:tc>
          <w:tcPr>
            <w:tcW w:w="578" w:type="dxa"/>
            <w:vAlign w:val="center"/>
          </w:tcPr>
          <w:p>
            <w:pPr>
              <w:jc w:val="center"/>
              <w:rPr>
                <w:rFonts w:ascii="仿宋_GB2312" w:hAnsi="宋体" w:eastAsia="仿宋_GB2312" w:cs="宋体"/>
                <w:sz w:val="18"/>
                <w:szCs w:val="18"/>
                <w:highlight w:val="none"/>
              </w:rPr>
            </w:pPr>
            <w:r>
              <w:rPr>
                <w:rFonts w:hint="eastAsia" w:ascii="仿宋_GB2312" w:eastAsia="仿宋_GB2312"/>
                <w:sz w:val="18"/>
                <w:szCs w:val="18"/>
                <w:highlight w:val="none"/>
              </w:rPr>
              <w:t>4</w:t>
            </w:r>
          </w:p>
        </w:tc>
        <w:tc>
          <w:tcPr>
            <w:tcW w:w="780" w:type="dxa"/>
            <w:vAlign w:val="center"/>
          </w:tcPr>
          <w:p>
            <w:pPr>
              <w:rPr>
                <w:rFonts w:ascii="仿宋_GB2312" w:hAnsi="宋体" w:eastAsia="仿宋_GB2312"/>
                <w:sz w:val="18"/>
                <w:szCs w:val="18"/>
                <w:highlight w:val="none"/>
              </w:rPr>
            </w:pPr>
          </w:p>
          <w:p>
            <w:pPr>
              <w:rPr>
                <w:rFonts w:ascii="仿宋_GB2312" w:hAnsi="宋体" w:eastAsia="仿宋_GB2312"/>
                <w:sz w:val="18"/>
                <w:szCs w:val="18"/>
                <w:highlight w:val="none"/>
              </w:rPr>
            </w:pPr>
          </w:p>
        </w:tc>
        <w:tc>
          <w:tcPr>
            <w:tcW w:w="798"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特殊车辆在城市道路上行驶审批</w:t>
            </w:r>
          </w:p>
        </w:tc>
        <w:tc>
          <w:tcPr>
            <w:tcW w:w="1620" w:type="dxa"/>
            <w:vAlign w:val="center"/>
          </w:tcPr>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申请条件、</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申请材料、</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申请流程、</w:t>
            </w:r>
          </w:p>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法定依据</w:t>
            </w:r>
          </w:p>
        </w:tc>
        <w:tc>
          <w:tcPr>
            <w:tcW w:w="256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《城市道路管理条例》</w:t>
            </w:r>
          </w:p>
        </w:tc>
        <w:tc>
          <w:tcPr>
            <w:tcW w:w="1275" w:type="dxa"/>
            <w:vAlign w:val="center"/>
          </w:tcPr>
          <w:p>
            <w:pPr>
              <w:jc w:val="center"/>
              <w:rPr>
                <w:rFonts w:ascii="仿宋_GB2312" w:hAnsi="宋体" w:eastAsia="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rPr>
                <w:rFonts w:hint="eastAsia" w:ascii="仿宋_GB2312" w:hAnsi="宋体" w:eastAsia="仿宋_GB2312"/>
                <w:sz w:val="18"/>
                <w:szCs w:val="18"/>
                <w:highlight w:val="none"/>
                <w:lang w:eastAsia="zh-CN"/>
              </w:rPr>
            </w:pPr>
            <w:r>
              <w:rPr>
                <w:rFonts w:hint="eastAsia" w:ascii="仿宋_GB2312" w:hAnsi="宋体" w:eastAsia="仿宋_GB2312"/>
                <w:sz w:val="18"/>
                <w:szCs w:val="18"/>
                <w:highlight w:val="none"/>
              </w:rPr>
              <w:t>柳城县</w:t>
            </w:r>
            <w:r>
              <w:rPr>
                <w:rFonts w:hint="eastAsia" w:ascii="仿宋_GB2312" w:hAnsi="宋体" w:eastAsia="仿宋_GB2312"/>
                <w:sz w:val="18"/>
                <w:szCs w:val="18"/>
                <w:highlight w:val="none"/>
                <w:lang w:eastAsia="zh-CN"/>
              </w:rPr>
              <w:t>行政审批局</w:t>
            </w:r>
          </w:p>
        </w:tc>
        <w:tc>
          <w:tcPr>
            <w:tcW w:w="1524"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■政府门户网站</w:t>
            </w:r>
          </w:p>
          <w:p>
            <w:pPr>
              <w:rPr>
                <w:rFonts w:ascii="仿宋_GB2312" w:hAnsi="宋体" w:eastAsia="仿宋_GB2312"/>
                <w:sz w:val="18"/>
                <w:szCs w:val="18"/>
                <w:highlight w:val="none"/>
              </w:rPr>
            </w:pPr>
            <w:r>
              <w:rPr>
                <w:rFonts w:hint="eastAsia" w:ascii="仿宋_GB2312" w:hAnsi="宋体" w:eastAsia="仿宋_GB2312"/>
                <w:sz w:val="18"/>
                <w:szCs w:val="18"/>
                <w:highlight w:val="none"/>
              </w:rPr>
              <w:t>■公开查询点</w:t>
            </w:r>
          </w:p>
        </w:tc>
        <w:tc>
          <w:tcPr>
            <w:tcW w:w="60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84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615"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9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51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07" w:type="dxa"/>
            <w:vAlign w:val="center"/>
          </w:tcPr>
          <w:p>
            <w:pPr>
              <w:jc w:val="center"/>
              <w:rPr>
                <w:rFonts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2" w:hRule="atLeast"/>
          <w:jc w:val="center"/>
        </w:trPr>
        <w:tc>
          <w:tcPr>
            <w:tcW w:w="578" w:type="dxa"/>
            <w:vAlign w:val="center"/>
          </w:tcPr>
          <w:p>
            <w:pPr>
              <w:jc w:val="center"/>
              <w:rPr>
                <w:rFonts w:ascii="仿宋_GB2312" w:hAnsi="宋体" w:eastAsia="仿宋_GB2312" w:cs="宋体"/>
                <w:sz w:val="18"/>
                <w:szCs w:val="18"/>
                <w:highlight w:val="none"/>
              </w:rPr>
            </w:pPr>
            <w:r>
              <w:rPr>
                <w:rFonts w:hint="eastAsia" w:ascii="仿宋_GB2312" w:eastAsia="仿宋_GB2312"/>
                <w:sz w:val="18"/>
                <w:szCs w:val="18"/>
                <w:highlight w:val="none"/>
              </w:rPr>
              <w:t>5</w:t>
            </w:r>
          </w:p>
        </w:tc>
        <w:tc>
          <w:tcPr>
            <w:tcW w:w="780" w:type="dxa"/>
            <w:vMerge w:val="restart"/>
            <w:vAlign w:val="center"/>
          </w:tcPr>
          <w:p>
            <w:pPr>
              <w:jc w:val="center"/>
              <w:rPr>
                <w:rFonts w:ascii="仿宋_GB2312" w:hAnsi="宋体" w:eastAsia="仿宋_GB2312"/>
                <w:sz w:val="18"/>
                <w:szCs w:val="18"/>
                <w:highlight w:val="none"/>
              </w:rPr>
            </w:pPr>
            <w:r>
              <w:rPr>
                <w:rFonts w:hint="eastAsia" w:ascii="仿宋_GB2312" w:hAnsi="宋体" w:eastAsia="仿宋_GB2312" w:cs="宋体"/>
                <w:sz w:val="18"/>
                <w:szCs w:val="18"/>
                <w:highlight w:val="none"/>
              </w:rPr>
              <w:t>城市供水、城镇排水与污水处理</w:t>
            </w:r>
            <w:r>
              <w:rPr>
                <w:rFonts w:hint="eastAsia" w:ascii="仿宋_GB2312" w:hAnsi="宋体" w:eastAsia="仿宋_GB2312"/>
                <w:sz w:val="18"/>
                <w:szCs w:val="18"/>
                <w:highlight w:val="none"/>
              </w:rPr>
              <w:t>　</w:t>
            </w:r>
          </w:p>
        </w:tc>
        <w:tc>
          <w:tcPr>
            <w:tcW w:w="798"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拆除、改动、迁移城市公共供水设施审核</w:t>
            </w:r>
          </w:p>
        </w:tc>
        <w:tc>
          <w:tcPr>
            <w:tcW w:w="1620" w:type="dxa"/>
            <w:vAlign w:val="center"/>
          </w:tcPr>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申请条件、</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申请材料、</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申请流程、</w:t>
            </w:r>
          </w:p>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法定依据</w:t>
            </w:r>
          </w:p>
        </w:tc>
        <w:tc>
          <w:tcPr>
            <w:tcW w:w="256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《城市供水条例》</w:t>
            </w:r>
          </w:p>
        </w:tc>
        <w:tc>
          <w:tcPr>
            <w:tcW w:w="1275" w:type="dxa"/>
            <w:vAlign w:val="center"/>
          </w:tcPr>
          <w:p>
            <w:pPr>
              <w:rPr>
                <w:rFonts w:ascii="仿宋_GB2312" w:hAnsi="宋体" w:eastAsia="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柳城县</w:t>
            </w:r>
            <w:r>
              <w:rPr>
                <w:rFonts w:hint="eastAsia" w:ascii="仿宋_GB2312" w:hAnsi="宋体" w:eastAsia="仿宋_GB2312"/>
                <w:sz w:val="18"/>
                <w:szCs w:val="18"/>
                <w:highlight w:val="none"/>
                <w:lang w:eastAsia="zh-CN"/>
              </w:rPr>
              <w:t>行政审批局</w:t>
            </w:r>
            <w:r>
              <w:rPr>
                <w:rFonts w:hint="eastAsia" w:ascii="仿宋_GB2312" w:hAnsi="宋体" w:eastAsia="仿宋_GB2312"/>
                <w:sz w:val="18"/>
                <w:szCs w:val="18"/>
                <w:highlight w:val="none"/>
              </w:rPr>
              <w:t>、广汇供水有限公司</w:t>
            </w:r>
          </w:p>
        </w:tc>
        <w:tc>
          <w:tcPr>
            <w:tcW w:w="1524"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■政府门户网站</w:t>
            </w:r>
          </w:p>
          <w:p>
            <w:pPr>
              <w:rPr>
                <w:rFonts w:ascii="仿宋_GB2312" w:hAnsi="宋体" w:eastAsia="仿宋_GB2312"/>
                <w:sz w:val="18"/>
                <w:szCs w:val="18"/>
                <w:highlight w:val="none"/>
              </w:rPr>
            </w:pPr>
            <w:r>
              <w:rPr>
                <w:rFonts w:hint="eastAsia" w:ascii="仿宋_GB2312" w:hAnsi="宋体" w:eastAsia="仿宋_GB2312"/>
                <w:sz w:val="18"/>
                <w:szCs w:val="18"/>
                <w:highlight w:val="none"/>
              </w:rPr>
              <w:t>■公开查询点</w:t>
            </w:r>
          </w:p>
        </w:tc>
        <w:tc>
          <w:tcPr>
            <w:tcW w:w="60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84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615"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9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51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07" w:type="dxa"/>
            <w:vAlign w:val="center"/>
          </w:tcPr>
          <w:p>
            <w:pPr>
              <w:jc w:val="center"/>
              <w:rPr>
                <w:rFonts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1" w:hRule="atLeast"/>
          <w:jc w:val="center"/>
        </w:trPr>
        <w:tc>
          <w:tcPr>
            <w:tcW w:w="578" w:type="dxa"/>
            <w:vAlign w:val="center"/>
          </w:tcPr>
          <w:p>
            <w:pPr>
              <w:jc w:val="center"/>
              <w:rPr>
                <w:rFonts w:hint="eastAsia" w:ascii="仿宋_GB2312" w:hAnsi="宋体" w:eastAsia="仿宋_GB2312" w:cs="宋体"/>
                <w:sz w:val="18"/>
                <w:szCs w:val="18"/>
                <w:highlight w:val="none"/>
                <w:lang w:val="en-US" w:eastAsia="zh-CN"/>
              </w:rPr>
            </w:pPr>
            <w:r>
              <w:rPr>
                <w:rFonts w:hint="eastAsia" w:ascii="仿宋_GB2312" w:hAnsi="宋体" w:eastAsia="仿宋_GB2312" w:cs="宋体"/>
                <w:sz w:val="18"/>
                <w:szCs w:val="18"/>
                <w:highlight w:val="none"/>
                <w:lang w:val="en-US" w:eastAsia="zh-CN"/>
              </w:rPr>
              <w:t>6</w:t>
            </w:r>
          </w:p>
        </w:tc>
        <w:tc>
          <w:tcPr>
            <w:tcW w:w="780" w:type="dxa"/>
            <w:vMerge w:val="continue"/>
            <w:vAlign w:val="center"/>
          </w:tcPr>
          <w:p>
            <w:pPr>
              <w:jc w:val="center"/>
              <w:rPr>
                <w:rFonts w:ascii="仿宋_GB2312" w:hAnsi="宋体" w:eastAsia="仿宋_GB2312"/>
                <w:sz w:val="18"/>
                <w:szCs w:val="18"/>
                <w:highlight w:val="none"/>
              </w:rPr>
            </w:pPr>
          </w:p>
        </w:tc>
        <w:tc>
          <w:tcPr>
            <w:tcW w:w="798"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由于工程施工、设备维修等原因确需停止供水的审批</w:t>
            </w:r>
          </w:p>
        </w:tc>
        <w:tc>
          <w:tcPr>
            <w:tcW w:w="1620" w:type="dxa"/>
            <w:vAlign w:val="center"/>
          </w:tcPr>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申请条件、</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申请材料、</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申请流程、</w:t>
            </w:r>
          </w:p>
          <w:p>
            <w:pPr>
              <w:rPr>
                <w:rFonts w:ascii="仿宋_GB2312" w:hAnsi="宋体" w:eastAsia="仿宋_GB2312"/>
                <w:sz w:val="18"/>
                <w:szCs w:val="18"/>
                <w:highlight w:val="none"/>
              </w:rPr>
            </w:pPr>
            <w:r>
              <w:rPr>
                <w:rFonts w:hint="eastAsia" w:ascii="仿宋_GB2312" w:hAnsi="宋体" w:eastAsia="仿宋_GB2312"/>
                <w:sz w:val="18"/>
                <w:szCs w:val="18"/>
                <w:highlight w:val="none"/>
              </w:rPr>
              <w:t>法定依据。</w:t>
            </w:r>
          </w:p>
        </w:tc>
        <w:tc>
          <w:tcPr>
            <w:tcW w:w="2565" w:type="dxa"/>
            <w:vAlign w:val="center"/>
          </w:tcPr>
          <w:p>
            <w:pPr>
              <w:rPr>
                <w:rFonts w:ascii="仿宋_GB2312" w:eastAsia="仿宋_GB2312"/>
                <w:sz w:val="18"/>
                <w:szCs w:val="18"/>
                <w:highlight w:val="none"/>
              </w:rPr>
            </w:pPr>
            <w:r>
              <w:rPr>
                <w:rFonts w:hint="eastAsia" w:ascii="仿宋_GB2312" w:hAnsi="宋体" w:eastAsia="仿宋_GB2312"/>
                <w:sz w:val="18"/>
                <w:szCs w:val="18"/>
                <w:highlight w:val="none"/>
              </w:rPr>
              <w:t>《城市供水条例》</w:t>
            </w:r>
          </w:p>
        </w:tc>
        <w:tc>
          <w:tcPr>
            <w:tcW w:w="1275" w:type="dxa"/>
            <w:vAlign w:val="center"/>
          </w:tcPr>
          <w:p>
            <w:pPr>
              <w:jc w:val="center"/>
              <w:rPr>
                <w:rFonts w:ascii="仿宋_GB2312" w:eastAsia="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rPr>
                <w:rFonts w:ascii="仿宋_GB2312" w:eastAsia="仿宋_GB2312"/>
                <w:sz w:val="18"/>
                <w:szCs w:val="18"/>
                <w:highlight w:val="none"/>
              </w:rPr>
            </w:pPr>
            <w:r>
              <w:rPr>
                <w:rFonts w:hint="eastAsia" w:ascii="仿宋_GB2312" w:hAnsi="宋体" w:eastAsia="仿宋_GB2312"/>
                <w:sz w:val="18"/>
                <w:szCs w:val="18"/>
                <w:highlight w:val="none"/>
              </w:rPr>
              <w:t>柳城县</w:t>
            </w:r>
            <w:r>
              <w:rPr>
                <w:rFonts w:hint="eastAsia" w:ascii="仿宋_GB2312" w:hAnsi="宋体" w:eastAsia="仿宋_GB2312"/>
                <w:sz w:val="18"/>
                <w:szCs w:val="18"/>
                <w:highlight w:val="none"/>
                <w:lang w:eastAsia="zh-CN"/>
              </w:rPr>
              <w:t>行政审批局</w:t>
            </w:r>
            <w:r>
              <w:rPr>
                <w:rFonts w:hint="eastAsia" w:ascii="仿宋_GB2312" w:hAnsi="宋体" w:eastAsia="仿宋_GB2312"/>
                <w:sz w:val="18"/>
                <w:szCs w:val="18"/>
                <w:highlight w:val="none"/>
              </w:rPr>
              <w:t>、广汇供水有限公司</w:t>
            </w:r>
          </w:p>
        </w:tc>
        <w:tc>
          <w:tcPr>
            <w:tcW w:w="1524"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■政府门户网站</w:t>
            </w:r>
          </w:p>
          <w:p>
            <w:pPr>
              <w:rPr>
                <w:rFonts w:ascii="仿宋_GB2312" w:hAnsi="宋体" w:eastAsia="仿宋_GB2312"/>
                <w:sz w:val="18"/>
                <w:szCs w:val="18"/>
                <w:highlight w:val="none"/>
              </w:rPr>
            </w:pPr>
            <w:r>
              <w:rPr>
                <w:rFonts w:hint="eastAsia" w:ascii="仿宋_GB2312" w:hAnsi="宋体" w:eastAsia="仿宋_GB2312"/>
                <w:sz w:val="18"/>
                <w:szCs w:val="18"/>
                <w:highlight w:val="none"/>
              </w:rPr>
              <w:t>■公开查询点</w:t>
            </w:r>
          </w:p>
        </w:tc>
        <w:tc>
          <w:tcPr>
            <w:tcW w:w="60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840"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　</w:t>
            </w:r>
          </w:p>
        </w:tc>
        <w:tc>
          <w:tcPr>
            <w:tcW w:w="615"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690" w:type="dxa"/>
            <w:vAlign w:val="center"/>
          </w:tcPr>
          <w:p>
            <w:pPr>
              <w:rPr>
                <w:rFonts w:ascii="仿宋_GB2312" w:hAnsi="宋体" w:eastAsia="仿宋_GB2312"/>
                <w:sz w:val="18"/>
                <w:szCs w:val="18"/>
                <w:highlight w:val="none"/>
              </w:rPr>
            </w:pPr>
          </w:p>
        </w:tc>
        <w:tc>
          <w:tcPr>
            <w:tcW w:w="510"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07" w:type="dxa"/>
            <w:vAlign w:val="center"/>
          </w:tcPr>
          <w:p>
            <w:pPr>
              <w:rPr>
                <w:rFonts w:ascii="仿宋_GB2312" w:hAnsi="宋体" w:eastAsia="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jc w:val="center"/>
              <w:rPr>
                <w:rFonts w:hint="eastAsia" w:ascii="仿宋_GB2312" w:eastAsia="仿宋_GB2312"/>
                <w:sz w:val="18"/>
                <w:szCs w:val="18"/>
                <w:highlight w:val="none"/>
                <w:lang w:val="en-US" w:eastAsia="zh-CN"/>
              </w:rPr>
            </w:pPr>
            <w:r>
              <w:rPr>
                <w:rFonts w:hint="eastAsia" w:ascii="仿宋_GB2312" w:eastAsia="仿宋_GB2312"/>
                <w:sz w:val="18"/>
                <w:szCs w:val="18"/>
                <w:highlight w:val="none"/>
                <w:lang w:val="en-US" w:eastAsia="zh-CN"/>
              </w:rPr>
              <w:t>7</w:t>
            </w:r>
          </w:p>
        </w:tc>
        <w:tc>
          <w:tcPr>
            <w:tcW w:w="780" w:type="dxa"/>
            <w:vAlign w:val="center"/>
          </w:tcPr>
          <w:p>
            <w:pPr>
              <w:jc w:val="center"/>
              <w:rPr>
                <w:rFonts w:ascii="仿宋_GB2312" w:hAnsi="宋体" w:eastAsia="仿宋_GB2312" w:cs="宋体"/>
                <w:sz w:val="18"/>
                <w:szCs w:val="18"/>
                <w:highlight w:val="none"/>
              </w:rPr>
            </w:pPr>
          </w:p>
        </w:tc>
        <w:tc>
          <w:tcPr>
            <w:tcW w:w="798"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城镇污水排入排水管网许可</w:t>
            </w:r>
          </w:p>
          <w:p>
            <w:pPr>
              <w:rPr>
                <w:rFonts w:ascii="仿宋_GB2312" w:hAnsi="宋体" w:eastAsia="仿宋_GB2312"/>
                <w:sz w:val="18"/>
                <w:szCs w:val="18"/>
                <w:highlight w:val="none"/>
              </w:rPr>
            </w:pPr>
          </w:p>
        </w:tc>
        <w:tc>
          <w:tcPr>
            <w:tcW w:w="1620" w:type="dxa"/>
            <w:vAlign w:val="center"/>
          </w:tcPr>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申请条件、</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申请材料、</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申请流程、</w:t>
            </w:r>
          </w:p>
          <w:p>
            <w:pPr>
              <w:rPr>
                <w:rFonts w:ascii="仿宋_GB2312" w:hAnsi="宋体" w:eastAsia="仿宋_GB2312"/>
                <w:sz w:val="18"/>
                <w:szCs w:val="18"/>
                <w:highlight w:val="none"/>
              </w:rPr>
            </w:pPr>
            <w:r>
              <w:rPr>
                <w:rFonts w:hint="eastAsia" w:ascii="仿宋_GB2312" w:hAnsi="宋体" w:eastAsia="仿宋_GB2312"/>
                <w:sz w:val="18"/>
                <w:szCs w:val="18"/>
                <w:highlight w:val="none"/>
              </w:rPr>
              <w:t>法定依据。</w:t>
            </w:r>
          </w:p>
        </w:tc>
        <w:tc>
          <w:tcPr>
            <w:tcW w:w="256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《城镇排水与污水处理条例》</w:t>
            </w:r>
          </w:p>
        </w:tc>
        <w:tc>
          <w:tcPr>
            <w:tcW w:w="1275" w:type="dxa"/>
            <w:vAlign w:val="center"/>
          </w:tcPr>
          <w:p>
            <w:pPr>
              <w:jc w:val="center"/>
              <w:rPr>
                <w:rFonts w:ascii="仿宋_GB2312" w:hAnsi="宋体" w:eastAsia="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rPr>
                <w:rFonts w:hint="eastAsia" w:ascii="仿宋_GB2312" w:hAnsi="宋体" w:eastAsia="仿宋_GB2312"/>
                <w:sz w:val="18"/>
                <w:szCs w:val="18"/>
                <w:highlight w:val="none"/>
                <w:lang w:eastAsia="zh-CN"/>
              </w:rPr>
            </w:pPr>
            <w:r>
              <w:rPr>
                <w:rFonts w:hint="eastAsia" w:ascii="仿宋_GB2312" w:hAnsi="宋体" w:eastAsia="仿宋_GB2312"/>
                <w:sz w:val="18"/>
                <w:szCs w:val="18"/>
                <w:highlight w:val="none"/>
              </w:rPr>
              <w:t>柳城县</w:t>
            </w:r>
            <w:r>
              <w:rPr>
                <w:rFonts w:hint="eastAsia" w:ascii="仿宋_GB2312" w:hAnsi="宋体" w:eastAsia="仿宋_GB2312"/>
                <w:sz w:val="18"/>
                <w:szCs w:val="18"/>
                <w:highlight w:val="none"/>
                <w:lang w:eastAsia="zh-CN"/>
              </w:rPr>
              <w:t>行政审批局</w:t>
            </w:r>
          </w:p>
        </w:tc>
        <w:tc>
          <w:tcPr>
            <w:tcW w:w="1524"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■政府门户网站</w:t>
            </w:r>
          </w:p>
          <w:p>
            <w:pPr>
              <w:rPr>
                <w:rFonts w:ascii="仿宋_GB2312" w:hAnsi="宋体" w:eastAsia="仿宋_GB2312"/>
                <w:sz w:val="18"/>
                <w:szCs w:val="18"/>
                <w:highlight w:val="none"/>
              </w:rPr>
            </w:pPr>
            <w:r>
              <w:rPr>
                <w:rFonts w:hint="eastAsia" w:ascii="仿宋_GB2312" w:hAnsi="宋体" w:eastAsia="仿宋_GB2312"/>
                <w:sz w:val="18"/>
                <w:szCs w:val="18"/>
                <w:highlight w:val="none"/>
              </w:rPr>
              <w:t>■公开查询点</w:t>
            </w:r>
          </w:p>
        </w:tc>
        <w:tc>
          <w:tcPr>
            <w:tcW w:w="600" w:type="dxa"/>
            <w:vAlign w:val="center"/>
          </w:tcPr>
          <w:p>
            <w:pPr>
              <w:jc w:val="center"/>
              <w:rPr>
                <w:sz w:val="18"/>
                <w:szCs w:val="18"/>
                <w:highlight w:val="none"/>
              </w:rPr>
            </w:pPr>
            <w:r>
              <w:rPr>
                <w:rFonts w:hint="eastAsia"/>
                <w:sz w:val="18"/>
                <w:szCs w:val="18"/>
                <w:highlight w:val="none"/>
              </w:rPr>
              <w:t>√</w:t>
            </w:r>
          </w:p>
        </w:tc>
        <w:tc>
          <w:tcPr>
            <w:tcW w:w="840" w:type="dxa"/>
            <w:vAlign w:val="center"/>
          </w:tcPr>
          <w:p>
            <w:pPr>
              <w:jc w:val="center"/>
              <w:rPr>
                <w:sz w:val="18"/>
                <w:szCs w:val="18"/>
                <w:highlight w:val="none"/>
              </w:rPr>
            </w:pPr>
            <w:r>
              <w:rPr>
                <w:rFonts w:hint="eastAsia"/>
                <w:sz w:val="18"/>
                <w:szCs w:val="18"/>
                <w:highlight w:val="none"/>
              </w:rPr>
              <w:t>　</w:t>
            </w:r>
          </w:p>
        </w:tc>
        <w:tc>
          <w:tcPr>
            <w:tcW w:w="615" w:type="dxa"/>
            <w:vAlign w:val="center"/>
          </w:tcPr>
          <w:p>
            <w:pPr>
              <w:jc w:val="center"/>
              <w:rPr>
                <w:sz w:val="18"/>
                <w:szCs w:val="18"/>
                <w:highlight w:val="none"/>
              </w:rPr>
            </w:pPr>
            <w:r>
              <w:rPr>
                <w:rFonts w:hint="eastAsia"/>
                <w:sz w:val="18"/>
                <w:szCs w:val="18"/>
                <w:highlight w:val="none"/>
              </w:rPr>
              <w:t>√</w:t>
            </w:r>
          </w:p>
        </w:tc>
        <w:tc>
          <w:tcPr>
            <w:tcW w:w="690" w:type="dxa"/>
            <w:vAlign w:val="center"/>
          </w:tcPr>
          <w:p>
            <w:pPr>
              <w:rPr>
                <w:rFonts w:ascii="宋体" w:hAnsi="宋体" w:cs="宋体"/>
                <w:sz w:val="18"/>
                <w:szCs w:val="18"/>
                <w:highlight w:val="none"/>
              </w:rPr>
            </w:pPr>
          </w:p>
        </w:tc>
        <w:tc>
          <w:tcPr>
            <w:tcW w:w="510"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w:t>
            </w:r>
          </w:p>
        </w:tc>
        <w:tc>
          <w:tcPr>
            <w:tcW w:w="707" w:type="dxa"/>
            <w:vAlign w:val="center"/>
          </w:tcPr>
          <w:p>
            <w:pPr>
              <w:rPr>
                <w:rFonts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jc w:val="center"/>
              <w:rPr>
                <w:rFonts w:hint="default" w:ascii="仿宋_GB2312" w:eastAsia="仿宋_GB2312"/>
                <w:sz w:val="18"/>
                <w:szCs w:val="18"/>
                <w:highlight w:val="none"/>
                <w:lang w:val="en-US" w:eastAsia="zh-CN"/>
              </w:rPr>
            </w:pPr>
            <w:r>
              <w:rPr>
                <w:rFonts w:hint="eastAsia" w:ascii="仿宋_GB2312" w:eastAsia="仿宋_GB2312"/>
                <w:sz w:val="18"/>
                <w:szCs w:val="18"/>
                <w:highlight w:val="none"/>
                <w:lang w:val="en-US" w:eastAsia="zh-CN"/>
              </w:rPr>
              <w:t>8</w:t>
            </w:r>
          </w:p>
        </w:tc>
        <w:tc>
          <w:tcPr>
            <w:tcW w:w="780" w:type="dxa"/>
            <w:vAlign w:val="center"/>
          </w:tcPr>
          <w:p>
            <w:pPr>
              <w:jc w:val="center"/>
              <w:rPr>
                <w:rFonts w:ascii="仿宋_GB2312" w:hAnsi="宋体" w:eastAsia="仿宋_GB2312" w:cs="宋体"/>
                <w:sz w:val="18"/>
                <w:szCs w:val="18"/>
                <w:highlight w:val="none"/>
              </w:rPr>
            </w:pPr>
          </w:p>
        </w:tc>
        <w:tc>
          <w:tcPr>
            <w:tcW w:w="798"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拆除、改动城镇排水与污水处理设施审核</w:t>
            </w:r>
          </w:p>
        </w:tc>
        <w:tc>
          <w:tcPr>
            <w:tcW w:w="1620" w:type="dxa"/>
            <w:vAlign w:val="center"/>
          </w:tcPr>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申请条件、</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申请材料、</w:t>
            </w:r>
          </w:p>
          <w:p>
            <w:pPr>
              <w:jc w:val="left"/>
              <w:rPr>
                <w:rFonts w:ascii="仿宋_GB2312" w:hAnsi="宋体" w:eastAsia="仿宋_GB2312"/>
                <w:sz w:val="18"/>
                <w:szCs w:val="18"/>
                <w:highlight w:val="none"/>
              </w:rPr>
            </w:pPr>
            <w:r>
              <w:rPr>
                <w:rFonts w:hint="eastAsia" w:ascii="仿宋_GB2312" w:hAnsi="宋体" w:eastAsia="仿宋_GB2312"/>
                <w:sz w:val="18"/>
                <w:szCs w:val="18"/>
                <w:highlight w:val="none"/>
              </w:rPr>
              <w:t>申请流程、</w:t>
            </w:r>
          </w:p>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法定依据。</w:t>
            </w:r>
          </w:p>
        </w:tc>
        <w:tc>
          <w:tcPr>
            <w:tcW w:w="2565" w:type="dxa"/>
            <w:vAlign w:val="center"/>
          </w:tcPr>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《城镇排水与污水处理条例》</w:t>
            </w:r>
          </w:p>
        </w:tc>
        <w:tc>
          <w:tcPr>
            <w:tcW w:w="1275" w:type="dxa"/>
            <w:vAlign w:val="center"/>
          </w:tcPr>
          <w:p>
            <w:pPr>
              <w:jc w:val="center"/>
              <w:rPr>
                <w:rFonts w:hint="eastAsia"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rPr>
                <w:rFonts w:hint="eastAsia" w:ascii="仿宋_GB2312" w:hAnsi="宋体" w:eastAsia="仿宋_GB2312"/>
                <w:sz w:val="18"/>
                <w:szCs w:val="18"/>
                <w:highlight w:val="none"/>
              </w:rPr>
            </w:pPr>
            <w:r>
              <w:rPr>
                <w:rFonts w:hint="eastAsia" w:ascii="仿宋_GB2312" w:hAnsi="宋体" w:eastAsia="仿宋_GB2312"/>
                <w:sz w:val="18"/>
                <w:szCs w:val="18"/>
                <w:highlight w:val="none"/>
              </w:rPr>
              <w:t>柳城县</w:t>
            </w:r>
            <w:r>
              <w:rPr>
                <w:rFonts w:hint="eastAsia" w:ascii="仿宋_GB2312" w:hAnsi="宋体" w:eastAsia="仿宋_GB2312"/>
                <w:sz w:val="18"/>
                <w:szCs w:val="18"/>
                <w:highlight w:val="none"/>
                <w:lang w:eastAsia="zh-CN"/>
              </w:rPr>
              <w:t>行政审批局</w:t>
            </w:r>
          </w:p>
        </w:tc>
        <w:tc>
          <w:tcPr>
            <w:tcW w:w="1524"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■政府门户网站</w:t>
            </w:r>
          </w:p>
          <w:p>
            <w:pPr>
              <w:rPr>
                <w:rFonts w:hint="eastAsia" w:ascii="仿宋_GB2312" w:hAnsi="宋体" w:eastAsia="仿宋_GB2312" w:cstheme="minorBidi"/>
                <w:kern w:val="2"/>
                <w:sz w:val="18"/>
                <w:szCs w:val="18"/>
                <w:highlight w:val="none"/>
                <w:lang w:val="en-US" w:eastAsia="zh-CN" w:bidi="ar-SA"/>
              </w:rPr>
            </w:pPr>
            <w:r>
              <w:rPr>
                <w:rFonts w:hint="eastAsia" w:ascii="仿宋_GB2312" w:hAnsi="宋体" w:eastAsia="仿宋_GB2312"/>
                <w:sz w:val="18"/>
                <w:szCs w:val="18"/>
                <w:highlight w:val="none"/>
              </w:rPr>
              <w:t>■公开查询点</w:t>
            </w:r>
          </w:p>
        </w:tc>
        <w:tc>
          <w:tcPr>
            <w:tcW w:w="600" w:type="dxa"/>
            <w:vAlign w:val="center"/>
          </w:tcPr>
          <w:p>
            <w:pPr>
              <w:jc w:val="center"/>
              <w:rPr>
                <w:rFonts w:hint="eastAsia" w:asciiTheme="minorHAnsi" w:hAnsiTheme="minorHAnsi" w:eastAsiaTheme="minorEastAsia" w:cstheme="minorBidi"/>
                <w:kern w:val="2"/>
                <w:sz w:val="18"/>
                <w:szCs w:val="18"/>
                <w:highlight w:val="none"/>
                <w:lang w:val="en-US" w:eastAsia="zh-CN" w:bidi="ar-SA"/>
              </w:rPr>
            </w:pPr>
            <w:r>
              <w:rPr>
                <w:rFonts w:hint="eastAsia"/>
                <w:sz w:val="18"/>
                <w:szCs w:val="18"/>
                <w:highlight w:val="none"/>
              </w:rPr>
              <w:t>√</w:t>
            </w:r>
          </w:p>
        </w:tc>
        <w:tc>
          <w:tcPr>
            <w:tcW w:w="840" w:type="dxa"/>
            <w:vAlign w:val="center"/>
          </w:tcPr>
          <w:p>
            <w:pPr>
              <w:jc w:val="center"/>
              <w:rPr>
                <w:rFonts w:hint="eastAsia" w:asciiTheme="minorHAnsi" w:hAnsiTheme="minorHAnsi" w:eastAsiaTheme="minorEastAsia" w:cstheme="minorBidi"/>
                <w:kern w:val="2"/>
                <w:sz w:val="18"/>
                <w:szCs w:val="18"/>
                <w:highlight w:val="none"/>
                <w:lang w:val="en-US" w:eastAsia="zh-CN" w:bidi="ar-SA"/>
              </w:rPr>
            </w:pPr>
            <w:r>
              <w:rPr>
                <w:rFonts w:hint="eastAsia"/>
                <w:sz w:val="18"/>
                <w:szCs w:val="18"/>
                <w:highlight w:val="none"/>
              </w:rPr>
              <w:t>　</w:t>
            </w:r>
          </w:p>
        </w:tc>
        <w:tc>
          <w:tcPr>
            <w:tcW w:w="615" w:type="dxa"/>
            <w:vAlign w:val="center"/>
          </w:tcPr>
          <w:p>
            <w:pPr>
              <w:jc w:val="center"/>
              <w:rPr>
                <w:rFonts w:hint="eastAsia" w:asciiTheme="minorHAnsi" w:hAnsiTheme="minorHAnsi" w:eastAsiaTheme="minorEastAsia" w:cstheme="minorBidi"/>
                <w:kern w:val="2"/>
                <w:sz w:val="18"/>
                <w:szCs w:val="18"/>
                <w:highlight w:val="none"/>
                <w:lang w:val="en-US" w:eastAsia="zh-CN" w:bidi="ar-SA"/>
              </w:rPr>
            </w:pPr>
            <w:r>
              <w:rPr>
                <w:rFonts w:hint="eastAsia"/>
                <w:sz w:val="18"/>
                <w:szCs w:val="18"/>
                <w:highlight w:val="none"/>
              </w:rPr>
              <w:t>√</w:t>
            </w:r>
          </w:p>
        </w:tc>
        <w:tc>
          <w:tcPr>
            <w:tcW w:w="690" w:type="dxa"/>
            <w:vAlign w:val="center"/>
          </w:tcPr>
          <w:p>
            <w:pPr>
              <w:rPr>
                <w:rFonts w:ascii="宋体" w:hAnsi="宋体" w:cs="宋体" w:eastAsiaTheme="minorEastAsia"/>
                <w:kern w:val="2"/>
                <w:sz w:val="18"/>
                <w:szCs w:val="18"/>
                <w:highlight w:val="none"/>
                <w:lang w:val="en-US" w:eastAsia="zh-CN" w:bidi="ar-SA"/>
              </w:rPr>
            </w:pPr>
          </w:p>
        </w:tc>
        <w:tc>
          <w:tcPr>
            <w:tcW w:w="510" w:type="dxa"/>
            <w:vAlign w:val="center"/>
          </w:tcPr>
          <w:p>
            <w:pPr>
              <w:rPr>
                <w:rFonts w:hint="eastAsia" w:ascii="仿宋_GB2312" w:hAnsi="宋体" w:eastAsia="仿宋_GB2312" w:cstheme="minorBidi"/>
                <w:kern w:val="2"/>
                <w:sz w:val="18"/>
                <w:szCs w:val="18"/>
                <w:highlight w:val="none"/>
                <w:lang w:val="en-US" w:eastAsia="zh-CN" w:bidi="ar-SA"/>
              </w:rPr>
            </w:pPr>
            <w:r>
              <w:rPr>
                <w:rFonts w:hint="eastAsia" w:ascii="仿宋_GB2312" w:hAnsi="宋体" w:eastAsia="仿宋_GB2312"/>
                <w:sz w:val="18"/>
                <w:szCs w:val="18"/>
                <w:highlight w:val="none"/>
              </w:rPr>
              <w:t>√</w:t>
            </w:r>
          </w:p>
        </w:tc>
        <w:tc>
          <w:tcPr>
            <w:tcW w:w="707" w:type="dxa"/>
            <w:vAlign w:val="center"/>
          </w:tcPr>
          <w:p>
            <w:pPr>
              <w:rPr>
                <w:rFonts w:ascii="宋体" w:hAnsi="宋体" w:cs="宋体" w:eastAsiaTheme="minorEastAsia"/>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9</w:t>
            </w:r>
          </w:p>
        </w:tc>
        <w:tc>
          <w:tcPr>
            <w:tcW w:w="780" w:type="dxa"/>
            <w:vMerge w:val="restart"/>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绿化管理</w:t>
            </w: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工程建设涉及城市绿地、树木审批</w:t>
            </w:r>
          </w:p>
        </w:tc>
        <w:tc>
          <w:tcPr>
            <w:tcW w:w="162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申请条件、</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申请材料、</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申请流程、</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法定依据。</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《城市绿化条例》</w:t>
            </w:r>
          </w:p>
        </w:tc>
        <w:tc>
          <w:tcPr>
            <w:tcW w:w="127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widowControl/>
              <w:jc w:val="center"/>
              <w:textAlignment w:val="center"/>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color w:val="000000"/>
                <w:kern w:val="0"/>
                <w:sz w:val="18"/>
                <w:szCs w:val="18"/>
                <w:highlight w:val="none"/>
              </w:rPr>
              <w:t>柳城县</w:t>
            </w:r>
            <w:r>
              <w:rPr>
                <w:rFonts w:hint="eastAsia" w:ascii="仿宋_GB2312" w:hAnsi="仿宋_GB2312" w:eastAsia="仿宋_GB2312" w:cs="仿宋_GB2312"/>
                <w:color w:val="000000"/>
                <w:kern w:val="0"/>
                <w:sz w:val="18"/>
                <w:szCs w:val="18"/>
                <w:highlight w:val="none"/>
                <w:lang w:eastAsia="zh-CN"/>
              </w:rPr>
              <w:t>行政审批局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■公开查询点</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10</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改变绿化规划、绿化用地的使用性质审批</w:t>
            </w:r>
          </w:p>
        </w:tc>
        <w:tc>
          <w:tcPr>
            <w:tcW w:w="162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申请条件、</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申请材料、</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申请流程、</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法定依据。</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《国务院对确需保留的行政审批项目设定行政许可的决定》《政府信息公开条例》</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w:t>
            </w:r>
          </w:p>
        </w:tc>
        <w:tc>
          <w:tcPr>
            <w:tcW w:w="127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w:t>
            </w:r>
            <w:r>
              <w:rPr>
                <w:rFonts w:hint="eastAsia" w:ascii="仿宋_GB2312" w:hAnsi="仿宋_GB2312" w:eastAsia="仿宋_GB2312" w:cs="仿宋_GB2312"/>
                <w:color w:val="000000"/>
                <w:kern w:val="0"/>
                <w:sz w:val="18"/>
                <w:szCs w:val="18"/>
                <w:highlight w:val="none"/>
                <w:lang w:eastAsia="zh-CN"/>
              </w:rPr>
              <w:t>行政审批局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■公开查询点</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rPr>
              <w:t>1</w:t>
            </w:r>
            <w:r>
              <w:rPr>
                <w:rFonts w:hint="eastAsia" w:ascii="仿宋_GB2312" w:hAnsi="仿宋_GB2312" w:eastAsia="仿宋_GB2312" w:cs="仿宋_GB2312"/>
                <w:sz w:val="18"/>
                <w:szCs w:val="18"/>
                <w:highlight w:val="none"/>
                <w:lang w:val="en-US" w:eastAsia="zh-CN"/>
              </w:rPr>
              <w:t>1</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对建设项目绿化用地面积占建设工程总用地面积的比例达不到批准标准的处罚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rPr>
              <w:t>1</w:t>
            </w:r>
            <w:r>
              <w:rPr>
                <w:rFonts w:hint="eastAsia" w:ascii="仿宋_GB2312" w:hAnsi="仿宋_GB2312" w:eastAsia="仿宋_GB2312" w:cs="仿宋_GB2312"/>
                <w:sz w:val="18"/>
                <w:szCs w:val="18"/>
                <w:highlight w:val="none"/>
                <w:lang w:val="en-US" w:eastAsia="zh-CN"/>
              </w:rPr>
              <w:t>2</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对建设单位未按规定将绿化工程相关竣工验收材料报市城市绿化行政主管部门备案的处罚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rPr>
              <w:t>1</w:t>
            </w:r>
            <w:r>
              <w:rPr>
                <w:rFonts w:hint="eastAsia" w:ascii="仿宋_GB2312" w:hAnsi="仿宋_GB2312" w:eastAsia="仿宋_GB2312" w:cs="仿宋_GB2312"/>
                <w:sz w:val="18"/>
                <w:szCs w:val="18"/>
                <w:highlight w:val="none"/>
                <w:lang w:val="en-US" w:eastAsia="zh-CN"/>
              </w:rPr>
              <w:t>3</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对擅自改变城市绿化用地性质的处罚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rPr>
              <w:t>1</w:t>
            </w:r>
            <w:r>
              <w:rPr>
                <w:rFonts w:hint="eastAsia" w:ascii="仿宋_GB2312" w:hAnsi="仿宋_GB2312" w:eastAsia="仿宋_GB2312" w:cs="仿宋_GB2312"/>
                <w:sz w:val="18"/>
                <w:szCs w:val="18"/>
                <w:highlight w:val="none"/>
                <w:lang w:val="en-US" w:eastAsia="zh-CN"/>
              </w:rPr>
              <w:t>4</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对未经批准或者超越批准期限占用城市绿地的处罚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rPr>
              <w:t>1</w:t>
            </w:r>
            <w:r>
              <w:rPr>
                <w:rFonts w:hint="eastAsia" w:ascii="仿宋_GB2312" w:hAnsi="仿宋_GB2312" w:eastAsia="仿宋_GB2312" w:cs="仿宋_GB2312"/>
                <w:sz w:val="18"/>
                <w:szCs w:val="18"/>
                <w:highlight w:val="none"/>
                <w:lang w:val="en-US" w:eastAsia="zh-CN"/>
              </w:rPr>
              <w:t>5</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对违反《柳州市城市绿化条例》规定修剪树木的处罚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color w:val="000000"/>
                <w:kern w:val="0"/>
                <w:sz w:val="18"/>
                <w:szCs w:val="18"/>
                <w:highlight w:val="none"/>
              </w:rPr>
              <w:t>1</w:t>
            </w:r>
            <w:r>
              <w:rPr>
                <w:rFonts w:hint="eastAsia" w:ascii="仿宋_GB2312" w:hAnsi="仿宋_GB2312" w:eastAsia="仿宋_GB2312" w:cs="仿宋_GB2312"/>
                <w:color w:val="000000"/>
                <w:kern w:val="0"/>
                <w:sz w:val="18"/>
                <w:szCs w:val="18"/>
                <w:highlight w:val="none"/>
                <w:lang w:val="en-US" w:eastAsia="zh-CN"/>
              </w:rPr>
              <w:t>6</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对违反《柳州市城市绿化条例》规定擅自砍伐树木的处罚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color w:val="000000"/>
                <w:kern w:val="0"/>
                <w:sz w:val="18"/>
                <w:szCs w:val="18"/>
                <w:highlight w:val="none"/>
              </w:rPr>
              <w:t>1</w:t>
            </w:r>
            <w:r>
              <w:rPr>
                <w:rFonts w:hint="eastAsia" w:ascii="仿宋_GB2312" w:hAnsi="仿宋_GB2312" w:eastAsia="仿宋_GB2312" w:cs="仿宋_GB2312"/>
                <w:color w:val="000000"/>
                <w:kern w:val="0"/>
                <w:sz w:val="18"/>
                <w:szCs w:val="18"/>
                <w:highlight w:val="none"/>
                <w:lang w:val="en-US" w:eastAsia="zh-CN"/>
              </w:rPr>
              <w:t>7</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对借树木作为支撑物或者固定物，攀折、刻划树木，擅自采摘花果，践踏地被植物、剥损树皮、破坏植物根系等的处罚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对在树上张贴广告、悬挂广告牌等物品，在绿篱上晾晒衣物和其他物品的处罚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对擅自在城市绿地内铺设硬化地面的处罚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20</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对在城市绿地内挖沙取土、打砖、种菜、用火，倾倒污水、垃圾、渣土等的处罚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rPr>
              <w:t>2</w:t>
            </w:r>
            <w:r>
              <w:rPr>
                <w:rFonts w:hint="eastAsia" w:ascii="仿宋_GB2312" w:hAnsi="仿宋_GB2312" w:eastAsia="仿宋_GB2312" w:cs="仿宋_GB2312"/>
                <w:sz w:val="18"/>
                <w:szCs w:val="18"/>
                <w:highlight w:val="none"/>
                <w:lang w:val="en-US" w:eastAsia="zh-CN"/>
              </w:rPr>
              <w:t>1</w:t>
            </w:r>
          </w:p>
        </w:tc>
        <w:tc>
          <w:tcPr>
            <w:tcW w:w="780" w:type="dxa"/>
            <w:vMerge w:val="continue"/>
            <w:vAlign w:val="center"/>
          </w:tcPr>
          <w:p>
            <w:pPr>
              <w:jc w:val="center"/>
              <w:rPr>
                <w:rFonts w:ascii="仿宋_GB2312" w:hAnsi="仿宋_GB2312" w:eastAsia="仿宋_GB2312" w:cs="仿宋_GB2312"/>
                <w:sz w:val="18"/>
                <w:szCs w:val="18"/>
                <w:highlight w:val="none"/>
              </w:rPr>
            </w:pPr>
          </w:p>
        </w:tc>
        <w:tc>
          <w:tcPr>
            <w:tcW w:w="798"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对损坏树木支架、护栏、座椅、园灯、建筑小品、给排水设施等的处罚</w:t>
            </w:r>
          </w:p>
        </w:tc>
        <w:tc>
          <w:tcPr>
            <w:tcW w:w="1620"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1、机构职能、权责清单、执法人员名单；</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2、执法程序或者行政强制流程图；</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3、执法依据；</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4、执法机关、执法对象、执法类别、执法结论</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5、行政处罚自由裁量权；</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6、咨询、监督投诉方式；</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7、处罚决定；</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8、救济渠道。</w:t>
            </w:r>
          </w:p>
        </w:tc>
        <w:tc>
          <w:tcPr>
            <w:tcW w:w="256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highlight w:val="none"/>
              </w:rPr>
              <w:br w:type="textWrapping"/>
            </w:r>
            <w:r>
              <w:rPr>
                <w:rFonts w:hint="eastAsia" w:ascii="仿宋_GB2312" w:hAnsi="仿宋_GB2312" w:eastAsia="仿宋_GB2312" w:cs="仿宋_GB2312"/>
                <w:color w:val="000000"/>
                <w:kern w:val="0"/>
                <w:sz w:val="18"/>
                <w:szCs w:val="18"/>
                <w:highlight w:val="none"/>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柳城县城市管理行政执法局</w:t>
            </w:r>
          </w:p>
        </w:tc>
        <w:tc>
          <w:tcPr>
            <w:tcW w:w="1524" w:type="dxa"/>
            <w:vAlign w:val="center"/>
          </w:tcPr>
          <w:p>
            <w:pPr>
              <w:widowControl/>
              <w:textAlignment w:val="center"/>
              <w:rPr>
                <w:rFonts w:ascii="仿宋_GB2312" w:hAnsi="仿宋_GB2312" w:eastAsia="仿宋_GB2312" w:cs="仿宋_GB2312"/>
                <w:sz w:val="18"/>
                <w:szCs w:val="18"/>
                <w:highlight w:val="none"/>
              </w:rPr>
            </w:pPr>
            <w:r>
              <w:rPr>
                <w:rFonts w:hint="eastAsia" w:ascii="仿宋_GB2312" w:hAnsi="宋体" w:eastAsia="仿宋_GB2312"/>
                <w:sz w:val="18"/>
                <w:szCs w:val="18"/>
                <w:highlight w:val="none"/>
              </w:rPr>
              <w:t>■</w:t>
            </w:r>
            <w:r>
              <w:rPr>
                <w:rFonts w:hint="eastAsia" w:ascii="仿宋_GB2312" w:hAnsi="仿宋_GB2312" w:eastAsia="仿宋_GB2312" w:cs="仿宋_GB2312"/>
                <w:color w:val="000000"/>
                <w:kern w:val="0"/>
                <w:sz w:val="18"/>
                <w:szCs w:val="18"/>
                <w:highlight w:val="none"/>
              </w:rPr>
              <w:t>政府网站</w:t>
            </w:r>
          </w:p>
        </w:tc>
        <w:tc>
          <w:tcPr>
            <w:tcW w:w="60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840" w:type="dxa"/>
            <w:vAlign w:val="center"/>
          </w:tcPr>
          <w:p>
            <w:pPr>
              <w:jc w:val="center"/>
              <w:rPr>
                <w:rFonts w:ascii="仿宋_GB2312" w:hAnsi="仿宋_GB2312" w:eastAsia="仿宋_GB2312" w:cs="仿宋_GB2312"/>
                <w:sz w:val="18"/>
                <w:szCs w:val="18"/>
                <w:highlight w:val="none"/>
              </w:rPr>
            </w:pPr>
          </w:p>
        </w:tc>
        <w:tc>
          <w:tcPr>
            <w:tcW w:w="615"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690" w:type="dxa"/>
            <w:vAlign w:val="center"/>
          </w:tcPr>
          <w:p>
            <w:pPr>
              <w:jc w:val="center"/>
              <w:rPr>
                <w:rFonts w:ascii="仿宋_GB2312" w:hAnsi="仿宋_GB2312" w:eastAsia="仿宋_GB2312" w:cs="仿宋_GB2312"/>
                <w:sz w:val="18"/>
                <w:szCs w:val="18"/>
                <w:highlight w:val="none"/>
              </w:rPr>
            </w:pPr>
          </w:p>
        </w:tc>
        <w:tc>
          <w:tcPr>
            <w:tcW w:w="510" w:type="dxa"/>
            <w:vAlign w:val="center"/>
          </w:tcPr>
          <w:p>
            <w:pPr>
              <w:widowControl/>
              <w:jc w:val="center"/>
              <w:textAlignment w:val="center"/>
              <w:rPr>
                <w:rFonts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rPr>
              <w:t>√</w:t>
            </w:r>
          </w:p>
        </w:tc>
        <w:tc>
          <w:tcPr>
            <w:tcW w:w="707" w:type="dxa"/>
            <w:vAlign w:val="center"/>
          </w:tcPr>
          <w:p>
            <w:pPr>
              <w:jc w:val="center"/>
              <w:rPr>
                <w:rFonts w:ascii="仿宋_GB2312" w:hAnsi="仿宋_GB2312" w:eastAsia="仿宋_GB2312" w:cs="仿宋_GB2312"/>
                <w:sz w:val="18"/>
                <w:szCs w:val="18"/>
                <w:highlight w:val="none"/>
              </w:rPr>
            </w:pPr>
          </w:p>
        </w:tc>
      </w:tr>
      <w:bookmarkEnd w:id="0"/>
    </w:tbl>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lYTYyNjU1OGI4MzM0NWYzNDFlNmExMmM2YmMzYzYifQ=="/>
  </w:docVars>
  <w:rsids>
    <w:rsidRoot w:val="002A5FEA"/>
    <w:rsid w:val="002A5FEA"/>
    <w:rsid w:val="0059091E"/>
    <w:rsid w:val="1A7E4D8A"/>
    <w:rsid w:val="229E7EE0"/>
    <w:rsid w:val="34B6313F"/>
    <w:rsid w:val="35740C6A"/>
    <w:rsid w:val="377F0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3997</Words>
  <Characters>4039</Characters>
  <Lines>32</Lines>
  <Paragraphs>9</Paragraphs>
  <TotalTime>1</TotalTime>
  <ScaleCrop>false</ScaleCrop>
  <LinksUpToDate>false</LinksUpToDate>
  <CharactersWithSpaces>4054</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2022-11-10T01:05:59Z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42C792F4BCC8430B9AC591720EE8810C</vt:lpwstr>
  </property>
</Properties>
</file>