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</w:p>
    <w:tbl>
      <w:tblPr>
        <w:tblStyle w:val="3"/>
        <w:tblW w:w="15029" w:type="dxa"/>
        <w:tblInd w:w="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65"/>
        <w:gridCol w:w="795"/>
        <w:gridCol w:w="2099"/>
        <w:gridCol w:w="2521"/>
        <w:gridCol w:w="1650"/>
        <w:gridCol w:w="869"/>
        <w:gridCol w:w="1620"/>
        <w:gridCol w:w="720"/>
        <w:gridCol w:w="709"/>
        <w:gridCol w:w="642"/>
        <w:gridCol w:w="735"/>
        <w:gridCol w:w="614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</w:rPr>
            </w:pPr>
            <w:bookmarkStart w:id="0" w:name="_GoBack"/>
            <w:r>
              <w:rPr>
                <w:rFonts w:ascii="Times New Roman" w:hAnsi="宋体"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5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许可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一般建设项目环境影响评价审批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〔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1、建设项目（非辐射类）环境影响评价文件重新审核；2、建设项目（非辐射类）环境影响报告表（含发生重大变动，建设单位重新报批建设项目的环境影响报告表）审批。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  <w:t>〕</w:t>
            </w:r>
          </w:p>
        </w:tc>
        <w:tc>
          <w:tcPr>
            <w:tcW w:w="2099" w:type="dxa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；决定环节：环评批复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《中华人民共和国大气污染防治法》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《中华人民共和国噪声污染防治法》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《建设项目环境保护管理条例》、《政府信息公开条例》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自该信息形成或者变更之日起20个工作日内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其中行政许可事项应自作出行政决定之日起7个工作日内公示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柳城县行政审批局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■政务服务中心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bookmarkEnd w:id="0"/>
    </w:tbl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lYTYyNjU1OGI4MzM0NWYzNDFlNmExMmM2YmMzYzYifQ=="/>
  </w:docVars>
  <w:rsids>
    <w:rsidRoot w:val="001C45CF"/>
    <w:rsid w:val="001C45CF"/>
    <w:rsid w:val="00A61C8D"/>
    <w:rsid w:val="05FE1EAE"/>
    <w:rsid w:val="4CAC165A"/>
    <w:rsid w:val="5A8A199C"/>
    <w:rsid w:val="619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453</Characters>
  <Lines>2</Lines>
  <Paragraphs>1</Paragraphs>
  <TotalTime>1</TotalTime>
  <ScaleCrop>false</ScaleCrop>
  <LinksUpToDate>false</LinksUpToDate>
  <CharactersWithSpaces>453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Administrator</cp:lastModifiedBy>
  <dcterms:modified xsi:type="dcterms:W3CDTF">2022-11-10T01:05:38Z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F48298D80C0F46BAA109EBA5644DA79E</vt:lpwstr>
  </property>
</Properties>
</file>