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2021年</w:t>
      </w:r>
      <w:r>
        <w:rPr>
          <w:rFonts w:hint="eastAsia" w:ascii="方正小标宋_GBK" w:hAnsi="方正小标宋_GBK" w:eastAsia="方正小标宋_GBK"/>
          <w:b w:val="0"/>
          <w:bCs w:val="0"/>
          <w:sz w:val="30"/>
        </w:rPr>
        <w:t>义务教育领域基层政务公开标准目录</w:t>
      </w:r>
    </w:p>
    <w:tbl>
      <w:tblPr>
        <w:tblStyle w:val="3"/>
        <w:tblW w:w="15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75"/>
        <w:gridCol w:w="735"/>
        <w:gridCol w:w="2204"/>
        <w:gridCol w:w="2520"/>
        <w:gridCol w:w="1620"/>
        <w:gridCol w:w="1231"/>
        <w:gridCol w:w="2010"/>
        <w:gridCol w:w="705"/>
        <w:gridCol w:w="690"/>
        <w:gridCol w:w="735"/>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1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0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9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1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widowControl/>
              <w:jc w:val="left"/>
              <w:rPr>
                <w:rFonts w:ascii="黑体" w:hAnsi="Times New Roman" w:eastAsia="黑体"/>
                <w:color w:val="000000"/>
                <w:kern w:val="0"/>
                <w:sz w:val="22"/>
              </w:rPr>
            </w:pPr>
          </w:p>
        </w:tc>
        <w:tc>
          <w:tcPr>
            <w:tcW w:w="6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04"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231" w:type="dxa"/>
            <w:vMerge w:val="continue"/>
            <w:vAlign w:val="center"/>
          </w:tcPr>
          <w:p>
            <w:pPr>
              <w:widowControl/>
              <w:jc w:val="left"/>
              <w:rPr>
                <w:rFonts w:ascii="黑体" w:hAnsi="宋体" w:eastAsia="黑体" w:cs="宋体"/>
                <w:color w:val="000000"/>
                <w:kern w:val="0"/>
                <w:sz w:val="22"/>
              </w:rPr>
            </w:pPr>
          </w:p>
        </w:tc>
        <w:tc>
          <w:tcPr>
            <w:tcW w:w="2010" w:type="dxa"/>
            <w:vMerge w:val="continue"/>
            <w:vAlign w:val="center"/>
          </w:tcPr>
          <w:p>
            <w:pPr>
              <w:widowControl/>
              <w:jc w:val="left"/>
              <w:rPr>
                <w:rFonts w:ascii="黑体" w:hAnsi="宋体" w:eastAsia="黑体" w:cs="宋体"/>
                <w:kern w:val="0"/>
                <w:sz w:val="22"/>
              </w:rPr>
            </w:pPr>
          </w:p>
        </w:tc>
        <w:tc>
          <w:tcPr>
            <w:tcW w:w="7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435" w:type="dxa"/>
            <w:vMerge w:val="restart"/>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675" w:type="dxa"/>
            <w:vMerge w:val="restart"/>
            <w:vAlign w:val="center"/>
          </w:tcPr>
          <w:p>
            <w:pPr>
              <w:jc w:val="center"/>
              <w:rPr>
                <w:rFonts w:hint="eastAsia" w:ascii="仿宋_GB2312" w:hAnsi="宋体" w:eastAsia="仿宋_GB2312"/>
                <w:color w:val="000000"/>
                <w:sz w:val="18"/>
                <w:szCs w:val="18"/>
              </w:rPr>
            </w:pPr>
            <w:r>
              <w:rPr>
                <w:rFonts w:hint="eastAsia" w:ascii="仿宋_GB2312" w:hAnsi="仿宋_GB2312" w:eastAsia="仿宋_GB2312" w:cs="仿宋_GB2312"/>
                <w:sz w:val="18"/>
                <w:szCs w:val="18"/>
              </w:rPr>
              <w:t>机构信息</w:t>
            </w: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机构概况</w:t>
            </w:r>
          </w:p>
        </w:tc>
        <w:tc>
          <w:tcPr>
            <w:tcW w:w="220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教育法律、规章制度</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435" w:type="dxa"/>
            <w:vMerge w:val="continue"/>
            <w:vAlign w:val="center"/>
          </w:tcPr>
          <w:p/>
        </w:tc>
        <w:tc>
          <w:tcPr>
            <w:tcW w:w="675" w:type="dxa"/>
            <w:vMerge w:val="continue"/>
            <w:vAlign w:val="center"/>
          </w:tcP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机构职能</w:t>
            </w:r>
          </w:p>
        </w:tc>
        <w:tc>
          <w:tcPr>
            <w:tcW w:w="220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教育法律、规章制度</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435" w:type="dxa"/>
            <w:vMerge w:val="continue"/>
            <w:vAlign w:val="center"/>
          </w:tcPr>
          <w:p>
            <w:pPr>
              <w:rPr>
                <w:rFonts w:hint="eastAsia" w:ascii="仿宋_GB2312" w:hAnsi="宋体" w:eastAsia="仿宋_GB2312"/>
                <w:color w:val="000000"/>
                <w:sz w:val="18"/>
                <w:szCs w:val="18"/>
              </w:rPr>
            </w:pPr>
          </w:p>
        </w:tc>
        <w:tc>
          <w:tcPr>
            <w:tcW w:w="675" w:type="dxa"/>
            <w:vMerge w:val="continue"/>
            <w:vAlign w:val="center"/>
          </w:tcPr>
          <w:p>
            <w:pPr>
              <w:rPr>
                <w:rFonts w:hint="eastAsia" w:ascii="仿宋_GB2312" w:hAnsi="宋体" w:eastAsia="仿宋_GB2312"/>
                <w:color w:val="000000"/>
                <w:sz w:val="18"/>
                <w:szCs w:val="18"/>
              </w:rPr>
            </w:pPr>
          </w:p>
        </w:tc>
        <w:tc>
          <w:tcPr>
            <w:tcW w:w="73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领导简介</w:t>
            </w:r>
          </w:p>
        </w:tc>
        <w:tc>
          <w:tcPr>
            <w:tcW w:w="220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教育法律、规章制度</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hint="eastAsia" w:ascii="仿宋_GB2312" w:hAnsi="宋体" w:eastAsia="仿宋_GB2312"/>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67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67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《统计法》、《中华人民共和国政府信息公开条例》、《教育统计管理规定》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7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《民办教育促进法》、《中华人民共和国政府信息公开条例》、《国务院关于鼓励社会力量兴办教育 促进民办教育健康发展的若干意见》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67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735"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204"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675"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735"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仿宋"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olor w:val="000000"/>
                <w:sz w:val="18"/>
                <w:szCs w:val="18"/>
              </w:rPr>
            </w:pP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p>
        </w:tc>
        <w:tc>
          <w:tcPr>
            <w:tcW w:w="675" w:type="dxa"/>
            <w:vMerge w:val="restart"/>
            <w:vAlign w:val="center"/>
          </w:tcPr>
          <w:p>
            <w:pPr>
              <w:jc w:val="cente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675"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《义务教育法》、《</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政府信息公开条例》、《中小学生学籍管理办法》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学生评优奖励</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政府信息公开条例》，当地省市县表彰文件</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rPr>
            </w:pPr>
          </w:p>
        </w:tc>
        <w:tc>
          <w:tcPr>
            <w:tcW w:w="675" w:type="dxa"/>
            <w:vAlign w:val="center"/>
          </w:tcPr>
          <w:p>
            <w:pPr>
              <w:jc w:val="center"/>
              <w:rPr>
                <w:rFonts w:ascii="仿宋_GB2312" w:hAnsi="宋体" w:eastAsia="仿宋_GB2312"/>
                <w:sz w:val="18"/>
                <w:szCs w:val="18"/>
              </w:rPr>
            </w:pPr>
          </w:p>
        </w:tc>
        <w:tc>
          <w:tcPr>
            <w:tcW w:w="735"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690"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3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05"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67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Merge w:val="continue"/>
            <w:vAlign w:val="center"/>
          </w:tcPr>
          <w:p>
            <w:pPr>
              <w:jc w:val="center"/>
              <w:rPr>
                <w:rFonts w:ascii="仿宋_GB2312" w:hAnsi="宋体" w:eastAsia="仿宋_GB2312" w:cs="宋体"/>
                <w:color w:val="000000"/>
                <w:sz w:val="18"/>
                <w:szCs w:val="18"/>
              </w:rPr>
            </w:pP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Merge w:val="continue"/>
            <w:vAlign w:val="center"/>
          </w:tcPr>
          <w:p>
            <w:pPr>
              <w:jc w:val="center"/>
              <w:rPr>
                <w:rFonts w:ascii="仿宋_GB2312" w:hAnsi="宋体" w:eastAsia="仿宋_GB2312" w:cs="宋体"/>
                <w:color w:val="000000"/>
                <w:sz w:val="18"/>
                <w:szCs w:val="18"/>
              </w:rPr>
            </w:pP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《中华人民共和国政府信息公开条例》、《关于做好乡村学校从教30年教师荣誉证书颁发工作的通知》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《中华人民共和国政府信息公开条例》、《人力资源社会保障部教育部关于印发深化中小学教师职称制度改革的指导意见的通知》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jc w:val="left"/>
              <w:rPr>
                <w:rFonts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《中华人民共和国政府信息公开条例》、《普通话水平测试管理规定》</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ascii="仿宋_GB2312" w:hAnsi="仿宋" w:eastAsia="仿宋_GB2312" w:cs="宋体"/>
                <w:color w:val="000000"/>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435"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675"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735"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color w:val="000000"/>
                <w:sz w:val="18"/>
                <w:szCs w:val="18"/>
              </w:rPr>
              <w:t>中华人民共和国</w:t>
            </w: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spacing w:line="240" w:lineRule="exac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rPr>
            </w:pPr>
          </w:p>
        </w:tc>
        <w:tc>
          <w:tcPr>
            <w:tcW w:w="675" w:type="dxa"/>
            <w:vMerge w:val="continue"/>
            <w:vAlign w:val="center"/>
          </w:tcPr>
          <w:p>
            <w:pPr>
              <w:jc w:val="center"/>
              <w:rPr>
                <w:rFonts w:ascii="仿宋_GB2312" w:hAnsi="宋体" w:eastAsia="仿宋_GB2312" w:cs="宋体"/>
                <w:color w:val="000000"/>
                <w:sz w:val="18"/>
                <w:szCs w:val="18"/>
              </w:rPr>
            </w:pPr>
          </w:p>
        </w:tc>
        <w:tc>
          <w:tcPr>
            <w:tcW w:w="73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bookmarkStart w:id="0" w:name="_GoBack"/>
            <w:bookmarkEnd w:id="0"/>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ascii="仿宋_GB2312" w:hAnsi="宋体" w:eastAsia="仿宋_GB2312" w:cs="宋体"/>
                <w:color w:val="000000"/>
                <w:sz w:val="18"/>
                <w:szCs w:val="18"/>
              </w:rPr>
            </w:pPr>
          </w:p>
        </w:tc>
        <w:tc>
          <w:tcPr>
            <w:tcW w:w="2204" w:type="dxa"/>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010" w:type="dxa"/>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ascii="仿宋_GB2312" w:hAnsi="宋体" w:eastAsia="仿宋_GB2312" w:cs="宋体"/>
                <w:color w:val="000000"/>
                <w:sz w:val="18"/>
                <w:szCs w:val="18"/>
              </w:rPr>
            </w:pP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010" w:type="dxa"/>
            <w:vAlign w:val="center"/>
          </w:tcPr>
          <w:p>
            <w:pPr>
              <w:spacing w:line="240" w:lineRule="exact"/>
              <w:jc w:val="left"/>
              <w:rPr>
                <w:rFonts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sz w:val="18"/>
                <w:szCs w:val="18"/>
              </w:rPr>
            </w:pPr>
          </w:p>
        </w:tc>
        <w:tc>
          <w:tcPr>
            <w:tcW w:w="675" w:type="dxa"/>
            <w:vMerge w:val="restart"/>
            <w:vAlign w:val="center"/>
          </w:tcPr>
          <w:p>
            <w:pPr>
              <w:jc w:val="center"/>
              <w:rPr>
                <w:rFonts w:ascii="仿宋_GB2312" w:hAnsi="宋体" w:eastAsia="仿宋_GB2312" w:cs="宋体"/>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《中华人民共和国政府信息公开条例》、教育部关于印发《学生体质健康监测评价办法》等三个文件的通知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sz w:val="18"/>
                <w:szCs w:val="18"/>
              </w:rPr>
            </w:pPr>
          </w:p>
        </w:tc>
        <w:tc>
          <w:tcPr>
            <w:tcW w:w="675" w:type="dxa"/>
            <w:vMerge w:val="continue"/>
            <w:vAlign w:val="center"/>
          </w:tcPr>
          <w:p>
            <w:pPr>
              <w:rPr>
                <w:rFonts w:ascii="仿宋_GB2312" w:hAnsi="宋体" w:eastAsia="仿宋_GB2312" w:cs="宋体"/>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《中华人民共和国政府信息公开条例》、教育部关于印发《中小学生艺术素质测评办法》等三个文件的通知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435"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675"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rPr>
            </w:pPr>
          </w:p>
        </w:tc>
        <w:tc>
          <w:tcPr>
            <w:tcW w:w="675" w:type="dxa"/>
            <w:vMerge w:val="continue"/>
            <w:vAlign w:val="center"/>
          </w:tcPr>
          <w:p>
            <w:pPr>
              <w:rPr>
                <w:rFonts w:ascii="仿宋_GB2312" w:hAnsi="宋体" w:eastAsia="仿宋_GB2312" w:cs="宋体"/>
                <w:color w:val="000000"/>
                <w:sz w:val="18"/>
                <w:szCs w:val="18"/>
              </w:rPr>
            </w:pP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6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735"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204"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《中华人民共和国政府信息公开条例》、《国务院办公厅关于加强中小学幼儿园安全风险防控体系建设的意见》、《教育部关于推进中小学信息公开工作的意见》、《校车安全管理条例》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231"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柳城县教育局</w:t>
            </w:r>
          </w:p>
        </w:tc>
        <w:tc>
          <w:tcPr>
            <w:tcW w:w="201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ascii="仿宋_GB2312" w:hAnsi="仿宋" w:eastAsia="仿宋_GB2312" w:cs="宋体"/>
                <w:sz w:val="18"/>
                <w:szCs w:val="18"/>
              </w:rPr>
            </w:pP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9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5"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6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行政许可</w:t>
            </w: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教师资格认定</w:t>
            </w:r>
          </w:p>
        </w:tc>
        <w:tc>
          <w:tcPr>
            <w:tcW w:w="2204" w:type="dxa"/>
            <w:vAlign w:val="center"/>
          </w:tcPr>
          <w:p>
            <w:pPr>
              <w:rPr>
                <w:rFonts w:hint="eastAsia" w:ascii="仿宋_GB2312" w:hAnsi="宋体" w:eastAsia="仿宋_GB2312" w:cs="宋体"/>
                <w:color w:val="auto"/>
                <w:sz w:val="18"/>
                <w:szCs w:val="18"/>
              </w:rPr>
            </w:pPr>
            <w:r>
              <w:rPr>
                <w:rFonts w:hint="eastAsia" w:ascii="仿宋_GB2312" w:hAnsi="宋体" w:eastAsia="仿宋_GB2312"/>
                <w:color w:val="auto"/>
                <w:sz w:val="18"/>
                <w:szCs w:val="18"/>
              </w:rPr>
              <w:t>1.法律法规和政策文件</w:t>
            </w:r>
            <w:r>
              <w:rPr>
                <w:rFonts w:hint="eastAsia" w:ascii="仿宋_GB2312" w:hAnsi="宋体" w:eastAsia="仿宋_GB2312" w:cs="宋体"/>
                <w:color w:val="auto"/>
                <w:sz w:val="18"/>
                <w:szCs w:val="18"/>
              </w:rPr>
              <w:t>；</w:t>
            </w: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r>
              <w:rPr>
                <w:rFonts w:hint="eastAsia" w:ascii="仿宋_GB2312" w:hAnsi="宋体" w:eastAsia="仿宋_GB2312"/>
                <w:color w:val="auto"/>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r>
              <w:rPr>
                <w:rFonts w:hint="eastAsia" w:ascii="仿宋_GB2312" w:hAnsi="宋体" w:eastAsia="仿宋_GB2312"/>
                <w:color w:val="auto"/>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color w:val="auto"/>
                <w:sz w:val="18"/>
                <w:szCs w:val="18"/>
              </w:rPr>
              <w:t>3.过程信息，根据实际情况适当公开受理、审核、审批、送达等相关信息</w:t>
            </w:r>
            <w:r>
              <w:rPr>
                <w:rFonts w:hint="eastAsia" w:ascii="仿宋_GB2312" w:hAnsi="宋体" w:eastAsia="仿宋_GB2312"/>
                <w:color w:val="auto"/>
                <w:sz w:val="18"/>
                <w:szCs w:val="18"/>
                <w:lang w:eastAsia="zh-CN"/>
              </w:rPr>
              <w:t>。</w:t>
            </w:r>
          </w:p>
        </w:tc>
        <w:tc>
          <w:tcPr>
            <w:tcW w:w="25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《中华人民共和国教师法》</w:t>
            </w:r>
            <w:r>
              <w:rPr>
                <w:rFonts w:hint="eastAsia" w:ascii="仿宋_GB2312" w:hAnsi="宋体" w:eastAsia="仿宋_GB2312"/>
                <w:color w:val="000000"/>
                <w:sz w:val="18"/>
                <w:szCs w:val="18"/>
                <w:lang w:eastAsia="zh-CN"/>
              </w:rPr>
              <w:t>、《教师资格条例》、</w:t>
            </w:r>
            <w:r>
              <w:rPr>
                <w:rFonts w:hint="eastAsia" w:ascii="仿宋_GB2312" w:hAnsi="宋体" w:eastAsia="仿宋_GB2312"/>
                <w:color w:val="000000"/>
                <w:sz w:val="18"/>
                <w:szCs w:val="18"/>
              </w:rPr>
              <w:t>《中华人民共和国政府信息公开条例》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auto"/>
                <w:sz w:val="18"/>
                <w:szCs w:val="18"/>
              </w:rPr>
              <w:t>《行政许可法》</w:t>
            </w:r>
          </w:p>
        </w:tc>
        <w:tc>
          <w:tcPr>
            <w:tcW w:w="1620" w:type="dxa"/>
            <w:vAlign w:val="center"/>
          </w:tcPr>
          <w:p>
            <w:pPr>
              <w:rPr>
                <w:rFonts w:hint="eastAsia" w:ascii="仿宋_GB2312" w:hAnsi="仿宋" w:eastAsia="仿宋_GB2312"/>
                <w:color w:val="000000"/>
                <w:sz w:val="18"/>
                <w:szCs w:val="18"/>
              </w:rPr>
            </w:pPr>
            <w:r>
              <w:rPr>
                <w:rFonts w:ascii="仿宋_GB2312" w:hAnsi="仿宋_GB2312" w:eastAsia="仿宋_GB2312" w:cs="仿宋_GB2312"/>
                <w:color w:val="auto"/>
                <w:sz w:val="18"/>
                <w:szCs w:val="18"/>
              </w:rPr>
              <w:t>行政许可的执法决定信息在执法决定作出之日起7个工作日内公开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231" w:type="dxa"/>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lang w:eastAsia="zh-CN"/>
              </w:rPr>
              <w:t>柳城县行政审批局</w:t>
            </w:r>
          </w:p>
        </w:tc>
        <w:tc>
          <w:tcPr>
            <w:tcW w:w="2010" w:type="dxa"/>
            <w:vAlign w:val="center"/>
          </w:tcPr>
          <w:p>
            <w:pPr>
              <w:jc w:val="left"/>
              <w:rPr>
                <w:rFonts w:hint="eastAsia" w:ascii="仿宋_GB2312" w:hAnsi="仿宋" w:eastAsia="仿宋_GB2312"/>
                <w:sz w:val="18"/>
                <w:szCs w:val="18"/>
              </w:rPr>
            </w:pPr>
            <w:r>
              <w:rPr>
                <w:rFonts w:hint="eastAsia" w:ascii="仿宋_GB2312" w:hAnsi="仿宋" w:eastAsia="仿宋_GB2312"/>
                <w:sz w:val="18"/>
                <w:szCs w:val="18"/>
              </w:rPr>
              <w:t>■政府网站</w:t>
            </w:r>
          </w:p>
          <w:p>
            <w:pPr>
              <w:jc w:val="left"/>
              <w:rPr>
                <w:rFonts w:ascii="仿宋_GB2312" w:hAnsi="仿宋" w:eastAsia="仿宋_GB2312" w:cs="宋体"/>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政务服务中心</w:t>
            </w:r>
            <w:r>
              <w:rPr>
                <w:rFonts w:hint="eastAsia" w:ascii="仿宋_GB2312" w:hAnsi="宋体" w:eastAsia="仿宋_GB2312"/>
                <w:color w:val="auto"/>
                <w:sz w:val="18"/>
                <w:szCs w:val="18"/>
              </w:rPr>
              <w:t xml:space="preserve">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hint="default"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lang w:val="en-US" w:eastAsia="zh-CN"/>
              </w:rPr>
              <w:t>12</w:t>
            </w:r>
          </w:p>
        </w:tc>
        <w:tc>
          <w:tcPr>
            <w:tcW w:w="675"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行政许可</w:t>
            </w:r>
          </w:p>
        </w:tc>
        <w:tc>
          <w:tcPr>
            <w:tcW w:w="735" w:type="dxa"/>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实施中等及中等以下学历教育、学前教育、自学考试助学及其他文化教育的学校设立、变更和终止审批</w:t>
            </w:r>
          </w:p>
        </w:tc>
        <w:tc>
          <w:tcPr>
            <w:tcW w:w="2204" w:type="dxa"/>
            <w:vAlign w:val="center"/>
          </w:tcPr>
          <w:p>
            <w:pPr>
              <w:rPr>
                <w:rFonts w:hint="eastAsia" w:ascii="仿宋_GB2312" w:hAnsi="宋体" w:eastAsia="仿宋_GB2312" w:cs="宋体"/>
                <w:color w:val="auto"/>
                <w:sz w:val="18"/>
                <w:szCs w:val="18"/>
              </w:rPr>
            </w:pPr>
            <w:r>
              <w:rPr>
                <w:rFonts w:hint="eastAsia" w:ascii="仿宋_GB2312" w:hAnsi="宋体" w:eastAsia="仿宋_GB2312"/>
                <w:color w:val="auto"/>
                <w:sz w:val="18"/>
                <w:szCs w:val="18"/>
              </w:rPr>
              <w:t>1.法律法规和政策文件</w:t>
            </w:r>
            <w:r>
              <w:rPr>
                <w:rFonts w:hint="eastAsia" w:ascii="仿宋_GB2312" w:hAnsi="宋体" w:eastAsia="仿宋_GB2312" w:cs="宋体"/>
                <w:color w:val="auto"/>
                <w:sz w:val="18"/>
                <w:szCs w:val="18"/>
              </w:rPr>
              <w:t>；</w:t>
            </w: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r>
              <w:rPr>
                <w:rFonts w:hint="eastAsia" w:ascii="仿宋_GB2312" w:hAnsi="宋体" w:eastAsia="仿宋_GB2312"/>
                <w:color w:val="auto"/>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r>
              <w:rPr>
                <w:rFonts w:hint="eastAsia" w:ascii="仿宋_GB2312" w:hAnsi="宋体" w:eastAsia="仿宋_GB2312"/>
                <w:color w:val="auto"/>
                <w:sz w:val="18"/>
                <w:szCs w:val="18"/>
                <w:lang w:eastAsia="zh-CN"/>
              </w:rPr>
              <w:t>。</w:t>
            </w:r>
          </w:p>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auto"/>
                <w:sz w:val="18"/>
                <w:szCs w:val="18"/>
              </w:rPr>
              <w:t>3.过程信息，根据实际情况适当公开受理、审核、审批、送达等相关信息</w:t>
            </w:r>
            <w:r>
              <w:rPr>
                <w:rFonts w:hint="eastAsia" w:ascii="仿宋_GB2312" w:hAnsi="宋体" w:eastAsia="仿宋_GB2312"/>
                <w:color w:val="auto"/>
                <w:sz w:val="18"/>
                <w:szCs w:val="18"/>
                <w:lang w:eastAsia="zh-CN"/>
              </w:rPr>
              <w:t>。</w:t>
            </w:r>
          </w:p>
        </w:tc>
        <w:tc>
          <w:tcPr>
            <w:tcW w:w="2520" w:type="dxa"/>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《中华人民共和国教育法》</w:t>
            </w:r>
            <w:r>
              <w:rPr>
                <w:rFonts w:hint="eastAsia" w:ascii="仿宋_GB2312" w:hAnsi="宋体" w:eastAsia="仿宋_GB2312"/>
                <w:color w:val="000000"/>
                <w:sz w:val="18"/>
                <w:szCs w:val="18"/>
                <w:lang w:eastAsia="zh-CN"/>
              </w:rPr>
              <w:t>、《中华人民共和国民办教育促进法》、《中华人民共和国民办教育促进法实施条例》、</w:t>
            </w:r>
            <w:r>
              <w:rPr>
                <w:rFonts w:hint="eastAsia" w:ascii="仿宋_GB2312" w:hAnsi="宋体" w:eastAsia="仿宋_GB2312"/>
                <w:color w:val="000000"/>
                <w:sz w:val="18"/>
                <w:szCs w:val="18"/>
              </w:rPr>
              <w:t>《中华人民共和国政府信息公开条例》</w:t>
            </w:r>
          </w:p>
        </w:tc>
        <w:tc>
          <w:tcPr>
            <w:tcW w:w="1620" w:type="dxa"/>
            <w:vAlign w:val="center"/>
          </w:tcPr>
          <w:p>
            <w:pPr>
              <w:rPr>
                <w:rFonts w:hint="eastAsia" w:ascii="仿宋_GB2312" w:hAnsi="仿宋" w:eastAsia="仿宋_GB2312" w:cstheme="minorBidi"/>
                <w:color w:val="000000"/>
                <w:kern w:val="2"/>
                <w:sz w:val="18"/>
                <w:szCs w:val="18"/>
                <w:lang w:val="en-US" w:eastAsia="zh-CN" w:bidi="ar-SA"/>
              </w:rPr>
            </w:pPr>
            <w:r>
              <w:rPr>
                <w:rFonts w:ascii="仿宋_GB2312" w:hAnsi="仿宋_GB2312" w:eastAsia="仿宋_GB2312" w:cs="仿宋_GB2312"/>
                <w:color w:val="auto"/>
                <w:sz w:val="18"/>
                <w:szCs w:val="18"/>
              </w:rPr>
              <w:t>行政许可的执法决定信息在执法决定作出之日起7个工作日内公开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231" w:type="dxa"/>
            <w:vAlign w:val="center"/>
          </w:tcPr>
          <w:p>
            <w:pPr>
              <w:rPr>
                <w:rFonts w:hint="eastAsia" w:ascii="仿宋_GB2312" w:hAnsi="仿宋" w:eastAsia="仿宋_GB2312" w:cstheme="minorBidi"/>
                <w:color w:val="000000"/>
                <w:kern w:val="2"/>
                <w:sz w:val="18"/>
                <w:szCs w:val="18"/>
                <w:lang w:val="en-US" w:eastAsia="zh-CN" w:bidi="ar-SA"/>
              </w:rPr>
            </w:pPr>
            <w:r>
              <w:rPr>
                <w:rFonts w:hint="eastAsia" w:ascii="仿宋_GB2312" w:hAnsi="仿宋" w:eastAsia="仿宋_GB2312"/>
                <w:color w:val="000000"/>
                <w:sz w:val="18"/>
                <w:szCs w:val="18"/>
                <w:lang w:eastAsia="zh-CN"/>
              </w:rPr>
              <w:t>柳城县行政审批局</w:t>
            </w:r>
          </w:p>
        </w:tc>
        <w:tc>
          <w:tcPr>
            <w:tcW w:w="2010" w:type="dxa"/>
            <w:vAlign w:val="center"/>
          </w:tcPr>
          <w:p>
            <w:pPr>
              <w:jc w:val="left"/>
              <w:rPr>
                <w:rFonts w:hint="eastAsia" w:ascii="仿宋_GB2312" w:hAnsi="仿宋" w:eastAsia="仿宋_GB2312"/>
                <w:sz w:val="18"/>
                <w:szCs w:val="18"/>
              </w:rPr>
            </w:pPr>
            <w:r>
              <w:rPr>
                <w:rFonts w:hint="eastAsia" w:ascii="仿宋_GB2312" w:hAnsi="仿宋" w:eastAsia="仿宋_GB2312"/>
                <w:sz w:val="18"/>
                <w:szCs w:val="18"/>
              </w:rPr>
              <w:t>■政府网站</w:t>
            </w:r>
          </w:p>
          <w:p>
            <w:pPr>
              <w:jc w:val="left"/>
              <w:rPr>
                <w:rFonts w:ascii="仿宋_GB2312" w:hAnsi="仿宋" w:eastAsia="仿宋_GB2312" w:cs="宋体"/>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政务服务中心</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13</w:t>
            </w:r>
          </w:p>
        </w:tc>
        <w:tc>
          <w:tcPr>
            <w:tcW w:w="67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w:t>
            </w: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文艺、体育等专业训练的社会组织自行实施义务教育审批</w:t>
            </w:r>
          </w:p>
        </w:tc>
        <w:tc>
          <w:tcPr>
            <w:tcW w:w="2204" w:type="dxa"/>
            <w:vAlign w:val="center"/>
          </w:tcPr>
          <w:p>
            <w:pPr>
              <w:rPr>
                <w:rFonts w:hint="eastAsia" w:ascii="仿宋_GB2312" w:hAnsi="宋体" w:eastAsia="仿宋_GB2312" w:cs="宋体"/>
                <w:color w:val="auto"/>
                <w:sz w:val="18"/>
                <w:szCs w:val="18"/>
              </w:rPr>
            </w:pPr>
            <w:r>
              <w:rPr>
                <w:rFonts w:hint="eastAsia" w:ascii="仿宋_GB2312" w:hAnsi="宋体" w:eastAsia="仿宋_GB2312"/>
                <w:color w:val="auto"/>
                <w:sz w:val="18"/>
                <w:szCs w:val="18"/>
              </w:rPr>
              <w:t>1.法律法规和政策文件</w:t>
            </w:r>
            <w:r>
              <w:rPr>
                <w:rFonts w:hint="eastAsia" w:ascii="仿宋_GB2312" w:hAnsi="宋体" w:eastAsia="仿宋_GB2312" w:cs="宋体"/>
                <w:color w:val="auto"/>
                <w:sz w:val="18"/>
                <w:szCs w:val="18"/>
              </w:rPr>
              <w:t>；</w:t>
            </w: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r>
              <w:rPr>
                <w:rFonts w:hint="eastAsia" w:ascii="仿宋_GB2312" w:hAnsi="宋体" w:eastAsia="仿宋_GB2312"/>
                <w:color w:val="auto"/>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r>
              <w:rPr>
                <w:rFonts w:hint="eastAsia" w:ascii="仿宋_GB2312" w:hAnsi="宋体" w:eastAsia="仿宋_GB2312"/>
                <w:color w:val="auto"/>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color w:val="auto"/>
                <w:sz w:val="18"/>
                <w:szCs w:val="18"/>
              </w:rPr>
              <w:t>3.过程信息，根据实际情况适当公开受理、审核、审批、送达等相关信息</w:t>
            </w:r>
            <w:r>
              <w:rPr>
                <w:rFonts w:hint="eastAsia" w:ascii="仿宋_GB2312" w:hAnsi="宋体" w:eastAsia="仿宋_GB2312"/>
                <w:color w:val="auto"/>
                <w:sz w:val="18"/>
                <w:szCs w:val="18"/>
                <w:lang w:eastAsia="zh-CN"/>
              </w:rPr>
              <w:t>。</w:t>
            </w:r>
          </w:p>
        </w:tc>
        <w:tc>
          <w:tcPr>
            <w:tcW w:w="25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《中华人民共和国义务教育法》</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auto"/>
                <w:sz w:val="18"/>
                <w:szCs w:val="18"/>
              </w:rPr>
              <w:t>《行政许可法》</w:t>
            </w:r>
          </w:p>
        </w:tc>
        <w:tc>
          <w:tcPr>
            <w:tcW w:w="1620" w:type="dxa"/>
            <w:vAlign w:val="center"/>
          </w:tcPr>
          <w:p>
            <w:pPr>
              <w:rPr>
                <w:rFonts w:hint="eastAsia" w:ascii="仿宋_GB2312" w:hAnsi="仿宋" w:eastAsia="仿宋_GB2312"/>
                <w:color w:val="000000"/>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23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eastAsia="zh-CN"/>
              </w:rPr>
              <w:t>柳城县行政审批局</w:t>
            </w:r>
          </w:p>
        </w:tc>
        <w:tc>
          <w:tcPr>
            <w:tcW w:w="2010" w:type="dxa"/>
            <w:vAlign w:val="center"/>
          </w:tcPr>
          <w:p>
            <w:pPr>
              <w:jc w:val="left"/>
              <w:rPr>
                <w:rFonts w:hint="eastAsia" w:ascii="仿宋_GB2312" w:hAnsi="仿宋" w:eastAsia="仿宋_GB2312"/>
                <w:sz w:val="18"/>
                <w:szCs w:val="18"/>
              </w:rPr>
            </w:pPr>
            <w:r>
              <w:rPr>
                <w:rFonts w:hint="eastAsia" w:ascii="仿宋_GB2312" w:hAnsi="仿宋" w:eastAsia="仿宋_GB2312"/>
                <w:sz w:val="18"/>
                <w:szCs w:val="18"/>
              </w:rPr>
              <w:t>■政府网站</w:t>
            </w:r>
          </w:p>
          <w:p>
            <w:pPr>
              <w:jc w:val="left"/>
              <w:rPr>
                <w:rFonts w:ascii="仿宋_GB2312" w:hAnsi="仿宋" w:eastAsia="仿宋_GB2312" w:cs="宋体"/>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政务服务中心</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14</w:t>
            </w:r>
          </w:p>
        </w:tc>
        <w:tc>
          <w:tcPr>
            <w:tcW w:w="67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w:t>
            </w:r>
          </w:p>
        </w:tc>
        <w:tc>
          <w:tcPr>
            <w:tcW w:w="735"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校车使用许可</w:t>
            </w:r>
          </w:p>
        </w:tc>
        <w:tc>
          <w:tcPr>
            <w:tcW w:w="2204" w:type="dxa"/>
            <w:vAlign w:val="center"/>
          </w:tcPr>
          <w:p>
            <w:pPr>
              <w:rPr>
                <w:rFonts w:hint="eastAsia" w:ascii="仿宋_GB2312" w:hAnsi="宋体" w:eastAsia="仿宋_GB2312" w:cs="宋体"/>
                <w:color w:val="auto"/>
                <w:sz w:val="18"/>
                <w:szCs w:val="18"/>
              </w:rPr>
            </w:pPr>
            <w:r>
              <w:rPr>
                <w:rFonts w:hint="eastAsia" w:ascii="仿宋_GB2312" w:hAnsi="宋体" w:eastAsia="仿宋_GB2312"/>
                <w:color w:val="auto"/>
                <w:sz w:val="18"/>
                <w:szCs w:val="18"/>
              </w:rPr>
              <w:t>1.法律法规和政策文件</w:t>
            </w:r>
            <w:r>
              <w:rPr>
                <w:rFonts w:hint="eastAsia" w:ascii="仿宋_GB2312" w:hAnsi="宋体" w:eastAsia="仿宋_GB2312" w:cs="宋体"/>
                <w:color w:val="auto"/>
                <w:sz w:val="18"/>
                <w:szCs w:val="18"/>
              </w:rPr>
              <w:t>；</w:t>
            </w: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r>
              <w:rPr>
                <w:rFonts w:hint="eastAsia" w:ascii="仿宋_GB2312" w:hAnsi="宋体" w:eastAsia="仿宋_GB2312"/>
                <w:color w:val="auto"/>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r>
              <w:rPr>
                <w:rFonts w:hint="eastAsia" w:ascii="仿宋_GB2312" w:hAnsi="宋体" w:eastAsia="仿宋_GB2312"/>
                <w:color w:val="auto"/>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color w:val="auto"/>
                <w:sz w:val="18"/>
                <w:szCs w:val="18"/>
              </w:rPr>
              <w:t>3.过程信息，根据实际情况适当公开受理、审核、审批、送达等相关信息</w:t>
            </w:r>
            <w:r>
              <w:rPr>
                <w:rFonts w:hint="eastAsia" w:ascii="仿宋_GB2312" w:hAnsi="宋体" w:eastAsia="仿宋_GB2312"/>
                <w:color w:val="auto"/>
                <w:sz w:val="18"/>
                <w:szCs w:val="18"/>
                <w:lang w:eastAsia="zh-CN"/>
              </w:rPr>
              <w:t>。</w:t>
            </w:r>
          </w:p>
        </w:tc>
        <w:tc>
          <w:tcPr>
            <w:tcW w:w="25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《校车安全管理条例》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《中华人民共和国政府信息公开条例》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auto"/>
                <w:sz w:val="18"/>
                <w:szCs w:val="18"/>
              </w:rPr>
              <w:t>《行政许可法》</w:t>
            </w:r>
          </w:p>
        </w:tc>
        <w:tc>
          <w:tcPr>
            <w:tcW w:w="1620" w:type="dxa"/>
            <w:vAlign w:val="center"/>
          </w:tcPr>
          <w:p>
            <w:pPr>
              <w:rPr>
                <w:rFonts w:hint="eastAsia" w:ascii="仿宋_GB2312" w:hAnsi="仿宋" w:eastAsia="仿宋_GB2312"/>
                <w:color w:val="000000"/>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23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eastAsia="zh-CN"/>
              </w:rPr>
              <w:t>柳城县行政审批局</w:t>
            </w:r>
          </w:p>
        </w:tc>
        <w:tc>
          <w:tcPr>
            <w:tcW w:w="2010" w:type="dxa"/>
            <w:vAlign w:val="center"/>
          </w:tcPr>
          <w:p>
            <w:pPr>
              <w:jc w:val="left"/>
              <w:rPr>
                <w:rFonts w:hint="eastAsia" w:ascii="仿宋_GB2312" w:hAnsi="仿宋" w:eastAsia="仿宋_GB2312"/>
                <w:sz w:val="18"/>
                <w:szCs w:val="18"/>
              </w:rPr>
            </w:pPr>
            <w:r>
              <w:rPr>
                <w:rFonts w:hint="eastAsia" w:ascii="仿宋_GB2312" w:hAnsi="仿宋" w:eastAsia="仿宋_GB2312"/>
                <w:sz w:val="18"/>
                <w:szCs w:val="18"/>
              </w:rPr>
              <w:t>■政府网站</w:t>
            </w:r>
          </w:p>
          <w:p>
            <w:pPr>
              <w:jc w:val="left"/>
              <w:rPr>
                <w:rFonts w:ascii="仿宋_GB2312" w:hAnsi="仿宋" w:eastAsia="仿宋_GB2312" w:cs="宋体"/>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政务服务中心</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69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3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5"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C7BC2"/>
    <w:rsid w:val="008C768E"/>
    <w:rsid w:val="00AC7BC2"/>
    <w:rsid w:val="16EA0DB1"/>
    <w:rsid w:val="49A960F1"/>
    <w:rsid w:val="5DE6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rPr>
  </w:style>
  <w:style w:type="character" w:customStyle="1" w:styleId="6">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854</Words>
  <Characters>4870</Characters>
  <Lines>40</Lines>
  <Paragraphs>11</Paragraphs>
  <TotalTime>3</TotalTime>
  <ScaleCrop>false</ScaleCrop>
  <LinksUpToDate>false</LinksUpToDate>
  <CharactersWithSpaces>5713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2021-12-31T09:17:04Z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5EC44A46F9E3425FA4B1EA321C659A8E</vt:lpwstr>
  </property>
</Properties>
</file>