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974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税收管理领域基层政务公开标准目录</w:t>
      </w:r>
      <w:bookmarkEnd w:id="0"/>
    </w:p>
    <w:tbl>
      <w:tblPr>
        <w:tblStyle w:val="3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6"/>
        <w:gridCol w:w="780"/>
        <w:gridCol w:w="2820"/>
        <w:gridCol w:w="2310"/>
        <w:gridCol w:w="2025"/>
        <w:gridCol w:w="1440"/>
        <w:gridCol w:w="1770"/>
        <w:gridCol w:w="585"/>
        <w:gridCol w:w="615"/>
        <w:gridCol w:w="600"/>
        <w:gridCol w:w="510"/>
        <w:gridCol w:w="630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国家税务总局柳城县税务局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政务服务中心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ectPr>
          <w:type w:val="continuous"/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YmQ2ZThkYTFjZGYyOGEyYzI3M2M0N2UxZWU5MTgifQ=="/>
  </w:docVars>
  <w:rsids>
    <w:rsidRoot w:val="00046FEE"/>
    <w:rsid w:val="00046FEE"/>
    <w:rsid w:val="006318AC"/>
    <w:rsid w:val="0AB27E5B"/>
    <w:rsid w:val="5E9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2617</Characters>
  <Lines>21</Lines>
  <Paragraphs>6</Paragraphs>
  <TotalTime>0</TotalTime>
  <ScaleCrop>false</ScaleCrop>
  <LinksUpToDate>false</LinksUpToDate>
  <CharactersWithSpaces>3069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Lenovo</dc:creator>
  <cp:lastModifiedBy>WPS_1647563553</cp:lastModifiedBy>
  <dcterms:modified xsi:type="dcterms:W3CDTF">2024-01-15T06:56:28Z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74FB00533E16490F9C356303D3E5A57B_12</vt:lpwstr>
  </property>
</Properties>
</file>