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11532"/>
      <w:r>
        <w:rPr>
          <w:rFonts w:hint="eastAsia" w:ascii="方正小标宋_GBK" w:hAnsi="方正小标宋_GBK" w:eastAsia="方正小标宋_GBK"/>
          <w:b w:val="0"/>
          <w:bCs w:val="0"/>
          <w:sz w:val="30"/>
        </w:rPr>
        <w:t>农村集体土地征收基层政务公开标准目录</w:t>
      </w:r>
      <w:bookmarkEnd w:id="0"/>
    </w:p>
    <w:bookmarkEnd w:id="1"/>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5.农村村民住宅拆迁补偿标准；</w:t>
            </w:r>
          </w:p>
        </w:tc>
        <w:tc>
          <w:tcPr>
            <w:tcW w:w="126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柳城县征地拆迁和房屋征收补偿中心</w:t>
            </w:r>
          </w:p>
        </w:tc>
        <w:tc>
          <w:tcPr>
            <w:tcW w:w="1786"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ascii="仿宋_GB2312" w:eastAsia="仿宋_GB2312"/>
                <w:color w:val="000000"/>
                <w:sz w:val="18"/>
                <w:szCs w:val="18"/>
              </w:rPr>
            </w:pPr>
          </w:p>
        </w:tc>
        <w:tc>
          <w:tcPr>
            <w:tcW w:w="554"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240" w:lineRule="exact"/>
              <w:jc w:val="center"/>
              <w:rPr>
                <w:rFonts w:ascii="仿宋_GB2312" w:eastAsia="仿宋_GB2312"/>
                <w:color w:val="000000"/>
                <w:sz w:val="18"/>
                <w:szCs w:val="18"/>
              </w:rPr>
            </w:pPr>
          </w:p>
        </w:tc>
        <w:tc>
          <w:tcPr>
            <w:tcW w:w="551"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ascii="仿宋_GB2312" w:eastAsia="仿宋_GB2312"/>
                <w:color w:val="000000"/>
                <w:sz w:val="18"/>
                <w:szCs w:val="18"/>
              </w:rPr>
            </w:pP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w:t>
            </w:r>
          </w:p>
        </w:tc>
        <w:tc>
          <w:tcPr>
            <w:tcW w:w="126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ascii="仿宋_GB2312" w:eastAsia="仿宋_GB2312"/>
                <w:color w:val="000000"/>
                <w:sz w:val="18"/>
                <w:szCs w:val="18"/>
              </w:rPr>
            </w:pP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柳城县征地拆迁和房屋征收补偿中心、各乡镇人民政府</w:t>
            </w:r>
          </w:p>
        </w:tc>
        <w:tc>
          <w:tcPr>
            <w:tcW w:w="1786"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■村公示栏</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ascii="仿宋_GB2312" w:eastAsia="仿宋_GB2312"/>
                <w:color w:val="000000"/>
                <w:sz w:val="18"/>
                <w:szCs w:val="18"/>
              </w:rPr>
            </w:pPr>
          </w:p>
        </w:tc>
        <w:tc>
          <w:tcPr>
            <w:tcW w:w="554" w:type="dxa"/>
            <w:vAlign w:val="center"/>
          </w:tcPr>
          <w:p>
            <w:pPr>
              <w:widowControl/>
              <w:spacing w:line="240" w:lineRule="exact"/>
              <w:jc w:val="center"/>
              <w:rPr>
                <w:rFonts w:ascii="仿宋_GB2312" w:eastAsia="仿宋_GB2312"/>
                <w:color w:val="000000"/>
                <w:sz w:val="18"/>
                <w:szCs w:val="18"/>
              </w:rPr>
            </w:pPr>
          </w:p>
        </w:tc>
        <w:tc>
          <w:tcPr>
            <w:tcW w:w="875" w:type="dxa"/>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ascii="仿宋_GB2312" w:eastAsia="仿宋_GB2312"/>
                <w:color w:val="000000"/>
                <w:sz w:val="18"/>
                <w:szCs w:val="18"/>
              </w:rPr>
            </w:pPr>
          </w:p>
        </w:tc>
        <w:tc>
          <w:tcPr>
            <w:tcW w:w="72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jc w:val="left"/>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Merge w:val="continue"/>
            <w:vAlign w:val="center"/>
          </w:tcPr>
          <w:p>
            <w:pPr>
              <w:widowControl/>
              <w:spacing w:line="240" w:lineRule="exact"/>
              <w:jc w:val="center"/>
              <w:rPr>
                <w:rFonts w:ascii="仿宋_GB2312" w:eastAsia="仿宋_GB2312"/>
                <w:color w:val="000000"/>
                <w:sz w:val="18"/>
                <w:szCs w:val="18"/>
              </w:rPr>
            </w:pPr>
          </w:p>
        </w:tc>
        <w:tc>
          <w:tcPr>
            <w:tcW w:w="720" w:type="dxa"/>
            <w:vMerge w:val="continue"/>
            <w:vAlign w:val="center"/>
          </w:tcPr>
          <w:p>
            <w:pPr>
              <w:widowControl/>
              <w:spacing w:line="240" w:lineRule="exact"/>
              <w:jc w:val="center"/>
              <w:rPr>
                <w:rFonts w:ascii="仿宋_GB2312" w:eastAsia="仿宋_GB2312"/>
                <w:color w:val="000000"/>
                <w:sz w:val="18"/>
                <w:szCs w:val="18"/>
              </w:rPr>
            </w:pPr>
          </w:p>
        </w:tc>
        <w:tc>
          <w:tcPr>
            <w:tcW w:w="720" w:type="dxa"/>
            <w:vMerge w:val="continue"/>
            <w:vAlign w:val="center"/>
          </w:tcPr>
          <w:p>
            <w:pPr>
              <w:widowControl/>
              <w:spacing w:line="240" w:lineRule="exact"/>
              <w:jc w:val="center"/>
              <w:rPr>
                <w:rFonts w:ascii="仿宋_GB2312" w:eastAsia="仿宋_GB2312"/>
                <w:color w:val="000000"/>
                <w:sz w:val="18"/>
                <w:szCs w:val="18"/>
              </w:rPr>
            </w:pPr>
          </w:p>
        </w:tc>
        <w:tc>
          <w:tcPr>
            <w:tcW w:w="720" w:type="dxa"/>
            <w:vMerge w:val="continue"/>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2.地上附着物和青苗调查登记表；</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柳城县征地拆迁和房屋征收补偿中心、各乡镇人民政府</w:t>
            </w:r>
          </w:p>
        </w:tc>
        <w:tc>
          <w:tcPr>
            <w:tcW w:w="1786"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■村公示栏</w:t>
            </w:r>
          </w:p>
          <w:p>
            <w:pPr>
              <w:widowControl/>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柳城县征地拆迁和房屋征收补偿中心、各乡镇人民政府</w:t>
            </w:r>
          </w:p>
        </w:tc>
        <w:tc>
          <w:tcPr>
            <w:tcW w:w="1786"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■村公示栏</w:t>
            </w:r>
          </w:p>
          <w:p>
            <w:pPr>
              <w:widowControl/>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1.建设用地呈报说明书、农用地转用方案、补充耕地方案、征收土地方案、供地方案。</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Lines="50"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hAnsi="Times New Roman" w:eastAsia="仿宋_GB2312"/>
                <w:sz w:val="18"/>
                <w:szCs w:val="18"/>
              </w:rPr>
              <w:t>柳城县自然资源和规划局</w:t>
            </w:r>
          </w:p>
        </w:tc>
        <w:tc>
          <w:tcPr>
            <w:tcW w:w="1786"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各乡镇人民政府</w:t>
            </w:r>
          </w:p>
        </w:tc>
        <w:tc>
          <w:tcPr>
            <w:tcW w:w="1786"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▲村公示栏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、柳城县征地拆迁和房屋征收补偿中心、各乡镇人民政府</w:t>
            </w:r>
          </w:p>
        </w:tc>
        <w:tc>
          <w:tcPr>
            <w:tcW w:w="1786"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■村公示栏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8</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p>
          <w:p>
            <w:pPr>
              <w:rPr>
                <w:rFonts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ascii="仿宋_GB2312" w:eastAsia="仿宋_GB2312"/>
                <w:color w:val="000000"/>
                <w:sz w:val="18"/>
                <w:szCs w:val="18"/>
              </w:rPr>
            </w:pPr>
            <w:r>
              <w:rPr>
                <w:rFonts w:hint="eastAsia" w:ascii="仿宋_GB2312" w:eastAsia="仿宋_GB2312"/>
                <w:color w:val="000000"/>
                <w:sz w:val="18"/>
                <w:szCs w:val="18"/>
              </w:rPr>
              <w:t>7.听证等救济途径；</w:t>
            </w:r>
          </w:p>
          <w:p>
            <w:pPr>
              <w:rPr>
                <w:rFonts w:ascii="仿宋_GB2312" w:eastAsia="仿宋_GB2312"/>
                <w:color w:val="000000"/>
                <w:sz w:val="18"/>
                <w:szCs w:val="18"/>
              </w:rPr>
            </w:pP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ascii="仿宋_GB2312" w:eastAsia="仿宋_GB2312"/>
                <w:color w:val="000000"/>
                <w:sz w:val="18"/>
                <w:szCs w:val="18"/>
              </w:rPr>
            </w:pPr>
          </w:p>
        </w:tc>
        <w:tc>
          <w:tcPr>
            <w:tcW w:w="1620" w:type="dxa"/>
            <w:vAlign w:val="center"/>
          </w:tcPr>
          <w:p>
            <w:pPr>
              <w:widowControl/>
              <w:spacing w:line="320" w:lineRule="exact"/>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柳城县征地拆迁和房屋征收补偿中心、各乡镇人民政府</w:t>
            </w:r>
          </w:p>
        </w:tc>
        <w:tc>
          <w:tcPr>
            <w:tcW w:w="1786"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■村公示栏</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▲政府网站</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9</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柳城县征地拆迁和房屋征收补偿中心、各乡镇人民政府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■村公示栏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0</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ascii="仿宋_GB2312" w:eastAsia="仿宋_GB2312"/>
                <w:color w:val="000000"/>
                <w:sz w:val="18"/>
                <w:szCs w:val="18"/>
              </w:rPr>
            </w:pPr>
            <w:r>
              <w:rPr>
                <w:rFonts w:hint="eastAsia" w:ascii="仿宋_GB2312" w:hAnsi="Times New Roman" w:eastAsia="仿宋_GB2312"/>
                <w:sz w:val="18"/>
                <w:szCs w:val="18"/>
              </w:rPr>
              <w:t>柳城县自然资源和规划局、</w:t>
            </w:r>
            <w:r>
              <w:rPr>
                <w:rFonts w:hint="eastAsia" w:ascii="仿宋_GB2312" w:eastAsia="仿宋_GB2312"/>
                <w:color w:val="000000"/>
                <w:sz w:val="18"/>
                <w:szCs w:val="18"/>
              </w:rPr>
              <w:t>各乡镇人民政府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■村公示栏</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4F16"/>
    <w:rsid w:val="003D4F16"/>
    <w:rsid w:val="00D56107"/>
    <w:rsid w:val="774E5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454</Words>
  <Characters>2589</Characters>
  <Lines>21</Lines>
  <Paragraphs>6</Paragraphs>
  <TotalTime>0</TotalTime>
  <ScaleCrop>false</ScaleCrop>
  <LinksUpToDate>false</LinksUpToDate>
  <CharactersWithSpaces>3037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我没有小毛驴骑</cp:lastModifiedBy>
  <dcterms:modified xsi:type="dcterms:W3CDTF">2020-11-29T04:26:07Z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