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40" w:after="330" w:line="578" w:lineRule="auto"/>
        <w:jc w:val="center"/>
        <w:outlineLvl w:val="0"/>
        <w:rPr>
          <w:rFonts w:ascii="方正小标宋_GBK" w:eastAsia="方正小标宋_GBK"/>
          <w:bCs/>
          <w:kern w:val="44"/>
          <w:sz w:val="30"/>
          <w:szCs w:val="30"/>
        </w:rPr>
      </w:pPr>
      <w:bookmarkStart w:id="0" w:name="_GoBack"/>
      <w:r>
        <w:rPr>
          <w:rFonts w:hint="eastAsia" w:ascii="方正小标宋_GBK" w:eastAsia="方正小标宋_GBK"/>
          <w:bCs/>
          <w:kern w:val="44"/>
          <w:sz w:val="30"/>
          <w:szCs w:val="30"/>
        </w:rPr>
        <w:t>社会保险领域基层政务公开标准目录</w:t>
      </w:r>
      <w:bookmarkEnd w:id="0"/>
    </w:p>
    <w:tbl>
      <w:tblPr>
        <w:tblStyle w:val="10"/>
        <w:tblW w:w="13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625"/>
        <w:gridCol w:w="946"/>
        <w:gridCol w:w="1922"/>
        <w:gridCol w:w="2879"/>
        <w:gridCol w:w="1113"/>
        <w:gridCol w:w="896"/>
        <w:gridCol w:w="1474"/>
        <w:gridCol w:w="626"/>
        <w:gridCol w:w="626"/>
        <w:gridCol w:w="467"/>
        <w:gridCol w:w="626"/>
        <w:gridCol w:w="626"/>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Merge w:val="restart"/>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5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2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7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11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89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74"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52"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09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82"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Merge w:val="continue"/>
            <w:vAlign w:val="center"/>
          </w:tcPr>
          <w:p>
            <w:pPr>
              <w:widowControl/>
              <w:jc w:val="left"/>
              <w:rPr>
                <w:rFonts w:ascii="Times New Roman" w:hAnsi="Times New Roman"/>
                <w:color w:val="000000"/>
                <w:kern w:val="0"/>
                <w:sz w:val="15"/>
                <w:szCs w:val="15"/>
              </w:rPr>
            </w:pPr>
          </w:p>
        </w:tc>
        <w:tc>
          <w:tcPr>
            <w:tcW w:w="62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4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22" w:type="dxa"/>
            <w:vMerge w:val="continue"/>
            <w:vAlign w:val="center"/>
          </w:tcPr>
          <w:p>
            <w:pPr>
              <w:widowControl/>
              <w:rPr>
                <w:rFonts w:ascii="黑体" w:hAnsi="宋体" w:eastAsia="黑体" w:cs="宋体"/>
                <w:color w:val="000000"/>
                <w:kern w:val="0"/>
                <w:sz w:val="22"/>
              </w:rPr>
            </w:pPr>
          </w:p>
        </w:tc>
        <w:tc>
          <w:tcPr>
            <w:tcW w:w="2879" w:type="dxa"/>
            <w:vMerge w:val="continue"/>
            <w:vAlign w:val="center"/>
          </w:tcPr>
          <w:p>
            <w:pPr>
              <w:widowControl/>
              <w:jc w:val="left"/>
              <w:rPr>
                <w:rFonts w:ascii="黑体" w:hAnsi="宋体" w:eastAsia="黑体" w:cs="宋体"/>
                <w:color w:val="000000"/>
                <w:kern w:val="0"/>
                <w:sz w:val="22"/>
              </w:rPr>
            </w:pPr>
          </w:p>
        </w:tc>
        <w:tc>
          <w:tcPr>
            <w:tcW w:w="1113" w:type="dxa"/>
            <w:vMerge w:val="continue"/>
            <w:vAlign w:val="center"/>
          </w:tcPr>
          <w:p>
            <w:pPr>
              <w:widowControl/>
              <w:jc w:val="left"/>
              <w:rPr>
                <w:rFonts w:ascii="黑体" w:hAnsi="宋体" w:eastAsia="黑体" w:cs="宋体"/>
                <w:color w:val="000000"/>
                <w:kern w:val="0"/>
                <w:sz w:val="22"/>
              </w:rPr>
            </w:pPr>
          </w:p>
        </w:tc>
        <w:tc>
          <w:tcPr>
            <w:tcW w:w="896" w:type="dxa"/>
            <w:vMerge w:val="continue"/>
            <w:vAlign w:val="center"/>
          </w:tcPr>
          <w:p>
            <w:pPr>
              <w:widowControl/>
              <w:jc w:val="left"/>
              <w:rPr>
                <w:rFonts w:ascii="黑体" w:hAnsi="宋体" w:eastAsia="黑体" w:cs="宋体"/>
                <w:color w:val="000000"/>
                <w:kern w:val="0"/>
                <w:sz w:val="22"/>
              </w:rPr>
            </w:pPr>
          </w:p>
        </w:tc>
        <w:tc>
          <w:tcPr>
            <w:tcW w:w="1474" w:type="dxa"/>
            <w:vMerge w:val="continue"/>
            <w:vAlign w:val="center"/>
          </w:tcPr>
          <w:p>
            <w:pPr>
              <w:widowControl/>
              <w:jc w:val="left"/>
              <w:rPr>
                <w:rFonts w:ascii="黑体" w:hAnsi="宋体" w:eastAsia="黑体" w:cs="宋体"/>
                <w:kern w:val="0"/>
                <w:sz w:val="22"/>
              </w:rPr>
            </w:pPr>
          </w:p>
        </w:tc>
        <w:tc>
          <w:tcPr>
            <w:tcW w:w="62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2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4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2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2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5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8"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625"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1922"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87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3.《国务院关于机关事业单位工作人员养老保险制度改革的决定》（国发﹝2015﹞2号）</w:t>
            </w:r>
          </w:p>
        </w:tc>
        <w:tc>
          <w:tcPr>
            <w:tcW w:w="11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1922"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87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3.《社会保险费征缴暂行条例》（中华人民共和国国务院令710号）</w:t>
            </w:r>
          </w:p>
        </w:tc>
        <w:tc>
          <w:tcPr>
            <w:tcW w:w="11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Align w:val="center"/>
          </w:tcPr>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r>
              <w:rPr>
                <w:rFonts w:hint="eastAsia" w:ascii="仿宋_GB2312" w:hAnsi="宋体" w:eastAsia="仿宋_GB2312"/>
                <w:color w:val="000000"/>
                <w:sz w:val="18"/>
                <w:szCs w:val="18"/>
              </w:rPr>
              <w:br w:type="textWrapping"/>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625"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192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87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3.《社会保险费征缴暂行条例》（中华人民共和国国务院令710号）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6"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625"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192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87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3.《社会保险费征缴暂行条例》（中华人民共和国国务院令710号）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625"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192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87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3.《社会保险费征缴暂行条例》（中华人民共和国国务院令710号）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6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1922"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87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3.《社会保险费征缴暂行条例》（中华人民共和国国务院令710号）</w:t>
            </w:r>
          </w:p>
        </w:tc>
        <w:tc>
          <w:tcPr>
            <w:tcW w:w="11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625"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192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87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3.《社会保险费征缴暂行条例》（中华人民共和国国务院令710号）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625" w:type="dxa"/>
            <w:vMerge w:val="continue"/>
            <w:vAlign w:val="center"/>
          </w:tcPr>
          <w:p>
            <w:pPr>
              <w:jc w:val="cente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9"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625"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192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87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3.《社会保险费征缴暂行条例》（中华人民共和国国务院令710号）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2"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1922" w:type="dxa"/>
            <w:vMerge w:val="continue"/>
            <w:vAlign w:val="center"/>
          </w:tcPr>
          <w:p>
            <w:pPr>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466" w:type="dxa"/>
            <w:tcBorders>
              <w:bottom w:val="single" w:color="auto" w:sz="4" w:space="0"/>
            </w:tcBorders>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625" w:type="dxa"/>
            <w:vMerge w:val="restart"/>
            <w:tcBorders>
              <w:bottom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946" w:type="dxa"/>
            <w:tcBorders>
              <w:bottom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1922" w:type="dxa"/>
            <w:vMerge w:val="restart"/>
            <w:tcBorders>
              <w:bottom w:val="single" w:color="auto" w:sz="4" w:space="0"/>
            </w:tcBorders>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879" w:type="dxa"/>
            <w:vMerge w:val="restart"/>
            <w:tcBorders>
              <w:bottom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113" w:type="dxa"/>
            <w:vMerge w:val="restart"/>
            <w:tcBorders>
              <w:bottom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896" w:type="dxa"/>
            <w:vMerge w:val="restart"/>
            <w:tcBorders>
              <w:bottom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Merge w:val="restart"/>
            <w:vAlign w:val="center"/>
          </w:tcPr>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p>
          <w:p>
            <w:pPr>
              <w:ind w:left="357" w:leftChars="170" w:firstLine="900" w:firstLineChars="500"/>
              <w:jc w:val="left"/>
              <w:rPr>
                <w:rFonts w:ascii="仿宋_GB2312" w:hAnsi="宋体" w:eastAsia="仿宋_GB2312"/>
                <w:color w:val="000000"/>
                <w:sz w:val="18"/>
                <w:szCs w:val="18"/>
              </w:rPr>
            </w:pPr>
          </w:p>
          <w:p>
            <w:pPr>
              <w:ind w:left="357" w:leftChars="170" w:firstLine="900" w:firstLineChars="500"/>
              <w:jc w:val="left"/>
              <w:rPr>
                <w:rFonts w:ascii="仿宋_GB2312" w:hAnsi="宋体" w:eastAsia="仿宋_GB2312"/>
                <w:color w:val="000000"/>
                <w:sz w:val="18"/>
                <w:szCs w:val="18"/>
              </w:rPr>
            </w:pPr>
          </w:p>
          <w:p>
            <w:pPr>
              <w:ind w:left="357" w:leftChars="170" w:firstLine="900" w:firstLineChars="500"/>
              <w:jc w:val="left"/>
              <w:rPr>
                <w:rFonts w:ascii="仿宋_GB2312" w:hAnsi="宋体" w:eastAsia="仿宋_GB2312"/>
                <w:color w:val="000000"/>
                <w:sz w:val="18"/>
                <w:szCs w:val="18"/>
              </w:rPr>
            </w:pPr>
          </w:p>
          <w:p>
            <w:pPr>
              <w:ind w:left="357" w:leftChars="170" w:firstLine="900" w:firstLineChars="500"/>
              <w:jc w:val="left"/>
              <w:rPr>
                <w:rFonts w:ascii="仿宋_GB2312" w:hAnsi="宋体" w:eastAsia="仿宋_GB2312"/>
                <w:color w:val="000000"/>
                <w:sz w:val="18"/>
                <w:szCs w:val="18"/>
              </w:rPr>
            </w:pPr>
          </w:p>
          <w:p>
            <w:pPr>
              <w:ind w:left="357" w:leftChars="170" w:firstLine="900" w:firstLineChars="500"/>
              <w:jc w:val="left"/>
              <w:rPr>
                <w:rFonts w:ascii="仿宋_GB2312" w:hAnsi="宋体" w:eastAsia="仿宋_GB2312"/>
                <w:color w:val="000000"/>
                <w:sz w:val="18"/>
                <w:szCs w:val="18"/>
              </w:rPr>
            </w:pPr>
          </w:p>
          <w:p>
            <w:pPr>
              <w:ind w:left="357" w:leftChars="170" w:firstLine="900" w:firstLineChars="500"/>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p>
        </w:tc>
        <w:tc>
          <w:tcPr>
            <w:tcW w:w="626" w:type="dxa"/>
            <w:tcBorders>
              <w:bottom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tcBorders>
              <w:bottom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tcBorders>
              <w:bottom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tcBorders>
              <w:bottom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tcBorders>
              <w:bottom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tcBorders>
              <w:bottom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46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spacing w:afterLines="401"/>
              <w:jc w:val="center"/>
              <w:rPr>
                <w:rFonts w:ascii="仿宋_GB2312" w:hAnsi="宋体" w:eastAsia="仿宋_GB2312"/>
                <w:color w:val="000000"/>
                <w:sz w:val="18"/>
                <w:szCs w:val="18"/>
              </w:rPr>
            </w:pPr>
          </w:p>
          <w:p>
            <w:pPr>
              <w:spacing w:afterLines="401"/>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1"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625"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192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87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■基层公共服务平台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8"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2"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8" w:hRule="atLeast"/>
          <w:jc w:val="center"/>
        </w:trPr>
        <w:tc>
          <w:tcPr>
            <w:tcW w:w="466" w:type="dxa"/>
            <w:vAlign w:val="center"/>
          </w:tcPr>
          <w:p>
            <w:pP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1922"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87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3.《国务院办公厅关于转发人力资源社会保障部财政部城镇企业职工基本养老保险关系转移接续暂行办法的通知》（国办发﹝2009﹞66号）</w:t>
            </w:r>
          </w:p>
        </w:tc>
        <w:tc>
          <w:tcPr>
            <w:tcW w:w="11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1922" w:type="dxa"/>
            <w:vAlign w:val="center"/>
          </w:tcPr>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87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3.《人力资源社会保障部财政部关于机关事业单位基本养老保险关系和职业年金转移接续有关问题的通知》（人社部规﹝2017﹞1号）</w:t>
            </w:r>
          </w:p>
        </w:tc>
        <w:tc>
          <w:tcPr>
            <w:tcW w:w="11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7"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625"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192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87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1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highlight w:val="red"/>
              </w:rPr>
            </w:pPr>
            <w:r>
              <w:rPr>
                <w:rFonts w:hint="eastAsia" w:ascii="仿宋_GB2312" w:hAnsi="宋体" w:eastAsia="仿宋_GB2312"/>
                <w:color w:val="000000"/>
                <w:sz w:val="18"/>
                <w:szCs w:val="18"/>
              </w:rPr>
              <w:t xml:space="preserve">■基层公共服务平台 </w:t>
            </w:r>
          </w:p>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8"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1922" w:type="dxa"/>
            <w:vMerge w:val="continue"/>
            <w:vAlign w:val="center"/>
          </w:tcPr>
          <w:p>
            <w:pPr>
              <w:jc w:val="left"/>
              <w:rPr>
                <w:rFonts w:ascii="仿宋_GB2312" w:hAnsi="宋体" w:eastAsia="仿宋_GB2312"/>
                <w:color w:val="000000"/>
                <w:sz w:val="18"/>
                <w:szCs w:val="18"/>
              </w:rPr>
            </w:pPr>
          </w:p>
        </w:tc>
        <w:tc>
          <w:tcPr>
            <w:tcW w:w="287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3.《人力资源社会保障部财政部关于机关事业单位基本养老保险关系和职业年金转移接续有关问题的通知》（人社部规﹝2017﹞1号）</w:t>
            </w:r>
          </w:p>
        </w:tc>
        <w:tc>
          <w:tcPr>
            <w:tcW w:w="11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2"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城镇职工基本养老保险与城乡居民基本养老保险制度衔接申请  </w:t>
            </w:r>
          </w:p>
        </w:tc>
        <w:tc>
          <w:tcPr>
            <w:tcW w:w="1922" w:type="dxa"/>
            <w:vMerge w:val="continue"/>
            <w:vAlign w:val="center"/>
          </w:tcPr>
          <w:p>
            <w:pPr>
              <w:jc w:val="left"/>
              <w:rPr>
                <w:rFonts w:ascii="仿宋_GB2312" w:hAnsi="宋体" w:eastAsia="仿宋_GB2312"/>
                <w:color w:val="000000"/>
                <w:sz w:val="18"/>
                <w:szCs w:val="18"/>
              </w:rPr>
            </w:pPr>
          </w:p>
        </w:tc>
        <w:tc>
          <w:tcPr>
            <w:tcW w:w="287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3.《人力资源社会保障部财政部关于印发＜城乡养老保险制度衔接暂行办法＞的通知》（人社部发﹝2014﹞17号）</w:t>
            </w:r>
          </w:p>
        </w:tc>
        <w:tc>
          <w:tcPr>
            <w:tcW w:w="11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8"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625"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1922"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87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3.《人力资源社会保障部财政部总参谋部总政治部总后勤部关于军人退役基本养老保险关系转移接续有关问题的通知》（后财﹝2015﹞1726号）</w:t>
            </w:r>
          </w:p>
        </w:tc>
        <w:tc>
          <w:tcPr>
            <w:tcW w:w="11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8"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1922"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87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3.《人力资源和社会保障部＜关于贯彻落实国务院办公厅转发城镇企业职工基本养老保险关系转移接续暂行办法的通知》（人社部发﹝2009﹞187号）</w:t>
            </w:r>
          </w:p>
        </w:tc>
        <w:tc>
          <w:tcPr>
            <w:tcW w:w="11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sz w:val="18"/>
                <w:szCs w:val="18"/>
              </w:rPr>
            </w:pPr>
            <w:r>
              <w:rPr>
                <w:rFonts w:ascii="仿宋_GB2312" w:hAnsi="宋体" w:eastAsia="仿宋_GB2312"/>
                <w:sz w:val="18"/>
                <w:szCs w:val="18"/>
              </w:rPr>
              <w:t>33</w:t>
            </w:r>
          </w:p>
        </w:tc>
        <w:tc>
          <w:tcPr>
            <w:tcW w:w="625" w:type="dxa"/>
            <w:vAlign w:val="center"/>
          </w:tcPr>
          <w:p>
            <w:pPr>
              <w:jc w:val="center"/>
              <w:rPr>
                <w:rFonts w:ascii="仿宋_GB2312" w:hAnsi="宋体" w:eastAsia="仿宋_GB2312"/>
                <w:sz w:val="18"/>
                <w:szCs w:val="18"/>
              </w:rPr>
            </w:pPr>
            <w:r>
              <w:rPr>
                <w:rFonts w:hint="eastAsia" w:ascii="仿宋_GB2312" w:hAnsi="宋体" w:eastAsia="仿宋_GB2312"/>
                <w:sz w:val="18"/>
                <w:szCs w:val="18"/>
              </w:rPr>
              <w:t>工伤保险服务</w:t>
            </w:r>
          </w:p>
        </w:tc>
        <w:tc>
          <w:tcPr>
            <w:tcW w:w="946" w:type="dxa"/>
            <w:vAlign w:val="center"/>
          </w:tcPr>
          <w:p>
            <w:pPr>
              <w:rPr>
                <w:rFonts w:ascii="仿宋_GB2312" w:hAnsi="宋体" w:eastAsia="仿宋_GB2312"/>
                <w:sz w:val="18"/>
                <w:szCs w:val="18"/>
              </w:rPr>
            </w:pPr>
            <w:r>
              <w:rPr>
                <w:rFonts w:hint="eastAsia" w:ascii="仿宋_GB2312" w:hAnsi="宋体" w:eastAsia="仿宋_GB2312"/>
                <w:sz w:val="18"/>
                <w:szCs w:val="18"/>
              </w:rPr>
              <w:t>工伤事故备案</w:t>
            </w:r>
          </w:p>
        </w:tc>
        <w:tc>
          <w:tcPr>
            <w:tcW w:w="1922" w:type="dxa"/>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879" w:type="dxa"/>
            <w:vAlign w:val="center"/>
          </w:tcPr>
          <w:p>
            <w:pPr>
              <w:rPr>
                <w:rFonts w:ascii="仿宋_GB2312" w:hAnsi="宋体" w:eastAsia="仿宋_GB2312"/>
                <w:sz w:val="18"/>
                <w:szCs w:val="18"/>
              </w:rPr>
            </w:pPr>
            <w:r>
              <w:rPr>
                <w:rFonts w:hint="eastAsia" w:ascii="仿宋_GB2312" w:hAnsi="宋体" w:eastAsia="仿宋_GB2312"/>
                <w:sz w:val="18"/>
                <w:szCs w:val="18"/>
              </w:rPr>
              <w:t>1.《中华人民共和国政府信息公开条例》（中华人民共和国国务院令第711号）</w:t>
            </w:r>
          </w:p>
          <w:p>
            <w:pPr>
              <w:rPr>
                <w:rFonts w:ascii="仿宋_GB2312" w:hAnsi="宋体" w:eastAsia="仿宋_GB2312"/>
                <w:sz w:val="18"/>
                <w:szCs w:val="18"/>
              </w:rPr>
            </w:pPr>
            <w:r>
              <w:rPr>
                <w:rFonts w:hint="eastAsia" w:ascii="仿宋_GB2312" w:hAnsi="宋体" w:eastAsia="仿宋_GB2312"/>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sz w:val="18"/>
                <w:szCs w:val="18"/>
              </w:rPr>
            </w:pPr>
            <w:r>
              <w:rPr>
                <w:rFonts w:hint="eastAsia" w:ascii="仿宋_GB2312" w:hAnsi="宋体" w:eastAsia="仿宋_GB2312"/>
                <w:sz w:val="18"/>
                <w:szCs w:val="18"/>
              </w:rPr>
              <w:t>3.《工伤保险条例》（中华人民共和国国务院令第586号）</w:t>
            </w:r>
          </w:p>
        </w:tc>
        <w:tc>
          <w:tcPr>
            <w:tcW w:w="1113"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896" w:type="dxa"/>
            <w:vAlign w:val="center"/>
          </w:tcPr>
          <w:p>
            <w:pPr>
              <w:rPr>
                <w:rFonts w:ascii="仿宋_GB2312" w:hAnsi="宋体" w:eastAsia="仿宋_GB2312"/>
                <w:sz w:val="18"/>
                <w:szCs w:val="18"/>
              </w:rPr>
            </w:pPr>
            <w:r>
              <w:rPr>
                <w:rFonts w:hint="eastAsia" w:ascii="仿宋_GB2312" w:hAnsi="宋体" w:eastAsia="仿宋_GB2312"/>
                <w:sz w:val="18"/>
                <w:szCs w:val="18"/>
              </w:rPr>
              <w:t>柳城县人力资源和社会保障局</w:t>
            </w:r>
            <w:r>
              <w:rPr>
                <w:rFonts w:hint="eastAsia" w:ascii="仿宋_GB2312" w:hAnsi="宋体" w:eastAsia="仿宋_GB2312"/>
                <w:color w:val="000000"/>
                <w:sz w:val="18"/>
                <w:szCs w:val="18"/>
              </w:rPr>
              <w:t>、各乡镇人民政府</w:t>
            </w:r>
          </w:p>
        </w:tc>
        <w:tc>
          <w:tcPr>
            <w:tcW w:w="1474" w:type="dxa"/>
            <w:vAlign w:val="center"/>
          </w:tcPr>
          <w:p>
            <w:pPr>
              <w:jc w:val="left"/>
              <w:rPr>
                <w:rFonts w:ascii="仿宋_GB2312" w:hAnsi="宋体" w:eastAsia="仿宋_GB2312"/>
                <w:sz w:val="18"/>
                <w:szCs w:val="18"/>
              </w:rPr>
            </w:pPr>
          </w:p>
          <w:p>
            <w:pPr>
              <w:jc w:val="left"/>
              <w:rPr>
                <w:rFonts w:ascii="仿宋_GB2312" w:hAnsi="宋体" w:eastAsia="仿宋_GB2312"/>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sz w:val="18"/>
                <w:szCs w:val="18"/>
              </w:rPr>
            </w:pPr>
            <w:r>
              <w:rPr>
                <w:rFonts w:hint="eastAsia" w:ascii="仿宋_GB2312" w:hAnsi="宋体" w:eastAsia="仿宋_GB2312"/>
                <w:sz w:val="18"/>
                <w:szCs w:val="18"/>
              </w:rPr>
              <w:t>■政务服务中心</w:t>
            </w:r>
          </w:p>
          <w:p>
            <w:pPr>
              <w:jc w:val="left"/>
              <w:rPr>
                <w:rFonts w:ascii="仿宋_GB2312" w:hAnsi="宋体" w:eastAsia="仿宋_GB2312"/>
                <w:sz w:val="18"/>
                <w:szCs w:val="18"/>
              </w:rPr>
            </w:pPr>
            <w:r>
              <w:rPr>
                <w:rFonts w:hint="eastAsia" w:ascii="仿宋_GB2312" w:hAnsi="宋体" w:eastAsia="仿宋_GB2312"/>
                <w:color w:val="000000"/>
                <w:sz w:val="18"/>
                <w:szCs w:val="18"/>
              </w:rPr>
              <w:t>■基层公共服务平台</w:t>
            </w:r>
            <w:r>
              <w:rPr>
                <w:rFonts w:hint="eastAsia" w:ascii="仿宋_GB2312" w:hAnsi="宋体" w:eastAsia="仿宋_GB2312"/>
                <w:sz w:val="18"/>
                <w:szCs w:val="18"/>
              </w:rPr>
              <w:br w:type="textWrapping"/>
            </w:r>
          </w:p>
        </w:tc>
        <w:tc>
          <w:tcPr>
            <w:tcW w:w="626"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26"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4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26"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626"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56" w:type="dxa"/>
            <w:vAlign w:val="center"/>
          </w:tcPr>
          <w:p>
            <w:pPr>
              <w:jc w:val="center"/>
              <w:rPr>
                <w:rFonts w:ascii="仿宋_GB2312" w:hAnsi="宋体" w:eastAsia="仿宋_GB2312"/>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625"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192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87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3.《工伤保险条例》（中华人民共和国国务院令第586号）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r>
              <w:rPr>
                <w:rFonts w:ascii="仿宋_GB2312" w:hAnsi="宋体" w:eastAsia="仿宋_GB2312"/>
                <w:color w:val="000000"/>
                <w:sz w:val="18"/>
                <w:szCs w:val="18"/>
              </w:rPr>
              <w:br w:type="textWrapping"/>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6"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625"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192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87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3.《工伤保险条例》（中华人民共和国国务院令第586号）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Merge w:val="restart"/>
            <w:vAlign w:val="center"/>
          </w:tcPr>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r>
              <w:rPr>
                <w:rFonts w:hint="eastAsia" w:ascii="仿宋_GB2312" w:hAnsi="宋体" w:eastAsia="仿宋_GB2312"/>
                <w:color w:val="000000"/>
                <w:sz w:val="18"/>
                <w:szCs w:val="18"/>
              </w:rPr>
              <w:br w:type="textWrapping"/>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0"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625"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192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87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3.《工伤保险条例》（中华人民共和国国务院令第586号）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r>
              <w:rPr>
                <w:rFonts w:hint="eastAsia" w:ascii="仿宋_GB2312" w:hAnsi="宋体" w:eastAsia="仿宋_GB2312"/>
                <w:color w:val="000000"/>
                <w:sz w:val="18"/>
                <w:szCs w:val="18"/>
              </w:rPr>
              <w:br w:type="textWrapping"/>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625"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192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87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3.《工伤保险条例》（中华人民共和国国务院令第586号）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r>
              <w:rPr>
                <w:rFonts w:hint="eastAsia" w:ascii="仿宋_GB2312" w:hAnsi="宋体" w:eastAsia="仿宋_GB2312"/>
                <w:color w:val="000000"/>
                <w:sz w:val="18"/>
                <w:szCs w:val="18"/>
              </w:rPr>
              <w:br w:type="textWrapping"/>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625"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192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87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3.《失业保险条例》（中华人民共和国国务院令第258号）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625"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192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87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3.《失业保险条例》（中华人民共和国国务院令第258号）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Merge w:val="restart"/>
            <w:vAlign w:val="center"/>
          </w:tcPr>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r>
              <w:rPr>
                <w:rFonts w:hint="eastAsia" w:ascii="仿宋_GB2312" w:hAnsi="宋体" w:eastAsia="仿宋_GB2312"/>
                <w:color w:val="000000"/>
                <w:sz w:val="18"/>
                <w:szCs w:val="18"/>
              </w:rPr>
              <w:br w:type="textWrapping"/>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67</w:t>
            </w:r>
          </w:p>
        </w:tc>
        <w:tc>
          <w:tcPr>
            <w:tcW w:w="625"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192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87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3.《人力资源和社会保障部关于印发“中华人民共和国社会保障卡”管理办法的通知》（人社部发[2011]47号）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68</w:t>
            </w:r>
          </w:p>
        </w:tc>
        <w:tc>
          <w:tcPr>
            <w:tcW w:w="625" w:type="dxa"/>
            <w:vMerge w:val="continue"/>
            <w:vAlign w:val="center"/>
          </w:tcPr>
          <w:p>
            <w:pPr>
              <w:jc w:val="cente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6" w:hRule="atLeast"/>
          <w:jc w:val="center"/>
        </w:trPr>
        <w:tc>
          <w:tcPr>
            <w:tcW w:w="46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69</w:t>
            </w:r>
          </w:p>
        </w:tc>
        <w:tc>
          <w:tcPr>
            <w:tcW w:w="625" w:type="dxa"/>
            <w:vMerge w:val="continue"/>
            <w:vAlign w:val="center"/>
          </w:tcPr>
          <w:p>
            <w:pPr>
              <w:jc w:val="cente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1922" w:type="dxa"/>
            <w:vMerge w:val="continue"/>
            <w:vAlign w:val="center"/>
          </w:tcPr>
          <w:p>
            <w:pPr>
              <w:jc w:val="left"/>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0</w:t>
            </w:r>
          </w:p>
        </w:tc>
        <w:tc>
          <w:tcPr>
            <w:tcW w:w="625"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192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87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3.《人力资源和社会保障部关于印发“中华人民共和国社会保障卡”管理办法的通知》（人社部发[2011]47号）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柳城县人力资源和社会保障局、各乡镇人民政府</w:t>
            </w:r>
          </w:p>
        </w:tc>
        <w:tc>
          <w:tcPr>
            <w:tcW w:w="147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1</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1922" w:type="dxa"/>
            <w:vMerge w:val="continue"/>
            <w:vAlign w:val="center"/>
          </w:tcPr>
          <w:p>
            <w:pPr>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2</w:t>
            </w:r>
          </w:p>
        </w:tc>
        <w:tc>
          <w:tcPr>
            <w:tcW w:w="625" w:type="dxa"/>
            <w:vMerge w:val="continue"/>
            <w:vAlign w:val="center"/>
          </w:tcPr>
          <w:p>
            <w:pPr>
              <w:jc w:val="cente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1922" w:type="dxa"/>
            <w:vMerge w:val="continue"/>
            <w:vAlign w:val="center"/>
          </w:tcPr>
          <w:p>
            <w:pPr>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3</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1922" w:type="dxa"/>
            <w:vMerge w:val="continue"/>
            <w:vAlign w:val="center"/>
          </w:tcPr>
          <w:p>
            <w:pPr>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4</w:t>
            </w:r>
          </w:p>
        </w:tc>
        <w:tc>
          <w:tcPr>
            <w:tcW w:w="625" w:type="dxa"/>
            <w:vMerge w:val="continue"/>
            <w:vAlign w:val="center"/>
          </w:tcPr>
          <w:p>
            <w:pPr>
              <w:rPr>
                <w:rFonts w:ascii="仿宋_GB2312" w:hAnsi="宋体" w:eastAsia="仿宋_GB2312"/>
                <w:color w:val="000000"/>
                <w:sz w:val="18"/>
                <w:szCs w:val="18"/>
              </w:rPr>
            </w:pPr>
          </w:p>
        </w:tc>
        <w:tc>
          <w:tcPr>
            <w:tcW w:w="9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1922" w:type="dxa"/>
            <w:vMerge w:val="continue"/>
            <w:vAlign w:val="center"/>
          </w:tcPr>
          <w:p>
            <w:pPr>
              <w:rPr>
                <w:rFonts w:ascii="仿宋_GB2312" w:hAnsi="宋体" w:eastAsia="仿宋_GB2312"/>
                <w:color w:val="000000"/>
                <w:sz w:val="18"/>
                <w:szCs w:val="18"/>
              </w:rPr>
            </w:pPr>
          </w:p>
        </w:tc>
        <w:tc>
          <w:tcPr>
            <w:tcW w:w="2879"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r>
    </w:tbl>
    <w:p>
      <w:pPr>
        <w:sectPr>
          <w:type w:val="continuous"/>
          <w:pgSz w:w="16838" w:h="11906" w:orient="landscape"/>
          <w:pgMar w:top="737" w:right="873" w:bottom="851" w:left="873" w:header="851" w:footer="992" w:gutter="0"/>
          <w:cols w:space="720" w:num="1"/>
          <w:titlePg/>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633D"/>
    <w:rsid w:val="0075633D"/>
    <w:rsid w:val="00D37D63"/>
    <w:rsid w:val="59365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semiHidden/>
    <w:qFormat/>
    <w:uiPriority w:val="0"/>
    <w:pPr>
      <w:jc w:val="left"/>
    </w:pPr>
    <w:rPr>
      <w:rFonts w:ascii="Calibri" w:hAnsi="Calibri" w:eastAsia="宋体" w:cs="Times New Roman"/>
    </w:rPr>
  </w:style>
  <w:style w:type="paragraph" w:styleId="5">
    <w:name w:val="Balloon Text"/>
    <w:basedOn w:val="1"/>
    <w:link w:val="18"/>
    <w:semiHidden/>
    <w:uiPriority w:val="0"/>
    <w:rPr>
      <w:rFonts w:ascii="Calibri" w:hAnsi="Calibri" w:eastAsia="宋体" w:cs="Times New Roman"/>
      <w:sz w:val="18"/>
      <w:szCs w:val="18"/>
    </w:rPr>
  </w:style>
  <w:style w:type="paragraph" w:styleId="6">
    <w:name w:val="footer"/>
    <w:basedOn w:val="1"/>
    <w:link w:val="19"/>
    <w:qFormat/>
    <w:uiPriority w:val="0"/>
    <w:pPr>
      <w:tabs>
        <w:tab w:val="center" w:pos="4153"/>
        <w:tab w:val="right" w:pos="8306"/>
      </w:tabs>
      <w:snapToGrid w:val="0"/>
      <w:jc w:val="left"/>
    </w:pPr>
    <w:rPr>
      <w:rFonts w:ascii="Calibri" w:hAnsi="Calibri" w:eastAsia="宋体" w:cs="Times New Roman"/>
      <w:sz w:val="18"/>
      <w:szCs w:val="18"/>
    </w:rPr>
  </w:style>
  <w:style w:type="paragraph" w:styleId="7">
    <w:name w:val="header"/>
    <w:basedOn w:val="1"/>
    <w:link w:val="20"/>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8">
    <w:name w:val="toc 1"/>
    <w:basedOn w:val="1"/>
    <w:next w:val="1"/>
    <w:semiHidden/>
    <w:qFormat/>
    <w:uiPriority w:val="0"/>
    <w:pPr>
      <w:tabs>
        <w:tab w:val="right" w:leader="dot" w:pos="14760"/>
      </w:tabs>
      <w:spacing w:line="700" w:lineRule="exact"/>
      <w:ind w:left="359" w:leftChars="171" w:right="332" w:rightChars="158"/>
    </w:pPr>
    <w:rPr>
      <w:rFonts w:ascii="Calibri" w:hAnsi="Calibri" w:eastAsia="宋体" w:cs="Times New Roman"/>
    </w:rPr>
  </w:style>
  <w:style w:type="paragraph" w:styleId="9">
    <w:name w:val="annotation subject"/>
    <w:basedOn w:val="4"/>
    <w:next w:val="4"/>
    <w:link w:val="21"/>
    <w:semiHidden/>
    <w:uiPriority w:val="0"/>
    <w:rPr>
      <w:b/>
      <w:bCs/>
    </w:rPr>
  </w:style>
  <w:style w:type="character" w:styleId="12">
    <w:name w:val="page number"/>
    <w:basedOn w:val="11"/>
    <w:uiPriority w:val="0"/>
  </w:style>
  <w:style w:type="character" w:styleId="13">
    <w:name w:val="Hyperlink"/>
    <w:basedOn w:val="11"/>
    <w:qFormat/>
    <w:uiPriority w:val="0"/>
    <w:rPr>
      <w:color w:val="0000FF"/>
      <w:u w:val="single"/>
    </w:rPr>
  </w:style>
  <w:style w:type="character" w:styleId="14">
    <w:name w:val="annotation reference"/>
    <w:basedOn w:val="11"/>
    <w:semiHidden/>
    <w:qFormat/>
    <w:uiPriority w:val="0"/>
    <w:rPr>
      <w:sz w:val="21"/>
      <w:szCs w:val="21"/>
    </w:rPr>
  </w:style>
  <w:style w:type="character" w:customStyle="1" w:styleId="15">
    <w:name w:val="标题 1 Char"/>
    <w:basedOn w:val="11"/>
    <w:link w:val="2"/>
    <w:uiPriority w:val="0"/>
    <w:rPr>
      <w:rFonts w:ascii="Calibri" w:hAnsi="Calibri" w:eastAsia="宋体" w:cs="Times New Roman"/>
      <w:b/>
      <w:bCs/>
      <w:kern w:val="44"/>
      <w:sz w:val="44"/>
      <w:szCs w:val="44"/>
    </w:rPr>
  </w:style>
  <w:style w:type="character" w:customStyle="1" w:styleId="16">
    <w:name w:val="标题 2 Char"/>
    <w:basedOn w:val="11"/>
    <w:link w:val="3"/>
    <w:semiHidden/>
    <w:uiPriority w:val="0"/>
    <w:rPr>
      <w:rFonts w:asciiTheme="majorHAnsi" w:hAnsiTheme="majorHAnsi" w:eastAsiaTheme="majorEastAsia" w:cstheme="majorBidi"/>
      <w:b/>
      <w:bCs/>
      <w:sz w:val="32"/>
      <w:szCs w:val="32"/>
    </w:rPr>
  </w:style>
  <w:style w:type="character" w:customStyle="1" w:styleId="17">
    <w:name w:val="批注文字 Char"/>
    <w:basedOn w:val="11"/>
    <w:link w:val="4"/>
    <w:semiHidden/>
    <w:uiPriority w:val="0"/>
    <w:rPr>
      <w:rFonts w:ascii="Calibri" w:hAnsi="Calibri" w:eastAsia="宋体" w:cs="Times New Roman"/>
    </w:rPr>
  </w:style>
  <w:style w:type="character" w:customStyle="1" w:styleId="18">
    <w:name w:val="批注框文本 Char"/>
    <w:basedOn w:val="11"/>
    <w:link w:val="5"/>
    <w:semiHidden/>
    <w:uiPriority w:val="0"/>
    <w:rPr>
      <w:rFonts w:ascii="Calibri" w:hAnsi="Calibri" w:eastAsia="宋体" w:cs="Times New Roman"/>
      <w:sz w:val="18"/>
      <w:szCs w:val="18"/>
    </w:rPr>
  </w:style>
  <w:style w:type="character" w:customStyle="1" w:styleId="19">
    <w:name w:val="页脚 Char"/>
    <w:basedOn w:val="11"/>
    <w:link w:val="6"/>
    <w:uiPriority w:val="0"/>
    <w:rPr>
      <w:rFonts w:ascii="Calibri" w:hAnsi="Calibri" w:eastAsia="宋体" w:cs="Times New Roman"/>
      <w:sz w:val="18"/>
      <w:szCs w:val="18"/>
    </w:rPr>
  </w:style>
  <w:style w:type="character" w:customStyle="1" w:styleId="20">
    <w:name w:val="页眉 Char"/>
    <w:basedOn w:val="11"/>
    <w:link w:val="7"/>
    <w:uiPriority w:val="0"/>
    <w:rPr>
      <w:rFonts w:ascii="Calibri" w:hAnsi="Calibri" w:eastAsia="宋体" w:cs="Times New Roman"/>
      <w:sz w:val="18"/>
      <w:szCs w:val="18"/>
    </w:rPr>
  </w:style>
  <w:style w:type="character" w:customStyle="1" w:styleId="21">
    <w:name w:val="批注主题 Char"/>
    <w:basedOn w:val="17"/>
    <w:link w:val="9"/>
    <w:semiHidden/>
    <w:uiPriority w:val="0"/>
    <w:rPr>
      <w:b/>
      <w:bCs/>
    </w:rPr>
  </w:style>
  <w:style w:type="paragraph" w:customStyle="1" w:styleId="22">
    <w:name w:val="列出段落1"/>
    <w:basedOn w:val="1"/>
    <w:qFormat/>
    <w:uiPriority w:val="0"/>
    <w:pPr>
      <w:ind w:firstLine="420" w:firstLineChars="200"/>
    </w:pPr>
    <w:rPr>
      <w:rFonts w:ascii="Calibri" w:hAnsi="Calibri" w:eastAsia="宋体" w:cs="Times New Roman"/>
    </w:rPr>
  </w:style>
  <w:style w:type="paragraph" w:customStyle="1" w:styleId="23">
    <w:name w:val="pa-11"/>
    <w:basedOn w:val="1"/>
    <w:qFormat/>
    <w:uiPriority w:val="0"/>
    <w:pPr>
      <w:widowControl/>
      <w:spacing w:line="400" w:lineRule="atLeast"/>
    </w:pPr>
    <w:rPr>
      <w:rFonts w:ascii="宋体" w:hAnsi="宋体" w:eastAsia="宋体" w:cs="宋体"/>
      <w:kern w:val="0"/>
      <w:sz w:val="24"/>
    </w:rPr>
  </w:style>
  <w:style w:type="character" w:customStyle="1" w:styleId="24">
    <w:name w:val="font21"/>
    <w:basedOn w:val="11"/>
    <w:qFormat/>
    <w:uiPriority w:val="0"/>
    <w:rPr>
      <w:rFonts w:hint="eastAsia" w:ascii="宋体" w:hAnsi="宋体" w:eastAsia="宋体" w:cs="宋体"/>
      <w:b/>
      <w:color w:val="000000"/>
      <w:sz w:val="20"/>
      <w:szCs w:val="20"/>
      <w:u w:val="none"/>
    </w:rPr>
  </w:style>
  <w:style w:type="character" w:customStyle="1" w:styleId="25">
    <w:name w:val="font31"/>
    <w:basedOn w:val="11"/>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1706</Words>
  <Characters>9729</Characters>
  <Lines>81</Lines>
  <Paragraphs>22</Paragraphs>
  <TotalTime>0</TotalTime>
  <ScaleCrop>false</ScaleCrop>
  <LinksUpToDate>false</LinksUpToDate>
  <CharactersWithSpaces>11413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2020-11-29T02:18:00Z</dcterms:created>
  <dc:creator>Lenovo</dc:creator>
  <cp:lastModifiedBy>我没有小毛驴骑</cp:lastModifiedBy>
  <dcterms:modified xsi:type="dcterms:W3CDTF">2020-11-29T04:18:42Z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