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柳城县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2024年水稻秸秆科学还田循环培肥试点示范区分布情况表</w:t>
      </w:r>
    </w:p>
    <w:p/>
    <w:tbl>
      <w:tblPr>
        <w:tblStyle w:val="3"/>
        <w:tblW w:w="13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2645"/>
        <w:gridCol w:w="2900"/>
        <w:gridCol w:w="2990"/>
        <w:gridCol w:w="1427"/>
        <w:gridCol w:w="2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3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bookmarkStart w:id="0" w:name="_GoBack"/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64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地点</w:t>
            </w:r>
          </w:p>
        </w:tc>
        <w:tc>
          <w:tcPr>
            <w:tcW w:w="290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试点示范面积（亩）</w:t>
            </w:r>
          </w:p>
        </w:tc>
        <w:tc>
          <w:tcPr>
            <w:tcW w:w="299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建设内容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实施主体</w:t>
            </w:r>
          </w:p>
        </w:tc>
        <w:tc>
          <w:tcPr>
            <w:tcW w:w="294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83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64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太平镇杨梅村</w:t>
            </w:r>
          </w:p>
        </w:tc>
        <w:tc>
          <w:tcPr>
            <w:tcW w:w="290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200</w:t>
            </w:r>
          </w:p>
        </w:tc>
        <w:tc>
          <w:tcPr>
            <w:tcW w:w="2990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稻-稻-肥（紫云英）种植模式的水稻秸秆腐熟还田、冬种红花草（紫云英）培肥工作</w:t>
            </w:r>
          </w:p>
        </w:tc>
        <w:tc>
          <w:tcPr>
            <w:tcW w:w="1427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第三方服务单位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94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1.任务面积仅为面上统计面积，最终种植面积以飞播面积为准。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2.飞播面积与任务面积可以存在偏差，偏差面积数在最终落实种植面积10%以内，视同完成任务。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83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64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冲脉镇冲恩村</w:t>
            </w:r>
          </w:p>
        </w:tc>
        <w:tc>
          <w:tcPr>
            <w:tcW w:w="290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110</w:t>
            </w:r>
          </w:p>
        </w:tc>
        <w:tc>
          <w:tcPr>
            <w:tcW w:w="2990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27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941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83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64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马山镇大龙村、北浩村、横山村</w:t>
            </w:r>
          </w:p>
        </w:tc>
        <w:tc>
          <w:tcPr>
            <w:tcW w:w="290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520</w:t>
            </w:r>
          </w:p>
        </w:tc>
        <w:tc>
          <w:tcPr>
            <w:tcW w:w="2990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27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941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83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64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古砦乡大户村</w:t>
            </w:r>
          </w:p>
        </w:tc>
        <w:tc>
          <w:tcPr>
            <w:tcW w:w="290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1000</w:t>
            </w:r>
          </w:p>
        </w:tc>
        <w:tc>
          <w:tcPr>
            <w:tcW w:w="2990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27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941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3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合计</w:t>
            </w:r>
          </w:p>
        </w:tc>
        <w:tc>
          <w:tcPr>
            <w:tcW w:w="264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90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1830</w:t>
            </w:r>
          </w:p>
        </w:tc>
        <w:tc>
          <w:tcPr>
            <w:tcW w:w="299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94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bookmarkEnd w:id="0"/>
    </w:tbl>
    <w:p>
      <w:pPr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lODBiMjI1NDE2MGFjMjFjNTUwZThhODZlOGFmYmMifQ=="/>
    <w:docVar w:name="KSO_WPS_MARK_KEY" w:val="101a20a7-b4f3-4be9-9c32-21165aec21a9"/>
  </w:docVars>
  <w:rsids>
    <w:rsidRoot w:val="78887D7A"/>
    <w:rsid w:val="08846BD1"/>
    <w:rsid w:val="1F4E4F69"/>
    <w:rsid w:val="2AB475C9"/>
    <w:rsid w:val="37162845"/>
    <w:rsid w:val="3EBB2149"/>
    <w:rsid w:val="48CA67AB"/>
    <w:rsid w:val="4A7000F4"/>
    <w:rsid w:val="5EAE11A2"/>
    <w:rsid w:val="68F93CE2"/>
    <w:rsid w:val="78887D7A"/>
    <w:rsid w:val="7928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autoRedefine/>
    <w:qFormat/>
    <w:uiPriority w:val="0"/>
    <w:rPr>
      <w:b/>
    </w:rPr>
  </w:style>
  <w:style w:type="paragraph" w:customStyle="1" w:styleId="6">
    <w:name w:val="p15"/>
    <w:basedOn w:val="1"/>
    <w:autoRedefine/>
    <w:qFormat/>
    <w:uiPriority w:val="0"/>
    <w:pPr>
      <w:widowControl/>
    </w:pPr>
    <w:rPr>
      <w:rFonts w:ascii="宋体" w:hAnsi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179</Characters>
  <Lines>0</Lines>
  <Paragraphs>0</Paragraphs>
  <TotalTime>13</TotalTime>
  <ScaleCrop>false</ScaleCrop>
  <LinksUpToDate>false</LinksUpToDate>
  <CharactersWithSpaces>180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2024-04-17T02:20:00Z</dcterms:created>
  <dc:creator>独木舟</dc:creator>
  <cp:lastModifiedBy>小芋圆一号成员</cp:lastModifiedBy>
  <cp:lastPrinted>2024-04-19T08:14:00Z</cp:lastPrinted>
  <dcterms:modified xsi:type="dcterms:W3CDTF">2024-04-29T08:33:55Z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710F3F1AFB4144B2965CD0AB4C4B2C71_11</vt:lpwstr>
  </property>
</Properties>
</file>