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2-2</w:t>
      </w:r>
    </w:p>
    <w:tbl>
      <w:tblPr>
        <w:tblStyle w:val="4"/>
        <w:tblW w:w="13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926"/>
        <w:gridCol w:w="851"/>
        <w:gridCol w:w="1124"/>
        <w:gridCol w:w="932"/>
        <w:gridCol w:w="878"/>
        <w:gridCol w:w="1188"/>
        <w:gridCol w:w="1202"/>
        <w:gridCol w:w="868"/>
        <w:gridCol w:w="745"/>
        <w:gridCol w:w="932"/>
        <w:gridCol w:w="890"/>
        <w:gridCol w:w="932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Chars="0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Style w:val="6"/>
                <w:rFonts w:hint="eastAsia" w:ascii="Times New Roman" w:hAnsi="Times New Roman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-SA"/>
              </w:rPr>
              <w:t>东泉镇2024年稻谷生产补贴农户申报表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left="0" w:leftChars="0" w:right="0" w:firstLineChars="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填报单位： 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>村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屯     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农户姓名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“一折通”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账号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地块名称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确权证地块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面积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租赁水田面积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无合同代耕面积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申报补贴面积（亩）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申报补贴面积合计（亩）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农户签名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单季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早稻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中稻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单季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晚稻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双季稻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屯（组）负责人（签名）：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村委干部负责人（签名）：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镇指导组（签名）：  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镇干部审核人（签名）：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备注：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.早稻指同一地块只种植一季早稻的；晚稻指同一地块只种植一季晚稻；双季稻指同一地块种植早、晚两季水稻的，不含再生稻。2.计算生产者补贴面积方法：种植单季稻按实际种植面积计算；种植双季稻的，按双季稻面积（复种）的1.5倍计算补贴面积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0DFE3DC5"/>
    <w:rsid w:val="0D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character" w:customStyle="1" w:styleId="6">
    <w:name w:val="NormalCharacter"/>
    <w:link w:val="7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7">
    <w:name w:val="UserStyle_1"/>
    <w:basedOn w:val="1"/>
    <w:next w:val="1"/>
    <w:link w:val="6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2024-06-04T07:03:00Z</dcterms:created>
  <dc:creator>WPS_1552489036</dc:creator>
  <cp:lastModifiedBy>WPS_1552489036</cp:lastModifiedBy>
  <dcterms:modified xsi:type="dcterms:W3CDTF">2024-06-04T07:14:17Z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0F4F32B1B609490FA873BA4DB3CD271C_11</vt:lpwstr>
  </property>
</Properties>
</file>