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tabs>
          <w:tab w:val="left" w:pos="307"/>
        </w:tabs>
        <w:spacing w:line="460" w:lineRule="exact"/>
        <w:ind w:firstLine="482" w:firstLineChars="100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ab/>
      </w:r>
    </w:p>
    <w:tbl>
      <w:tblPr>
        <w:tblStyle w:val="3"/>
        <w:tblpPr w:leftFromText="180" w:rightFromText="180" w:vertAnchor="text" w:horzAnchor="page" w:tblpX="2256" w:tblpY="862"/>
        <w:tblOverlap w:val="never"/>
        <w:tblW w:w="7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204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乡（镇）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户数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大埔镇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太平镇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东泉镇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古砦乡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沙埔镇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马山镇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冲脉镇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寨隆镇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六塘镇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龙头镇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凤山镇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社冲乡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柳华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伏华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0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256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307"/>
        </w:tabs>
        <w:spacing w:line="4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柳城县2024年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困难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重度残疾人家庭无障碍改造任务分配表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5F35747D"/>
    <w:rsid w:val="5F3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2024-03-26T13:58:45Z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608A1E08841A42C887B1B1B0D4B63746_11</vt:lpwstr>
  </property>
</Properties>
</file>