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32"/>
          <w:szCs w:val="32"/>
        </w:rPr>
      </w:pPr>
      <w:r>
        <w:rPr>
          <w:rFonts w:hint="eastAsia" w:ascii="黑体" w:hAnsi="黑体" w:eastAsia="黑体"/>
          <w:sz w:val="32"/>
          <w:szCs w:val="32"/>
        </w:rPr>
        <w:t>附件1</w:t>
      </w:r>
    </w:p>
    <w:p>
      <w:pPr>
        <w:widowControl/>
        <w:spacing w:line="560" w:lineRule="exact"/>
        <w:jc w:val="center"/>
        <w:rPr>
          <w:rFonts w:ascii="方正小标宋简体" w:eastAsia="方正小标宋简体"/>
          <w:sz w:val="44"/>
          <w:szCs w:val="44"/>
        </w:rPr>
      </w:pPr>
      <w:r>
        <w:rPr>
          <w:rFonts w:hint="eastAsia" w:ascii="方正小标宋简体" w:eastAsia="方正小标宋简体"/>
          <w:sz w:val="44"/>
          <w:szCs w:val="44"/>
        </w:rPr>
        <w:t>柳城县科工贸局落实统计督察反馈意见专项</w:t>
      </w:r>
    </w:p>
    <w:p>
      <w:pPr>
        <w:widowControl/>
        <w:spacing w:afterLines="100" w:line="560" w:lineRule="exact"/>
        <w:jc w:val="center"/>
        <w:rPr>
          <w:rFonts w:ascii="方正小标宋简体" w:eastAsia="方正小标宋简体"/>
          <w:sz w:val="44"/>
          <w:szCs w:val="44"/>
        </w:rPr>
      </w:pPr>
      <w:r>
        <w:rPr>
          <w:rFonts w:hint="eastAsia" w:ascii="方正小标宋简体" w:eastAsia="方正小标宋简体"/>
          <w:sz w:val="44"/>
          <w:szCs w:val="44"/>
        </w:rPr>
        <w:t>具体问题整改措施及责任分工清单</w:t>
      </w:r>
    </w:p>
    <w:tbl>
      <w:tblPr>
        <w:tblStyle w:val="4"/>
        <w:tblW w:w="121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35"/>
        <w:gridCol w:w="2835"/>
        <w:gridCol w:w="1985"/>
        <w:gridCol w:w="2109"/>
        <w:gridCol w:w="2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35" w:type="dxa"/>
            <w:shd w:val="clear" w:color="auto" w:fill="auto"/>
            <w:noWrap/>
            <w:vAlign w:val="center"/>
          </w:tcPr>
          <w:p>
            <w:pPr>
              <w:widowControl/>
              <w:spacing w:line="360" w:lineRule="exact"/>
              <w:jc w:val="center"/>
              <w:rPr>
                <w:rFonts w:ascii="黑体" w:hAnsi="黑体" w:eastAsia="黑体"/>
                <w:sz w:val="28"/>
                <w:szCs w:val="28"/>
              </w:rPr>
            </w:pPr>
            <w:r>
              <w:rPr>
                <w:rFonts w:hint="eastAsia" w:ascii="黑体" w:hAnsi="黑体" w:eastAsia="黑体"/>
                <w:sz w:val="28"/>
                <w:szCs w:val="28"/>
              </w:rPr>
              <w:t>反馈问题</w:t>
            </w:r>
          </w:p>
        </w:tc>
        <w:tc>
          <w:tcPr>
            <w:tcW w:w="2835" w:type="dxa"/>
            <w:shd w:val="clear" w:color="auto" w:fill="auto"/>
            <w:noWrap/>
            <w:vAlign w:val="center"/>
          </w:tcPr>
          <w:p>
            <w:pPr>
              <w:widowControl/>
              <w:spacing w:line="360" w:lineRule="exact"/>
              <w:jc w:val="center"/>
              <w:rPr>
                <w:rFonts w:ascii="黑体" w:hAnsi="黑体" w:eastAsia="黑体"/>
                <w:sz w:val="28"/>
                <w:szCs w:val="28"/>
              </w:rPr>
            </w:pPr>
            <w:r>
              <w:rPr>
                <w:rFonts w:hint="eastAsia" w:ascii="黑体" w:hAnsi="黑体" w:eastAsia="黑体"/>
                <w:sz w:val="28"/>
                <w:szCs w:val="28"/>
              </w:rPr>
              <w:t>整改措施</w:t>
            </w:r>
          </w:p>
        </w:tc>
        <w:tc>
          <w:tcPr>
            <w:tcW w:w="1985" w:type="dxa"/>
            <w:shd w:val="clear" w:color="auto" w:fill="auto"/>
            <w:noWrap/>
            <w:vAlign w:val="center"/>
          </w:tcPr>
          <w:p>
            <w:pPr>
              <w:widowControl/>
              <w:spacing w:line="360" w:lineRule="exact"/>
              <w:jc w:val="center"/>
              <w:rPr>
                <w:rFonts w:ascii="黑体" w:hAnsi="黑体" w:eastAsia="黑体"/>
                <w:sz w:val="28"/>
                <w:szCs w:val="28"/>
              </w:rPr>
            </w:pPr>
            <w:r>
              <w:rPr>
                <w:rFonts w:hint="eastAsia" w:ascii="黑体" w:hAnsi="黑体" w:eastAsia="黑体"/>
                <w:sz w:val="28"/>
                <w:szCs w:val="28"/>
              </w:rPr>
              <w:t>牵头单位</w:t>
            </w:r>
          </w:p>
        </w:tc>
        <w:tc>
          <w:tcPr>
            <w:tcW w:w="2109" w:type="dxa"/>
            <w:shd w:val="clear" w:color="auto" w:fill="auto"/>
            <w:noWrap/>
            <w:vAlign w:val="center"/>
          </w:tcPr>
          <w:p>
            <w:pPr>
              <w:widowControl/>
              <w:spacing w:line="360" w:lineRule="exact"/>
              <w:jc w:val="center"/>
              <w:rPr>
                <w:rFonts w:ascii="黑体" w:hAnsi="黑体" w:eastAsia="黑体"/>
                <w:sz w:val="28"/>
                <w:szCs w:val="28"/>
              </w:rPr>
            </w:pPr>
            <w:r>
              <w:rPr>
                <w:rFonts w:hint="eastAsia" w:ascii="黑体" w:hAnsi="黑体" w:eastAsia="黑体"/>
                <w:sz w:val="28"/>
                <w:szCs w:val="28"/>
              </w:rPr>
              <w:t>责任股室</w:t>
            </w:r>
          </w:p>
        </w:tc>
        <w:tc>
          <w:tcPr>
            <w:tcW w:w="2396" w:type="dxa"/>
            <w:shd w:val="clear" w:color="auto" w:fill="auto"/>
            <w:noWrap/>
            <w:vAlign w:val="center"/>
          </w:tcPr>
          <w:p>
            <w:pPr>
              <w:widowControl/>
              <w:spacing w:line="360" w:lineRule="exact"/>
              <w:jc w:val="center"/>
              <w:rPr>
                <w:rFonts w:ascii="黑体" w:hAnsi="黑体" w:eastAsia="黑体"/>
                <w:sz w:val="28"/>
                <w:szCs w:val="28"/>
              </w:rPr>
            </w:pPr>
            <w:r>
              <w:rPr>
                <w:rFonts w:hint="eastAsia" w:ascii="黑体" w:hAnsi="黑体" w:eastAsia="黑体"/>
                <w:sz w:val="28"/>
                <w:szCs w:val="28"/>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0" w:hRule="atLeast"/>
          <w:jc w:val="center"/>
        </w:trPr>
        <w:tc>
          <w:tcPr>
            <w:tcW w:w="2835" w:type="dxa"/>
            <w:shd w:val="clear" w:color="auto" w:fill="auto"/>
            <w:noWrap/>
            <w:vAlign w:val="center"/>
          </w:tcPr>
          <w:p>
            <w:pPr>
              <w:widowControl/>
              <w:spacing w:line="360" w:lineRule="exact"/>
              <w:jc w:val="left"/>
              <w:rPr>
                <w:rFonts w:ascii="Calibri" w:hAnsi="Calibri"/>
                <w:b/>
                <w:bCs/>
              </w:rPr>
            </w:pPr>
            <w:r>
              <w:rPr>
                <w:rFonts w:hint="eastAsia" w:ascii="Calibri" w:hAnsi="Calibri"/>
                <w:b/>
                <w:bCs/>
              </w:rPr>
              <w:t>（一）一些地区和部门存在学习不到位、不及时得现象。南宁市政府缺少专题学习习近平总书记关于统计工作重要讲话指示批示精神得记录；河池市、北海市等被督察督察地区和自治区发改委等部门传达学习不及时，首次开展《意见》学习均在2019年；北海市铁山港区区委常委会议纪要将《办法》标题写错。</w:t>
            </w:r>
          </w:p>
        </w:tc>
        <w:tc>
          <w:tcPr>
            <w:tcW w:w="2835" w:type="dxa"/>
            <w:shd w:val="clear" w:color="auto" w:fill="auto"/>
            <w:noWrap/>
            <w:vAlign w:val="center"/>
          </w:tcPr>
          <w:p>
            <w:pPr>
              <w:widowControl/>
              <w:spacing w:line="360" w:lineRule="exact"/>
              <w:jc w:val="left"/>
              <w:rPr>
                <w:rFonts w:ascii="Calibri" w:hAnsi="Calibri"/>
              </w:rPr>
            </w:pPr>
            <w:r>
              <w:rPr>
                <w:rFonts w:hint="eastAsia" w:ascii="Calibri" w:hAnsi="Calibri"/>
              </w:rPr>
              <w:t>将习近平总书记关于防范和惩戒统计造假、弄虚作假重要讲话指示批示精神，中央关于统计工作的《意见》、《办法》、《规定》以及统计法律法规纳入我局理论学习、中心组学习内容，并集中开展一次学习。主要内容详见2020年8月国家统计局编印的《防范和惩治统计造假弄虚作假重要文件选编》</w:t>
            </w:r>
          </w:p>
        </w:tc>
        <w:tc>
          <w:tcPr>
            <w:tcW w:w="1985" w:type="dxa"/>
            <w:shd w:val="clear" w:color="auto" w:fill="auto"/>
            <w:noWrap/>
            <w:vAlign w:val="center"/>
          </w:tcPr>
          <w:p>
            <w:pPr>
              <w:widowControl/>
              <w:spacing w:line="360" w:lineRule="exact"/>
              <w:jc w:val="center"/>
              <w:rPr>
                <w:rFonts w:ascii="Calibri" w:hAnsi="Calibri"/>
              </w:rPr>
            </w:pPr>
            <w:r>
              <w:rPr>
                <w:rFonts w:hint="eastAsia" w:ascii="Calibri" w:hAnsi="Calibri"/>
              </w:rPr>
              <w:t>县科工贸局</w:t>
            </w:r>
          </w:p>
        </w:tc>
        <w:tc>
          <w:tcPr>
            <w:tcW w:w="2109" w:type="dxa"/>
            <w:shd w:val="clear" w:color="auto" w:fill="auto"/>
            <w:noWrap/>
            <w:vAlign w:val="center"/>
          </w:tcPr>
          <w:p>
            <w:pPr>
              <w:widowControl/>
              <w:spacing w:line="360" w:lineRule="exact"/>
              <w:jc w:val="center"/>
              <w:rPr>
                <w:rFonts w:ascii="Calibri" w:hAnsi="Calibri"/>
              </w:rPr>
            </w:pPr>
            <w:r>
              <w:rPr>
                <w:rFonts w:hint="eastAsia" w:ascii="Calibri" w:hAnsi="Calibri"/>
              </w:rPr>
              <w:t>局办公室、党建办</w:t>
            </w:r>
          </w:p>
        </w:tc>
        <w:tc>
          <w:tcPr>
            <w:tcW w:w="2396" w:type="dxa"/>
            <w:shd w:val="clear" w:color="auto" w:fill="auto"/>
            <w:noWrap/>
            <w:vAlign w:val="center"/>
          </w:tcPr>
          <w:p>
            <w:pPr>
              <w:widowControl/>
              <w:spacing w:line="360" w:lineRule="exact"/>
              <w:jc w:val="center"/>
              <w:rPr>
                <w:rFonts w:ascii="Calibri" w:hAnsi="Calibri"/>
              </w:rPr>
            </w:pPr>
            <w:r>
              <w:rPr>
                <w:rFonts w:hint="eastAsia" w:ascii="Calibri" w:hAnsi="Calibri"/>
              </w:rPr>
              <w:t>2021年5月15日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jc w:val="center"/>
        </w:trPr>
        <w:tc>
          <w:tcPr>
            <w:tcW w:w="2835" w:type="dxa"/>
            <w:shd w:val="clear" w:color="auto" w:fill="auto"/>
            <w:noWrap/>
            <w:vAlign w:val="center"/>
          </w:tcPr>
          <w:p>
            <w:pPr>
              <w:widowControl/>
              <w:spacing w:line="360" w:lineRule="exact"/>
              <w:jc w:val="left"/>
              <w:rPr>
                <w:rFonts w:ascii="Calibri" w:hAnsi="Calibri"/>
              </w:rPr>
            </w:pPr>
            <w:r>
              <w:rPr>
                <w:rFonts w:hint="eastAsia" w:ascii="Calibri" w:hAnsi="Calibri"/>
                <w:b/>
                <w:bCs/>
              </w:rPr>
              <w:t>（二）统计工作独立性受到一定程度干扰。自治区工信厅、自治区商务厅制定企业新增入库目标和奖励措施，并将任务层层分解。受此影响，督察中发现一些企业入库申报材料涉嫌造价，部分应退库企业未按照要求退库。</w:t>
            </w:r>
          </w:p>
        </w:tc>
        <w:tc>
          <w:tcPr>
            <w:tcW w:w="2835" w:type="dxa"/>
            <w:shd w:val="clear" w:color="auto" w:fill="auto"/>
            <w:noWrap/>
            <w:vAlign w:val="center"/>
          </w:tcPr>
          <w:p>
            <w:pPr>
              <w:widowControl/>
              <w:spacing w:line="360" w:lineRule="exact"/>
              <w:jc w:val="left"/>
              <w:rPr>
                <w:rFonts w:ascii="Calibri" w:hAnsi="Calibri"/>
              </w:rPr>
            </w:pPr>
            <w:r>
              <w:rPr>
                <w:rFonts w:hint="eastAsia" w:ascii="Calibri" w:hAnsi="Calibri"/>
              </w:rPr>
              <w:t>1.协助配合统计部门严格审核企业申报入库材料，建立工作机制，严防造假。</w:t>
            </w:r>
          </w:p>
          <w:p>
            <w:pPr>
              <w:widowControl/>
              <w:spacing w:line="360" w:lineRule="exact"/>
              <w:jc w:val="left"/>
              <w:rPr>
                <w:rFonts w:ascii="Calibri" w:hAnsi="Calibri"/>
              </w:rPr>
            </w:pPr>
            <w:r>
              <w:rPr>
                <w:rFonts w:hint="eastAsia" w:ascii="Calibri" w:hAnsi="Calibri"/>
              </w:rPr>
              <w:t>2.建立临限临规企业库，及时跟踪服务企业做好入库申报工作。</w:t>
            </w:r>
          </w:p>
        </w:tc>
        <w:tc>
          <w:tcPr>
            <w:tcW w:w="1985" w:type="dxa"/>
            <w:shd w:val="clear" w:color="auto" w:fill="auto"/>
            <w:noWrap/>
            <w:vAlign w:val="center"/>
          </w:tcPr>
          <w:p>
            <w:pPr>
              <w:widowControl/>
              <w:spacing w:line="360" w:lineRule="exact"/>
              <w:jc w:val="center"/>
              <w:rPr>
                <w:rFonts w:ascii="Calibri" w:hAnsi="Calibri"/>
              </w:rPr>
            </w:pPr>
            <w:r>
              <w:rPr>
                <w:rFonts w:hint="eastAsia" w:ascii="Calibri" w:hAnsi="Calibri"/>
              </w:rPr>
              <w:t>县科工贸局</w:t>
            </w:r>
          </w:p>
        </w:tc>
        <w:tc>
          <w:tcPr>
            <w:tcW w:w="2109" w:type="dxa"/>
            <w:shd w:val="clear" w:color="auto" w:fill="auto"/>
            <w:noWrap/>
            <w:vAlign w:val="center"/>
          </w:tcPr>
          <w:p>
            <w:pPr>
              <w:widowControl/>
              <w:spacing w:line="360" w:lineRule="exact"/>
              <w:jc w:val="center"/>
              <w:rPr>
                <w:rFonts w:ascii="Calibri" w:hAnsi="Calibri"/>
              </w:rPr>
            </w:pPr>
            <w:r>
              <w:rPr>
                <w:rFonts w:hint="eastAsia" w:ascii="Calibri" w:hAnsi="Calibri"/>
              </w:rPr>
              <w:t>工业股、商务股</w:t>
            </w:r>
          </w:p>
        </w:tc>
        <w:tc>
          <w:tcPr>
            <w:tcW w:w="2396" w:type="dxa"/>
            <w:shd w:val="clear" w:color="auto" w:fill="auto"/>
            <w:noWrap/>
            <w:vAlign w:val="center"/>
          </w:tcPr>
          <w:p>
            <w:pPr>
              <w:widowControl/>
              <w:spacing w:line="360" w:lineRule="exact"/>
              <w:jc w:val="center"/>
              <w:rPr>
                <w:rFonts w:ascii="Calibri" w:hAnsi="Calibri"/>
              </w:rPr>
            </w:pPr>
            <w:r>
              <w:rPr>
                <w:rFonts w:hint="eastAsia" w:ascii="Calibri" w:hAnsi="Calibri"/>
              </w:rPr>
              <w:t>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2835" w:type="dxa"/>
            <w:shd w:val="clear" w:color="auto" w:fill="auto"/>
            <w:noWrap/>
            <w:vAlign w:val="center"/>
          </w:tcPr>
          <w:p>
            <w:pPr>
              <w:widowControl/>
              <w:numPr>
                <w:ilvl w:val="0"/>
                <w:numId w:val="1"/>
              </w:numPr>
              <w:spacing w:line="360" w:lineRule="exact"/>
              <w:jc w:val="left"/>
              <w:rPr>
                <w:rFonts w:ascii="Calibri" w:hAnsi="Calibri"/>
              </w:rPr>
            </w:pPr>
            <w:r>
              <w:rPr>
                <w:rFonts w:hint="eastAsia" w:ascii="Calibri" w:hAnsi="Calibri"/>
                <w:b/>
                <w:bCs/>
              </w:rPr>
              <w:t>自治区商务厅开展的多项调查未按照统计法律法规要求报经自治区统计局审批。</w:t>
            </w:r>
          </w:p>
        </w:tc>
        <w:tc>
          <w:tcPr>
            <w:tcW w:w="2835" w:type="dxa"/>
            <w:shd w:val="clear" w:color="auto" w:fill="auto"/>
            <w:noWrap/>
            <w:vAlign w:val="center"/>
          </w:tcPr>
          <w:p>
            <w:pPr>
              <w:widowControl/>
              <w:spacing w:line="360" w:lineRule="exact"/>
              <w:jc w:val="left"/>
              <w:rPr>
                <w:rFonts w:ascii="Calibri" w:hAnsi="Calibri"/>
              </w:rPr>
            </w:pPr>
            <w:r>
              <w:rPr>
                <w:rFonts w:hint="eastAsia" w:ascii="Calibri" w:hAnsi="Calibri"/>
              </w:rPr>
              <w:t>召开干部职工会，专题学习《意见》、《办法》、《规定》。</w:t>
            </w:r>
          </w:p>
        </w:tc>
        <w:tc>
          <w:tcPr>
            <w:tcW w:w="1985" w:type="dxa"/>
            <w:shd w:val="clear" w:color="auto" w:fill="auto"/>
            <w:noWrap/>
            <w:vAlign w:val="center"/>
          </w:tcPr>
          <w:p>
            <w:pPr>
              <w:widowControl/>
              <w:spacing w:line="360" w:lineRule="exact"/>
              <w:jc w:val="center"/>
              <w:rPr>
                <w:rFonts w:ascii="Calibri" w:hAnsi="Calibri"/>
              </w:rPr>
            </w:pPr>
            <w:r>
              <w:rPr>
                <w:rFonts w:hint="eastAsia" w:ascii="Calibri" w:hAnsi="Calibri"/>
              </w:rPr>
              <w:t>县科工贸局</w:t>
            </w:r>
          </w:p>
        </w:tc>
        <w:tc>
          <w:tcPr>
            <w:tcW w:w="2109" w:type="dxa"/>
            <w:shd w:val="clear" w:color="auto" w:fill="auto"/>
            <w:noWrap/>
            <w:vAlign w:val="center"/>
          </w:tcPr>
          <w:p>
            <w:pPr>
              <w:widowControl/>
              <w:spacing w:line="360" w:lineRule="exact"/>
              <w:jc w:val="center"/>
              <w:rPr>
                <w:rFonts w:ascii="Calibri" w:hAnsi="Calibri"/>
              </w:rPr>
            </w:pPr>
            <w:r>
              <w:rPr>
                <w:rFonts w:hint="eastAsia" w:ascii="Calibri" w:hAnsi="Calibri"/>
              </w:rPr>
              <w:t>局各股室</w:t>
            </w:r>
          </w:p>
        </w:tc>
        <w:tc>
          <w:tcPr>
            <w:tcW w:w="2396" w:type="dxa"/>
            <w:shd w:val="clear" w:color="auto" w:fill="auto"/>
            <w:noWrap/>
            <w:vAlign w:val="center"/>
          </w:tcPr>
          <w:p>
            <w:pPr>
              <w:widowControl/>
              <w:spacing w:line="360" w:lineRule="exact"/>
              <w:jc w:val="center"/>
              <w:rPr>
                <w:rFonts w:ascii="Calibri" w:hAnsi="Calibri"/>
              </w:rPr>
            </w:pPr>
            <w:r>
              <w:rPr>
                <w:rFonts w:hint="eastAsia" w:ascii="Calibri" w:hAnsi="Calibri"/>
              </w:rPr>
              <w:t>5月15日前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2835" w:type="dxa"/>
            <w:shd w:val="clear" w:color="auto" w:fill="auto"/>
            <w:noWrap/>
            <w:vAlign w:val="center"/>
          </w:tcPr>
          <w:p>
            <w:pPr>
              <w:widowControl/>
              <w:numPr>
                <w:ilvl w:val="0"/>
                <w:numId w:val="1"/>
              </w:numPr>
              <w:spacing w:line="360" w:lineRule="exact"/>
              <w:jc w:val="left"/>
              <w:rPr>
                <w:rFonts w:hint="eastAsia" w:ascii="Calibri" w:hAnsi="Calibri"/>
                <w:b/>
                <w:bCs/>
              </w:rPr>
            </w:pPr>
            <w:bookmarkStart w:id="0" w:name="_GoBack"/>
            <w:bookmarkEnd w:id="0"/>
            <w:r>
              <w:rPr>
                <w:rFonts w:hint="eastAsia" w:ascii="Calibri" w:hAnsi="Calibri"/>
                <w:b/>
                <w:bCs/>
              </w:rPr>
              <w:t>统计基础仍需进一步夯实。谈话中多数领导干部认为，基层统计人员力量不足，企业统计人员流动大、业务弱。“四不两直”检查发现，个别乡镇(街道)仅有1名兼职统计人员，且多为返聘或者新聘，源头数据质量难以保障。</w:t>
            </w:r>
          </w:p>
        </w:tc>
        <w:tc>
          <w:tcPr>
            <w:tcW w:w="2835" w:type="dxa"/>
            <w:shd w:val="clear" w:color="auto" w:fill="auto"/>
            <w:noWrap/>
            <w:vAlign w:val="center"/>
          </w:tcPr>
          <w:p>
            <w:pPr>
              <w:widowControl/>
              <w:spacing w:line="360" w:lineRule="exact"/>
              <w:jc w:val="left"/>
              <w:rPr>
                <w:rFonts w:hint="eastAsia" w:ascii="Calibri" w:hAnsi="Calibri"/>
              </w:rPr>
            </w:pPr>
            <w:r>
              <w:rPr>
                <w:rFonts w:hint="eastAsia" w:ascii="Calibri" w:hAnsi="Calibri"/>
              </w:rPr>
              <w:t>认真贯彻落实《广西统计调查对象数据采集流程规范》，加强对联网直报企业统计规范化检查考核，督促企业完善统计台账，落实统计数据审核签名和核查核实程序要求。</w:t>
            </w:r>
          </w:p>
        </w:tc>
        <w:tc>
          <w:tcPr>
            <w:tcW w:w="1985" w:type="dxa"/>
            <w:shd w:val="clear" w:color="auto" w:fill="auto"/>
            <w:noWrap/>
            <w:vAlign w:val="center"/>
          </w:tcPr>
          <w:p>
            <w:pPr>
              <w:widowControl/>
              <w:spacing w:line="360" w:lineRule="exact"/>
              <w:jc w:val="center"/>
              <w:rPr>
                <w:rFonts w:hint="eastAsia" w:ascii="Calibri" w:hAnsi="Calibri"/>
              </w:rPr>
            </w:pPr>
            <w:r>
              <w:rPr>
                <w:rFonts w:hint="eastAsia" w:ascii="Calibri" w:hAnsi="Calibri"/>
              </w:rPr>
              <w:t>县科工贸局</w:t>
            </w:r>
          </w:p>
        </w:tc>
        <w:tc>
          <w:tcPr>
            <w:tcW w:w="2109" w:type="dxa"/>
            <w:shd w:val="clear" w:color="auto" w:fill="auto"/>
            <w:noWrap/>
            <w:vAlign w:val="center"/>
          </w:tcPr>
          <w:p>
            <w:pPr>
              <w:widowControl/>
              <w:spacing w:line="360" w:lineRule="exact"/>
              <w:jc w:val="center"/>
              <w:rPr>
                <w:rFonts w:hint="eastAsia" w:ascii="Calibri" w:hAnsi="Calibri"/>
              </w:rPr>
            </w:pPr>
            <w:r>
              <w:rPr>
                <w:rFonts w:hint="eastAsia" w:ascii="Calibri" w:hAnsi="Calibri"/>
              </w:rPr>
              <w:t>工业股、商务股</w:t>
            </w:r>
          </w:p>
        </w:tc>
        <w:tc>
          <w:tcPr>
            <w:tcW w:w="2396" w:type="dxa"/>
            <w:shd w:val="clear" w:color="auto" w:fill="auto"/>
            <w:noWrap/>
            <w:vAlign w:val="center"/>
          </w:tcPr>
          <w:p>
            <w:pPr>
              <w:widowControl/>
              <w:spacing w:line="360" w:lineRule="exact"/>
              <w:jc w:val="center"/>
              <w:rPr>
                <w:rFonts w:hint="eastAsia" w:ascii="Calibri" w:hAnsi="Calibri"/>
              </w:rPr>
            </w:pPr>
            <w:r>
              <w:rPr>
                <w:rFonts w:hint="eastAsia" w:ascii="Calibri" w:hAnsi="Calibri"/>
              </w:rPr>
              <w:t>长期坚持</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0534F5"/>
    <w:multiLevelType w:val="singleLevel"/>
    <w:tmpl w:val="B00534F5"/>
    <w:lvl w:ilvl="0" w:tentative="0">
      <w:start w:val="3"/>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DA95F8B"/>
    <w:rsid w:val="00373183"/>
    <w:rsid w:val="00397ACE"/>
    <w:rsid w:val="00631D41"/>
    <w:rsid w:val="00AE5E5E"/>
    <w:rsid w:val="00BA3498"/>
    <w:rsid w:val="02534246"/>
    <w:rsid w:val="0ECD730A"/>
    <w:rsid w:val="156B4B8C"/>
    <w:rsid w:val="15C93B34"/>
    <w:rsid w:val="18D93ACF"/>
    <w:rsid w:val="258A773A"/>
    <w:rsid w:val="37941D0A"/>
    <w:rsid w:val="39DF7C91"/>
    <w:rsid w:val="424E4CDB"/>
    <w:rsid w:val="430138D2"/>
    <w:rsid w:val="48531B9B"/>
    <w:rsid w:val="6078431A"/>
    <w:rsid w:val="69904D5D"/>
    <w:rsid w:val="6A1C65BF"/>
    <w:rsid w:val="772F50FC"/>
    <w:rsid w:val="77F92832"/>
    <w:rsid w:val="7DA95F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widowControl/>
      <w:tabs>
        <w:tab w:val="center" w:pos="4153"/>
        <w:tab w:val="right" w:pos="8306"/>
      </w:tabs>
      <w:snapToGrid w:val="0"/>
      <w:spacing w:after="200"/>
      <w:jc w:val="left"/>
    </w:pPr>
    <w:rPr>
      <w:rFonts w:ascii="Calibri" w:hAnsi="Calibri"/>
      <w:kern w:val="0"/>
      <w:sz w:val="18"/>
      <w:szCs w:val="18"/>
      <w:lang w:eastAsia="en-US"/>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94</Words>
  <Characters>542</Characters>
  <Lines>4</Lines>
  <Paragraphs>1</Paragraphs>
  <TotalTime>1</TotalTime>
  <ScaleCrop>false</ScaleCrop>
  <LinksUpToDate>false</LinksUpToDate>
  <CharactersWithSpaces>635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2021-05-10T01:45:00Z</dcterms:created>
  <dc:creator>Emon</dc:creator>
  <cp:lastModifiedBy>科工贸局1</cp:lastModifiedBy>
  <cp:lastPrinted>2021-05-17T09:02:50Z</cp:lastPrinted>
  <dcterms:modified xsi:type="dcterms:W3CDTF">2021-05-17T09:07:39Z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C07F52BADFAC4D3EBA3B87586C48E939</vt:lpwstr>
  </property>
</Properties>
</file>